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版本号：JXZB2026-05-0620260512001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韩城市城市亮化照明设施维护服务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JXZB2026-05-06</w:t>
      </w:r>
      <w:r>
        <w:br/>
      </w:r>
      <w:r>
        <w:br/>
      </w:r>
      <w:r>
        <w:br/>
      </w:r>
    </w:p>
    <w:p>
      <w:pPr>
        <w:pStyle w:val="null3"/>
        <w:jc w:val="center"/>
        <w:outlineLvl w:val="2"/>
      </w:pPr>
      <w:r>
        <w:rPr>
          <w:rFonts w:ascii="仿宋_GB2312" w:hAnsi="仿宋_GB2312" w:cs="仿宋_GB2312" w:eastAsia="仿宋_GB2312"/>
          <w:sz w:val="28"/>
          <w:b/>
        </w:rPr>
        <w:t>韩城市住房和城乡规划建设局（本级）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韩城市住房和城乡规划建设局（本级）</w:t>
      </w:r>
      <w:r>
        <w:rPr>
          <w:rFonts w:ascii="仿宋_GB2312" w:hAnsi="仿宋_GB2312" w:cs="仿宋_GB2312" w:eastAsia="仿宋_GB2312"/>
        </w:rPr>
        <w:t>委托，拟对</w:t>
      </w:r>
      <w:r>
        <w:rPr>
          <w:rFonts w:ascii="仿宋_GB2312" w:hAnsi="仿宋_GB2312" w:cs="仿宋_GB2312" w:eastAsia="仿宋_GB2312"/>
        </w:rPr>
        <w:t>韩城市城市亮化照明设施维护服务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JXZB2026-05-06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韩城市城市亮化照明设施维护服务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韩城市城市亮化照明设施维护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8、企业资质：具备有效的城市及道路照明工程专业承包一级资质，具备有效的安全生产许可证</w:t>
      </w:r>
    </w:p>
    <w:p>
      <w:pPr>
        <w:pStyle w:val="null3"/>
      </w:pPr>
      <w:r>
        <w:rPr>
          <w:rFonts w:ascii="仿宋_GB2312" w:hAnsi="仿宋_GB2312" w:cs="仿宋_GB2312" w:eastAsia="仿宋_GB2312"/>
        </w:rPr>
        <w:t>9、项目经理：项目经理须具备有效的机电工程专业二级或以上注册建造师资格及有效的安全考核B证，在本单位注册，且无在建项目（提供无在建承诺书）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韩城市住房和城乡规划建设局（本级）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韩城市新兴产业基地二号楼9楼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15591352111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采购包1：12,478,722.90元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韩城市住房和城乡规划建设局（本级）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韩城市住房和城乡规划建设局（本级）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韩城市住房和城乡规划建设局（本级）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韩城市城市亮化照明设施维护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12,478,722.90</w:t>
      </w:r>
    </w:p>
    <w:p>
      <w:pPr>
        <w:pStyle w:val="null3"/>
      </w:pPr>
      <w:r>
        <w:rPr>
          <w:rFonts w:ascii="仿宋_GB2312" w:hAnsi="仿宋_GB2312" w:cs="仿宋_GB2312" w:eastAsia="仿宋_GB2312"/>
        </w:rPr>
        <w:t>采购包最高限价（元）: 12,478,722.90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韩城市城市亮化照明设施维护服务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12,478,722.90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标的名称：韩城市城市亮化照明设施维护服务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b/>
              </w:rPr>
              <w:t>韩城市城市亮化照明设施维护服务</w:t>
            </w:r>
          </w:p>
          <w:p>
            <w:pPr>
              <w:pStyle w:val="null3"/>
            </w:pPr>
            <w:r>
              <w:rPr>
                <w:rFonts w:ascii="仿宋_GB2312" w:hAnsi="仿宋_GB2312" w:cs="仿宋_GB2312" w:eastAsia="仿宋_GB2312"/>
              </w:rPr>
              <w:t>一、</w:t>
            </w:r>
            <w:r>
              <w:rPr>
                <w:rFonts w:ascii="仿宋_GB2312" w:hAnsi="仿宋_GB2312" w:cs="仿宋_GB2312" w:eastAsia="仿宋_GB2312"/>
              </w:rPr>
              <w:t>服务内容：</w:t>
            </w:r>
            <w:r>
              <w:rPr>
                <w:rFonts w:ascii="仿宋_GB2312" w:hAnsi="仿宋_GB2312" w:cs="仿宋_GB2312" w:eastAsia="仿宋_GB2312"/>
              </w:rPr>
              <w:t>负责全市亮化照明设施的日常维护，确保城市所有亮化设施正常运行，提供路灯、亮化设施的维护、保养清洗等全部工作</w:t>
            </w:r>
            <w:r>
              <w:rPr>
                <w:rFonts w:ascii="仿宋_GB2312" w:hAnsi="仿宋_GB2312" w:cs="仿宋_GB2312" w:eastAsia="仿宋_GB2312"/>
              </w:rPr>
              <w:t>。</w:t>
            </w:r>
            <w:r>
              <w:rPr>
                <w:rFonts w:ascii="仿宋_GB2312" w:hAnsi="仿宋_GB2312" w:cs="仿宋_GB2312" w:eastAsia="仿宋_GB2312"/>
              </w:rPr>
              <w:t>要求灯具所采用光源、电池包均满足国家绿色照明发展相关规定，积极采用新光源、新工艺。外观须与原有灯具保持一致。</w:t>
            </w:r>
          </w:p>
          <w:p>
            <w:pPr>
              <w:pStyle w:val="null3"/>
            </w:pPr>
            <w:r>
              <w:rPr>
                <w:rFonts w:ascii="仿宋_GB2312" w:hAnsi="仿宋_GB2312" w:cs="仿宋_GB2312" w:eastAsia="仿宋_GB2312"/>
              </w:rPr>
              <w:t>二、服务范围：</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城区亮化设施管护范围</w:t>
            </w:r>
            <w:r>
              <w:rPr>
                <w:rFonts w:ascii="仿宋_GB2312" w:hAnsi="仿宋_GB2312" w:cs="仿宋_GB2312" w:eastAsia="仿宋_GB2312"/>
              </w:rPr>
              <w:t>:108国道(南至芝川高速路口，北至上桑公路);327国道(龙门镇阳山庄村至金城办苏村);304省道(土门口至延安市黄龙县两县市界址);沿黄公路(司马庙至范村);旅游专线(司马庙至马陵村):西禹高速路(南至韩城服务区，北至解家村大桥)共计70公里。</w:t>
            </w:r>
          </w:p>
          <w:p>
            <w:pPr>
              <w:pStyle w:val="null3"/>
            </w:pPr>
            <w:r>
              <w:rPr>
                <w:rFonts w:ascii="仿宋_GB2312" w:hAnsi="仿宋_GB2312" w:cs="仿宋_GB2312" w:eastAsia="仿宋_GB2312"/>
              </w:rPr>
              <w:t>2、</w:t>
            </w:r>
            <w:r>
              <w:rPr>
                <w:rFonts w:ascii="仿宋_GB2312" w:hAnsi="仿宋_GB2312" w:cs="仿宋_GB2312" w:eastAsia="仿宋_GB2312"/>
              </w:rPr>
              <w:t>路灯亮化设施设备管辖范围</w:t>
            </w:r>
            <w:r>
              <w:rPr>
                <w:rFonts w:ascii="仿宋_GB2312" w:hAnsi="仿宋_GB2312" w:cs="仿宋_GB2312" w:eastAsia="仿宋_GB2312"/>
              </w:rPr>
              <w:t>:新老城区、国道段:共有64条街道，约38730盏灯。</w:t>
            </w:r>
          </w:p>
          <w:p>
            <w:pPr>
              <w:pStyle w:val="null3"/>
            </w:pPr>
            <w:r>
              <w:rPr>
                <w:rFonts w:ascii="仿宋_GB2312" w:hAnsi="仿宋_GB2312" w:cs="仿宋_GB2312" w:eastAsia="仿宋_GB2312"/>
              </w:rPr>
              <w:t>3、</w:t>
            </w:r>
            <w:r>
              <w:rPr>
                <w:rFonts w:ascii="仿宋_GB2312" w:hAnsi="仿宋_GB2312" w:cs="仿宋_GB2312" w:eastAsia="仿宋_GB2312"/>
              </w:rPr>
              <w:t>地灯亮化设施设备管辖范围</w:t>
            </w:r>
            <w:r>
              <w:rPr>
                <w:rFonts w:ascii="仿宋_GB2312" w:hAnsi="仿宋_GB2312" w:cs="仿宋_GB2312" w:eastAsia="仿宋_GB2312"/>
              </w:rPr>
              <w:t>:新老城区、国道段:共有38条街道，约13658盏灯。</w:t>
            </w:r>
          </w:p>
          <w:p>
            <w:pPr>
              <w:pStyle w:val="null3"/>
            </w:pPr>
            <w:r>
              <w:rPr>
                <w:rFonts w:ascii="仿宋_GB2312" w:hAnsi="仿宋_GB2312" w:cs="仿宋_GB2312" w:eastAsia="仿宋_GB2312"/>
              </w:rPr>
              <w:t>4、</w:t>
            </w:r>
            <w:r>
              <w:rPr>
                <w:rFonts w:ascii="仿宋_GB2312" w:hAnsi="仿宋_GB2312" w:cs="仿宋_GB2312" w:eastAsia="仿宋_GB2312"/>
              </w:rPr>
              <w:t>楼宇亮化设施设备管辖范围</w:t>
            </w:r>
            <w:r>
              <w:rPr>
                <w:rFonts w:ascii="仿宋_GB2312" w:hAnsi="仿宋_GB2312" w:cs="仿宋_GB2312" w:eastAsia="仿宋_GB2312"/>
              </w:rPr>
              <w:t>:新老城区共有楼宇350栋。高压用电设备:户外高压箱式变电站:73个</w:t>
            </w:r>
            <w:r>
              <w:rPr>
                <w:rFonts w:ascii="仿宋_GB2312" w:hAnsi="仿宋_GB2312" w:cs="仿宋_GB2312" w:eastAsia="仿宋_GB2312"/>
              </w:rPr>
              <w:t>。</w:t>
            </w:r>
          </w:p>
          <w:p>
            <w:pPr>
              <w:pStyle w:val="null3"/>
            </w:pPr>
            <w:r>
              <w:rPr>
                <w:rFonts w:ascii="仿宋_GB2312" w:hAnsi="仿宋_GB2312" w:cs="仿宋_GB2312" w:eastAsia="仿宋_GB2312"/>
              </w:rPr>
              <w:t>三、</w:t>
            </w:r>
            <w:r>
              <w:rPr>
                <w:rFonts w:ascii="仿宋_GB2312" w:hAnsi="仿宋_GB2312" w:cs="仿宋_GB2312" w:eastAsia="仿宋_GB2312"/>
              </w:rPr>
              <w:t>清单（后附）</w:t>
            </w:r>
            <w:r>
              <w:rPr>
                <w:rFonts w:ascii="仿宋_GB2312" w:hAnsi="仿宋_GB2312" w:cs="仿宋_GB2312" w:eastAsia="仿宋_GB2312"/>
              </w:rPr>
              <w:t>。</w:t>
            </w:r>
          </w:p>
          <w:p>
            <w:pPr>
              <w:pStyle w:val="null3"/>
            </w:pPr>
            <w:r>
              <w:rPr>
                <w:rFonts w:ascii="仿宋_GB2312" w:hAnsi="仿宋_GB2312" w:cs="仿宋_GB2312" w:eastAsia="仿宋_GB2312"/>
              </w:rPr>
              <w:t>四、服务</w:t>
            </w:r>
            <w:r>
              <w:rPr>
                <w:rFonts w:ascii="仿宋_GB2312" w:hAnsi="仿宋_GB2312" w:cs="仿宋_GB2312" w:eastAsia="仿宋_GB2312"/>
              </w:rPr>
              <w:t>要求</w:t>
            </w:r>
            <w:r>
              <w:rPr>
                <w:rFonts w:ascii="仿宋_GB2312" w:hAnsi="仿宋_GB2312" w:cs="仿宋_GB2312" w:eastAsia="仿宋_GB2312"/>
              </w:rPr>
              <w:t>：</w:t>
            </w:r>
            <w:r>
              <w:rPr>
                <w:rFonts w:ascii="仿宋_GB2312" w:hAnsi="仿宋_GB2312" w:cs="仿宋_GB2312" w:eastAsia="仿宋_GB2312"/>
              </w:rPr>
              <w:t>满足国家及行业相关标准，采购人根据韩城市住房和城乡建设局关于《韩城市亮化照明设施维护维修》履约考核办法及细则进行评价考核，若服务期内供应商考核结果不合格，采购人有权终止合同。</w:t>
            </w:r>
          </w:p>
          <w:p>
            <w:pPr>
              <w:pStyle w:val="null3"/>
            </w:pPr>
            <w:r>
              <w:rPr>
                <w:rFonts w:ascii="仿宋_GB2312" w:hAnsi="仿宋_GB2312" w:cs="仿宋_GB2312" w:eastAsia="仿宋_GB2312"/>
              </w:rPr>
              <w:t>五</w:t>
            </w:r>
            <w:r>
              <w:rPr>
                <w:rFonts w:ascii="仿宋_GB2312" w:hAnsi="仿宋_GB2312" w:cs="仿宋_GB2312" w:eastAsia="仿宋_GB2312"/>
              </w:rPr>
              <w:t>、质</w:t>
            </w:r>
            <w:r>
              <w:rPr>
                <w:rFonts w:ascii="仿宋_GB2312" w:hAnsi="仿宋_GB2312" w:cs="仿宋_GB2312" w:eastAsia="仿宋_GB2312"/>
              </w:rPr>
              <w:t>量保证</w:t>
            </w:r>
          </w:p>
          <w:p>
            <w:pPr>
              <w:pStyle w:val="null3"/>
            </w:pPr>
            <w:r>
              <w:rPr>
                <w:rFonts w:ascii="仿宋_GB2312" w:hAnsi="仿宋_GB2312" w:cs="仿宋_GB2312" w:eastAsia="仿宋_GB2312"/>
              </w:rPr>
              <w:t>服务期内更换的亮化设施设备及零部件等</w:t>
            </w:r>
            <w:r>
              <w:rPr>
                <w:rFonts w:ascii="仿宋_GB2312" w:hAnsi="仿宋_GB2312" w:cs="仿宋_GB2312" w:eastAsia="仿宋_GB2312"/>
              </w:rPr>
              <w:t>所有产品质量必须符合国家有关规范和相关政策。所有产品及辅材必须是未使用过的新产品，质量优良、渠道正当，配置合理。</w:t>
            </w:r>
          </w:p>
          <w:p>
            <w:pPr>
              <w:pStyle w:val="null3"/>
            </w:pPr>
            <w:r>
              <w:rPr>
                <w:rFonts w:ascii="仿宋_GB2312" w:hAnsi="仿宋_GB2312" w:cs="仿宋_GB2312" w:eastAsia="仿宋_GB2312"/>
              </w:rPr>
              <w:t>六、安全生产、文明施工</w:t>
            </w:r>
          </w:p>
          <w:p>
            <w:pPr>
              <w:pStyle w:val="null3"/>
            </w:pPr>
            <w:r>
              <w:rPr>
                <w:rFonts w:ascii="仿宋_GB2312" w:hAnsi="仿宋_GB2312" w:cs="仿宋_GB2312" w:eastAsia="仿宋_GB2312"/>
              </w:rPr>
              <w:t>1、</w:t>
            </w:r>
            <w:r>
              <w:rPr>
                <w:rFonts w:ascii="仿宋_GB2312" w:hAnsi="仿宋_GB2312" w:cs="仿宋_GB2312" w:eastAsia="仿宋_GB2312"/>
              </w:rPr>
              <w:t>对施工区域设置安全警示标志；进入施工现场，工作人员必须着装统一，戴安全帽、穿戴绝缘设备；高处作业时，应配备工具袋及保险措施，防止各种工具、零件、物料等坠落伤害他人。</w:t>
            </w:r>
          </w:p>
          <w:p>
            <w:pPr>
              <w:pStyle w:val="null3"/>
            </w:pPr>
            <w:r>
              <w:rPr>
                <w:rFonts w:ascii="仿宋_GB2312" w:hAnsi="仿宋_GB2312" w:cs="仿宋_GB2312" w:eastAsia="仿宋_GB2312"/>
              </w:rPr>
              <w:t>2、</w:t>
            </w:r>
            <w:r>
              <w:rPr>
                <w:rFonts w:ascii="仿宋_GB2312" w:hAnsi="仿宋_GB2312" w:cs="仿宋_GB2312" w:eastAsia="仿宋_GB2312"/>
              </w:rPr>
              <w:t>严格按照国家相关规定安全作业，杜绝违章施工</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爱护作业现场的设施，做到人走场清。</w:t>
            </w:r>
          </w:p>
          <w:p>
            <w:pPr>
              <w:pStyle w:val="null3"/>
            </w:pPr>
            <w:r>
              <w:rPr>
                <w:rFonts w:ascii="仿宋_GB2312" w:hAnsi="仿宋_GB2312" w:cs="仿宋_GB2312" w:eastAsia="仿宋_GB2312"/>
              </w:rPr>
              <w:t>七</w:t>
            </w:r>
            <w:r>
              <w:rPr>
                <w:rFonts w:ascii="仿宋_GB2312" w:hAnsi="仿宋_GB2312" w:cs="仿宋_GB2312" w:eastAsia="仿宋_GB2312"/>
              </w:rPr>
              <w:t>、日常管理工作内容</w:t>
            </w:r>
          </w:p>
          <w:p>
            <w:pPr>
              <w:pStyle w:val="null3"/>
            </w:pPr>
            <w:r>
              <w:rPr>
                <w:rFonts w:ascii="仿宋_GB2312" w:hAnsi="仿宋_GB2312" w:cs="仿宋_GB2312" w:eastAsia="仿宋_GB2312"/>
              </w:rPr>
              <w:t>掌握好区域内路灯实施具体位置及情况，建立健全日常巡查管理台帐制度，认真做好台帐的整理和归档工作，按实报送相关周报、月报、维修计划、维修工作等报表。</w:t>
            </w:r>
          </w:p>
          <w:p>
            <w:pPr>
              <w:pStyle w:val="null3"/>
            </w:pPr>
            <w:r>
              <w:rPr>
                <w:rFonts w:ascii="仿宋_GB2312" w:hAnsi="仿宋_GB2312" w:cs="仿宋_GB2312" w:eastAsia="仿宋_GB2312"/>
              </w:rPr>
              <w:t>对管护区范围内的所有路灯进行日常的巡查，确保城市主干道明亮率不低于</w:t>
            </w:r>
            <w:r>
              <w:rPr>
                <w:rFonts w:ascii="仿宋_GB2312" w:hAnsi="仿宋_GB2312" w:cs="仿宋_GB2312" w:eastAsia="仿宋_GB2312"/>
              </w:rPr>
              <w:t>98％</w:t>
            </w:r>
            <w:r>
              <w:rPr>
                <w:rFonts w:ascii="仿宋_GB2312" w:hAnsi="仿宋_GB2312" w:cs="仿宋_GB2312" w:eastAsia="仿宋_GB2312"/>
              </w:rPr>
              <w:t>，城区次干道、支路</w:t>
            </w:r>
            <w:r>
              <w:rPr>
                <w:rFonts w:ascii="仿宋_GB2312" w:hAnsi="仿宋_GB2312" w:cs="仿宋_GB2312" w:eastAsia="仿宋_GB2312"/>
              </w:rPr>
              <w:t>明亮率不低于</w:t>
            </w:r>
            <w:r>
              <w:rPr>
                <w:rFonts w:ascii="仿宋_GB2312" w:hAnsi="仿宋_GB2312" w:cs="仿宋_GB2312" w:eastAsia="仿宋_GB2312"/>
              </w:rPr>
              <w:t>96%。</w:t>
            </w:r>
          </w:p>
          <w:p>
            <w:pPr>
              <w:pStyle w:val="null3"/>
            </w:pPr>
            <w:r>
              <w:rPr>
                <w:rFonts w:ascii="仿宋_GB2312" w:hAnsi="仿宋_GB2312" w:cs="仿宋_GB2312" w:eastAsia="仿宋_GB2312"/>
              </w:rPr>
              <w:t>路灯控制柜的日常检测、调校与维修</w:t>
            </w:r>
            <w:r>
              <w:rPr>
                <w:rFonts w:ascii="仿宋_GB2312" w:hAnsi="仿宋_GB2312" w:cs="仿宋_GB2312" w:eastAsia="仿宋_GB2312"/>
              </w:rPr>
              <w:t>。</w:t>
            </w:r>
          </w:p>
          <w:p>
            <w:pPr>
              <w:pStyle w:val="null3"/>
            </w:pPr>
            <w:r>
              <w:rPr>
                <w:rFonts w:ascii="仿宋_GB2312" w:hAnsi="仿宋_GB2312" w:cs="仿宋_GB2312" w:eastAsia="仿宋_GB2312"/>
              </w:rPr>
              <w:t>路灯灯具、电器、控制柜及检查口损坏材料的维修更换</w:t>
            </w:r>
            <w:r>
              <w:rPr>
                <w:rFonts w:ascii="仿宋_GB2312" w:hAnsi="仿宋_GB2312" w:cs="仿宋_GB2312" w:eastAsia="仿宋_GB2312"/>
              </w:rPr>
              <w:t>。</w:t>
            </w:r>
          </w:p>
          <w:p>
            <w:pPr>
              <w:pStyle w:val="null3"/>
            </w:pPr>
            <w:r>
              <w:rPr>
                <w:rFonts w:ascii="仿宋_GB2312" w:hAnsi="仿宋_GB2312" w:cs="仿宋_GB2312" w:eastAsia="仿宋_GB2312"/>
              </w:rPr>
              <w:t>户外高压箱式变电站及配电柜</w:t>
            </w:r>
            <w:r>
              <w:rPr>
                <w:rFonts w:ascii="仿宋_GB2312" w:hAnsi="仿宋_GB2312" w:cs="仿宋_GB2312" w:eastAsia="仿宋_GB2312"/>
              </w:rPr>
              <w:t>维护</w:t>
            </w:r>
            <w:r>
              <w:rPr>
                <w:rFonts w:ascii="仿宋_GB2312" w:hAnsi="仿宋_GB2312" w:cs="仿宋_GB2312" w:eastAsia="仿宋_GB2312"/>
              </w:rPr>
              <w:t>。</w:t>
            </w:r>
          </w:p>
          <w:p>
            <w:pPr>
              <w:pStyle w:val="null3"/>
            </w:pPr>
            <w:r>
              <w:rPr>
                <w:rFonts w:ascii="仿宋_GB2312" w:hAnsi="仿宋_GB2312" w:cs="仿宋_GB2312" w:eastAsia="仿宋_GB2312"/>
              </w:rPr>
              <w:t>采购人和供应商在合同中约定定期巡查或不定期巡查周期，根据巡查情况</w:t>
            </w:r>
            <w:r>
              <w:rPr>
                <w:rFonts w:ascii="仿宋_GB2312" w:hAnsi="仿宋_GB2312" w:cs="仿宋_GB2312" w:eastAsia="仿宋_GB2312"/>
              </w:rPr>
              <w:t>由</w:t>
            </w:r>
            <w:r>
              <w:rPr>
                <w:rFonts w:ascii="仿宋_GB2312" w:hAnsi="仿宋_GB2312" w:cs="仿宋_GB2312" w:eastAsia="仿宋_GB2312"/>
              </w:rPr>
              <w:t>供应商进行</w:t>
            </w:r>
            <w:r>
              <w:rPr>
                <w:rFonts w:ascii="仿宋_GB2312" w:hAnsi="仿宋_GB2312" w:cs="仿宋_GB2312" w:eastAsia="仿宋_GB2312"/>
              </w:rPr>
              <w:t>维护</w:t>
            </w:r>
            <w:r>
              <w:rPr>
                <w:rFonts w:ascii="仿宋_GB2312" w:hAnsi="仿宋_GB2312" w:cs="仿宋_GB2312" w:eastAsia="仿宋_GB2312"/>
              </w:rPr>
              <w:t>服务。</w:t>
            </w:r>
          </w:p>
          <w:p>
            <w:pPr>
              <w:pStyle w:val="null3"/>
            </w:pPr>
            <w:r>
              <w:rPr>
                <w:rFonts w:ascii="仿宋_GB2312" w:hAnsi="仿宋_GB2312" w:cs="仿宋_GB2312" w:eastAsia="仿宋_GB2312"/>
              </w:rPr>
              <w:t>服务期</w:t>
            </w:r>
            <w:r>
              <w:rPr>
                <w:rFonts w:ascii="仿宋_GB2312" w:hAnsi="仿宋_GB2312" w:cs="仿宋_GB2312" w:eastAsia="仿宋_GB2312"/>
              </w:rPr>
              <w:t>内凡正常使用中出现的故障，均由供应商负责提供免费检测维修、更换合格的零部件直至整机</w:t>
            </w:r>
            <w:r>
              <w:rPr>
                <w:rFonts w:ascii="仿宋_GB2312" w:hAnsi="仿宋_GB2312" w:cs="仿宋_GB2312" w:eastAsia="仿宋_GB2312"/>
              </w:rPr>
              <w:t>正常使用</w:t>
            </w:r>
            <w:r>
              <w:rPr>
                <w:rFonts w:ascii="仿宋_GB2312" w:hAnsi="仿宋_GB2312" w:cs="仿宋_GB2312" w:eastAsia="仿宋_GB2312"/>
              </w:rPr>
              <w:t>，若需返厂处理，供应商应承担相关费用。同时记录检修情况，并向采购人提供检修报告。</w:t>
            </w:r>
          </w:p>
          <w:p>
            <w:pPr>
              <w:pStyle w:val="null3"/>
            </w:pPr>
            <w:r>
              <w:rPr>
                <w:rFonts w:ascii="仿宋_GB2312" w:hAnsi="仿宋_GB2312" w:cs="仿宋_GB2312" w:eastAsia="仿宋_GB2312"/>
              </w:rPr>
              <w:t>交通事故造成的路灯赔偿事宜。</w:t>
            </w:r>
          </w:p>
          <w:p>
            <w:pPr>
              <w:pStyle w:val="null3"/>
              <w:jc w:val="both"/>
            </w:pPr>
            <w:r>
              <w:rPr>
                <w:rFonts w:ascii="仿宋_GB2312" w:hAnsi="仿宋_GB2312" w:cs="仿宋_GB2312" w:eastAsia="仿宋_GB2312"/>
                <w:sz w:val="20"/>
              </w:rPr>
              <w:t>八</w:t>
            </w:r>
            <w:r>
              <w:rPr>
                <w:rFonts w:ascii="仿宋_GB2312" w:hAnsi="仿宋_GB2312" w:cs="仿宋_GB2312" w:eastAsia="仿宋_GB2312"/>
                <w:sz w:val="20"/>
              </w:rPr>
              <w:t>、巡查、维护、管理制度</w:t>
            </w:r>
          </w:p>
          <w:p>
            <w:pPr>
              <w:pStyle w:val="null3"/>
              <w:jc w:val="both"/>
            </w:pPr>
            <w:r>
              <w:rPr>
                <w:rFonts w:ascii="仿宋_GB2312" w:hAnsi="仿宋_GB2312" w:cs="仿宋_GB2312" w:eastAsia="仿宋_GB2312"/>
                <w:sz w:val="20"/>
              </w:rPr>
              <w:t>（一）巡查相关制度</w:t>
            </w:r>
          </w:p>
          <w:p>
            <w:pPr>
              <w:pStyle w:val="null3"/>
              <w:jc w:val="both"/>
            </w:pPr>
            <w:r>
              <w:rPr>
                <w:rFonts w:ascii="仿宋_GB2312" w:hAnsi="仿宋_GB2312" w:cs="仿宋_GB2312" w:eastAsia="仿宋_GB2312"/>
                <w:sz w:val="20"/>
              </w:rPr>
              <w:t>1、人员配备</w:t>
            </w:r>
          </w:p>
          <w:p>
            <w:pPr>
              <w:pStyle w:val="null3"/>
              <w:jc w:val="both"/>
            </w:pPr>
            <w:r>
              <w:rPr>
                <w:rFonts w:ascii="仿宋_GB2312" w:hAnsi="仿宋_GB2312" w:cs="仿宋_GB2312" w:eastAsia="仿宋_GB2312"/>
                <w:sz w:val="20"/>
              </w:rPr>
              <w:t>巡查员：</w:t>
            </w:r>
            <w:r>
              <w:rPr>
                <w:rFonts w:ascii="仿宋_GB2312" w:hAnsi="仿宋_GB2312" w:cs="仿宋_GB2312" w:eastAsia="仿宋_GB2312"/>
                <w:sz w:val="20"/>
              </w:rPr>
              <w:t>9人，能够熟练驾驶巡查车辆及处理简单故障。</w:t>
            </w:r>
          </w:p>
          <w:p>
            <w:pPr>
              <w:pStyle w:val="null3"/>
              <w:jc w:val="both"/>
            </w:pPr>
            <w:r>
              <w:rPr>
                <w:rFonts w:ascii="仿宋_GB2312" w:hAnsi="仿宋_GB2312" w:cs="仿宋_GB2312" w:eastAsia="仿宋_GB2312"/>
                <w:sz w:val="20"/>
              </w:rPr>
              <w:t>电工：强电</w:t>
            </w:r>
            <w:r>
              <w:rPr>
                <w:rFonts w:ascii="仿宋_GB2312" w:hAnsi="仿宋_GB2312" w:cs="仿宋_GB2312" w:eastAsia="仿宋_GB2312"/>
                <w:sz w:val="20"/>
              </w:rPr>
              <w:t>6人弱电18人，持证上岗具有专业的操作技能以及具有电气施工或维修经验。</w:t>
            </w:r>
          </w:p>
          <w:p>
            <w:pPr>
              <w:pStyle w:val="null3"/>
              <w:jc w:val="both"/>
            </w:pPr>
            <w:r>
              <w:rPr>
                <w:rFonts w:ascii="仿宋_GB2312" w:hAnsi="仿宋_GB2312" w:cs="仿宋_GB2312" w:eastAsia="仿宋_GB2312"/>
                <w:sz w:val="20"/>
              </w:rPr>
              <w:t>资料员：</w:t>
            </w:r>
            <w:r>
              <w:rPr>
                <w:rFonts w:ascii="仿宋_GB2312" w:hAnsi="仿宋_GB2312" w:cs="仿宋_GB2312" w:eastAsia="仿宋_GB2312"/>
                <w:sz w:val="20"/>
              </w:rPr>
              <w:t>1人，有电力施工工程资料相关经验，熟练操作Office、CAD等办公软件。</w:t>
            </w:r>
          </w:p>
          <w:p>
            <w:pPr>
              <w:pStyle w:val="null3"/>
              <w:jc w:val="both"/>
            </w:pPr>
            <w:r>
              <w:rPr>
                <w:rFonts w:ascii="仿宋_GB2312" w:hAnsi="仿宋_GB2312" w:cs="仿宋_GB2312" w:eastAsia="仿宋_GB2312"/>
                <w:sz w:val="20"/>
              </w:rPr>
              <w:t>2、设备配备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1）维护单位需配备专用巡查车辆三台、辅助电动车9辆及电工巡查作业常用工器具（如：验电笔、万用表、兆欧表、钳流表等）。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2）维护单位日常维护中应自行承担上岗人员合格的安全用具（如绝缘手套、绝缘靴、安全帽等劳保用具）。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3）维护单位应配备相应的备品备件（如：相关的各类灯具、开关、电缆等）</w:t>
            </w:r>
          </w:p>
          <w:p>
            <w:pPr>
              <w:pStyle w:val="null3"/>
              <w:jc w:val="both"/>
            </w:pPr>
            <w:r>
              <w:rPr>
                <w:rFonts w:ascii="仿宋_GB2312" w:hAnsi="仿宋_GB2312" w:cs="仿宋_GB2312" w:eastAsia="仿宋_GB2312"/>
                <w:sz w:val="20"/>
              </w:rPr>
              <w:t>3、巡查制度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 维护单位需按要求保证24小时具有行业合格资质的人员在岗，并确保值班电话的畅通和业务信息传递，做好优质的服务。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维护单位应按照运行维护要求成立巡查机构。为保障设备设施的安全运行要求，维护单位每班次须配备专用巡查车辆三台，电气工程师不少于9人，技术人员配备不少于两班。其中白班巡查人员不少于9人，巡检区域全面覆盖，夜班巡查人员不少于9人，巡检区域全面覆盖。每天巡查巡检科学合理安排并做好相关巡查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3）每班次巡查人员做好相应的巡查记录，以备查验，巡查过程中发现问题应及时处理并上报主管单位。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4）巡查人员应做好交接班工作，确保巡查工作的正常进行。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5）每天每班对所管辖设备巡查不少于一次，如遇甲方通知的特殊任务和设备过负荷、大风、雷雨、大雾、大雪等天气和短路事故应做相应的巡查调整，做好巡检记录并以文字形式向甲方汇报设备安全运行情况。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6）节假日、重大活动及接待任务时，维护单位应合理安排巡查人员确保设备设施的正常运行。</w:t>
            </w:r>
          </w:p>
          <w:p>
            <w:pPr>
              <w:pStyle w:val="null3"/>
              <w:jc w:val="both"/>
            </w:pPr>
            <w:r>
              <w:rPr>
                <w:rFonts w:ascii="仿宋_GB2312" w:hAnsi="仿宋_GB2312" w:cs="仿宋_GB2312" w:eastAsia="仿宋_GB2312"/>
                <w:sz w:val="20"/>
              </w:rPr>
              <w:t>（二）维修、维护</w:t>
            </w:r>
          </w:p>
          <w:p>
            <w:pPr>
              <w:pStyle w:val="null3"/>
              <w:jc w:val="both"/>
            </w:pPr>
            <w:r>
              <w:rPr>
                <w:rFonts w:ascii="仿宋_GB2312" w:hAnsi="仿宋_GB2312" w:cs="仿宋_GB2312" w:eastAsia="仿宋_GB2312"/>
                <w:sz w:val="20"/>
              </w:rPr>
              <w:t>1、维修人员配备</w:t>
            </w:r>
          </w:p>
          <w:p>
            <w:pPr>
              <w:pStyle w:val="null3"/>
              <w:jc w:val="both"/>
            </w:pPr>
            <w:r>
              <w:rPr>
                <w:rFonts w:ascii="仿宋_GB2312" w:hAnsi="仿宋_GB2312" w:cs="仿宋_GB2312" w:eastAsia="仿宋_GB2312"/>
                <w:sz w:val="20"/>
              </w:rPr>
              <w:t>高空作业工人：</w:t>
            </w:r>
            <w:r>
              <w:rPr>
                <w:rFonts w:ascii="仿宋_GB2312" w:hAnsi="仿宋_GB2312" w:cs="仿宋_GB2312" w:eastAsia="仿宋_GB2312"/>
                <w:sz w:val="20"/>
              </w:rPr>
              <w:t>6人（需持有国家相关机构颁发的特种高空作业证书）</w:t>
            </w:r>
          </w:p>
          <w:p>
            <w:pPr>
              <w:pStyle w:val="null3"/>
              <w:jc w:val="both"/>
            </w:pPr>
            <w:r>
              <w:rPr>
                <w:rFonts w:ascii="仿宋_GB2312" w:hAnsi="仿宋_GB2312" w:cs="仿宋_GB2312" w:eastAsia="仿宋_GB2312"/>
                <w:sz w:val="20"/>
              </w:rPr>
              <w:t>电工：强电</w:t>
            </w:r>
            <w:r>
              <w:rPr>
                <w:rFonts w:ascii="仿宋_GB2312" w:hAnsi="仿宋_GB2312" w:cs="仿宋_GB2312" w:eastAsia="仿宋_GB2312"/>
                <w:sz w:val="20"/>
              </w:rPr>
              <w:t>5人弱电4人，持证上岗具有专业的操作技能以及2年以上电气施工或维修经验。</w:t>
            </w:r>
          </w:p>
          <w:p>
            <w:pPr>
              <w:pStyle w:val="null3"/>
              <w:jc w:val="both"/>
            </w:pPr>
            <w:r>
              <w:rPr>
                <w:rFonts w:ascii="仿宋_GB2312" w:hAnsi="仿宋_GB2312" w:cs="仿宋_GB2312" w:eastAsia="仿宋_GB2312"/>
                <w:sz w:val="20"/>
              </w:rPr>
              <w:t>2、维修维护设备配备</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1）维护单位自备或租赁高空作业设备（如：吊篮、高空作业车等）。</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2）维护单位日常维护中应自行承担上岗人员合格的安全用具（如绝缘手套、绝缘靴、安全帽等劳保用具）、操作工具（如螺丝刀、电笔、摇表、万用表、测温仪、钳流表及个人的常用工具等）、备品备件（如指示灯、断路器、时间控制器、浪涌保护器等）。</w:t>
            </w:r>
          </w:p>
          <w:p>
            <w:pPr>
              <w:pStyle w:val="null3"/>
              <w:jc w:val="both"/>
            </w:pPr>
            <w:r>
              <w:rPr>
                <w:rFonts w:ascii="仿宋_GB2312" w:hAnsi="仿宋_GB2312" w:cs="仿宋_GB2312" w:eastAsia="仿宋_GB2312"/>
                <w:sz w:val="20"/>
              </w:rPr>
              <w:t>3、维修维护相关制度</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1）计划维修制</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维护单位进行有计划的维护、检查和修理，以保证设备经常处于完好状态。其特点在于预防性与计划性，即在设备未曾发生故障时就有计划地进行预防性的维修。计划预修制的内容主要有：日常维护、定期检查、和计划修理。</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2）计划保修制</w:t>
            </w:r>
          </w:p>
          <w:p>
            <w:pPr>
              <w:pStyle w:val="null3"/>
              <w:jc w:val="both"/>
            </w:pPr>
            <w:r>
              <w:rPr>
                <w:rFonts w:ascii="仿宋_GB2312" w:hAnsi="仿宋_GB2312" w:cs="仿宋_GB2312" w:eastAsia="仿宋_GB2312"/>
                <w:sz w:val="20"/>
              </w:rPr>
              <w:t>维护单位在计划预修制的基础上进行针对性维修养护。主要内容是：日常保养，一级保养和计划大修。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3）预防维修制</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维护单位在日常的巡查过程中根据设备设施的运行情况进行巡查维修，确保各个设备设施的正常运行。</w:t>
            </w:r>
          </w:p>
          <w:p>
            <w:pPr>
              <w:pStyle w:val="null3"/>
              <w:jc w:val="both"/>
            </w:pPr>
            <w:r>
              <w:rPr>
                <w:rFonts w:ascii="仿宋_GB2312" w:hAnsi="仿宋_GB2312" w:cs="仿宋_GB2312" w:eastAsia="仿宋_GB2312"/>
                <w:sz w:val="20"/>
              </w:rPr>
              <w:t>（三）管理制度</w:t>
            </w:r>
          </w:p>
          <w:p>
            <w:pPr>
              <w:pStyle w:val="null3"/>
              <w:jc w:val="both"/>
            </w:pPr>
            <w:r>
              <w:rPr>
                <w:rFonts w:ascii="仿宋_GB2312" w:hAnsi="仿宋_GB2312" w:cs="仿宋_GB2312" w:eastAsia="仿宋_GB2312"/>
                <w:sz w:val="20"/>
              </w:rPr>
              <w:t>1、组织机构设置</w:t>
            </w:r>
          </w:p>
          <w:p>
            <w:pPr>
              <w:pStyle w:val="null3"/>
              <w:jc w:val="both"/>
            </w:pPr>
            <w:r>
              <w:rPr>
                <w:rFonts w:ascii="仿宋_GB2312" w:hAnsi="仿宋_GB2312" w:cs="仿宋_GB2312" w:eastAsia="仿宋_GB2312"/>
                <w:sz w:val="20"/>
              </w:rPr>
              <w:t>为保证</w:t>
            </w:r>
            <w:r>
              <w:rPr>
                <w:rFonts w:ascii="仿宋_GB2312" w:hAnsi="仿宋_GB2312" w:cs="仿宋_GB2312" w:eastAsia="仿宋_GB2312"/>
                <w:sz w:val="20"/>
              </w:rPr>
              <w:t>韩城市</w:t>
            </w:r>
            <w:r>
              <w:rPr>
                <w:rFonts w:ascii="仿宋_GB2312" w:hAnsi="仿宋_GB2312" w:cs="仿宋_GB2312" w:eastAsia="仿宋_GB2312"/>
                <w:sz w:val="20"/>
              </w:rPr>
              <w:t>市政公用照明设施设备运行维护的安全稳定运行，达到为用户优质、高效服务的管理要求，应成立项目运行维护部。</w:t>
            </w:r>
          </w:p>
          <w:p>
            <w:pPr>
              <w:pStyle w:val="null3"/>
              <w:jc w:val="both"/>
            </w:pPr>
            <w:r>
              <w:rPr>
                <w:rFonts w:ascii="仿宋_GB2312" w:hAnsi="仿宋_GB2312" w:cs="仿宋_GB2312" w:eastAsia="仿宋_GB2312"/>
                <w:sz w:val="20"/>
              </w:rPr>
              <w:t>项目经理职责：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1）负责运行维护项目部整体管理工作；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2）配合上级生产技术管理部门组织技术经验交流活动，组织制定、修订标准、技术政策等工作；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3）组织运行维护区域内特、重大事故调查、分析，协助上级生产管理部门制定预防事故措施；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4）组织新技术、新设备、新材料、新工艺的审查、鉴定和推广工作；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5）协助上级生产管理部门做好运行维护专业年度工作总结及专题报告。  </w:t>
            </w:r>
          </w:p>
          <w:p>
            <w:pPr>
              <w:pStyle w:val="null3"/>
              <w:jc w:val="both"/>
            </w:pPr>
            <w:r>
              <w:rPr>
                <w:rFonts w:ascii="仿宋_GB2312" w:hAnsi="仿宋_GB2312" w:cs="仿宋_GB2312" w:eastAsia="仿宋_GB2312"/>
                <w:sz w:val="20"/>
              </w:rPr>
              <w:t>技术员职责：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1）负责运行维护区域技术监督工作；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2）协助项目经理组织技术经验交流活动，组织制定、修订标准、技术政策等工作；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3）配合项目经理组织电力运行维护区域内特、重大事故调查分析；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4）参加新技术、新设备、新材料、新工艺的审查和推广工作；</w:t>
            </w:r>
            <w:r>
              <w:br/>
            </w:r>
            <w:r>
              <w:rPr>
                <w:rFonts w:ascii="仿宋_GB2312" w:hAnsi="仿宋_GB2312" w:cs="仿宋_GB2312" w:eastAsia="仿宋_GB2312"/>
                <w:sz w:val="20"/>
              </w:rPr>
              <w:t>（</w:t>
            </w:r>
            <w:r>
              <w:rPr>
                <w:rFonts w:ascii="仿宋_GB2312" w:hAnsi="仿宋_GB2312" w:cs="仿宋_GB2312" w:eastAsia="仿宋_GB2312"/>
                <w:sz w:val="20"/>
              </w:rPr>
              <w:t>5）组织开展带电作业基础理论研究，并负责带电作业人员培训考核、签证，以及带电作业工器具验收试验、抽样试验和预防性试验工作；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6）组织编写现场运行技术规程、管理制度等，建立设备设施运行技术资料档案，并负责上报设备变更情况。</w:t>
            </w:r>
          </w:p>
          <w:p>
            <w:pPr>
              <w:pStyle w:val="null3"/>
              <w:jc w:val="both"/>
            </w:pPr>
            <w:r>
              <w:rPr>
                <w:rFonts w:ascii="仿宋_GB2312" w:hAnsi="仿宋_GB2312" w:cs="仿宋_GB2312" w:eastAsia="仿宋_GB2312"/>
                <w:sz w:val="20"/>
              </w:rPr>
              <w:t>安全员职责：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1）负责本项目的安全工作，贯彻执行国家、地区的劳动保护和安全生产的方针、政策、法令、法规，推动本项目安全管理工作和安全管理目标的实现；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2）深入班组和现场作业部位，了解本项目运行维护工作中存在的不安全因素，抓好安全工作，对不安全隐患提出整改意见，督促整改；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3）抓好安全防护工作，组织安全检查，对查出的隐患及时整改。</w:t>
            </w:r>
          </w:p>
          <w:p>
            <w:pPr>
              <w:pStyle w:val="null3"/>
              <w:jc w:val="both"/>
            </w:pPr>
            <w:r>
              <w:rPr>
                <w:rFonts w:ascii="仿宋_GB2312" w:hAnsi="仿宋_GB2312" w:cs="仿宋_GB2312" w:eastAsia="仿宋_GB2312"/>
                <w:sz w:val="20"/>
              </w:rPr>
              <w:t>巡查、维修人员职责：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1）认真贯彻执行国家、行业和上级颁发的有关电力运行维护法律法规、标准及技术文件、管理体系等；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2）正确实施电力运行维护工作，及时掌握维护区域危急、严重缺陷，并及时处理运维出现的重大问题；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3）按时对运行维护区域进行巡视，掌握设备设施运行情况和状况，做好设备评级管理。</w:t>
            </w:r>
          </w:p>
          <w:p>
            <w:pPr>
              <w:pStyle w:val="null3"/>
              <w:jc w:val="both"/>
            </w:pPr>
            <w:r>
              <w:rPr>
                <w:rFonts w:ascii="仿宋_GB2312" w:hAnsi="仿宋_GB2312" w:cs="仿宋_GB2312" w:eastAsia="仿宋_GB2312"/>
                <w:sz w:val="20"/>
              </w:rPr>
              <w:t>2、资料管理</w:t>
            </w:r>
          </w:p>
          <w:p>
            <w:pPr>
              <w:pStyle w:val="null3"/>
              <w:jc w:val="both"/>
            </w:pPr>
            <w:r>
              <w:rPr>
                <w:rFonts w:ascii="仿宋_GB2312" w:hAnsi="仿宋_GB2312" w:cs="仿宋_GB2312" w:eastAsia="仿宋_GB2312"/>
                <w:sz w:val="20"/>
              </w:rPr>
              <w:t>为保证运行维护的资料完整，便于查找利用，做好收集、归档、保管、等工作，各运行维护单位应制定健全的资料管理制度。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1）维护单位设置专职资料员，切实做好运行维护资料的收集、分类、整理、归档工作，保证资料的齐全完整。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2）维护单位应对每天每班次的巡查记录进行归档处理。</w:t>
            </w:r>
            <w:r>
              <w:br/>
            </w:r>
            <w:r>
              <w:rPr>
                <w:rFonts w:ascii="仿宋_GB2312" w:hAnsi="仿宋_GB2312" w:cs="仿宋_GB2312" w:eastAsia="仿宋_GB2312"/>
                <w:sz w:val="20"/>
              </w:rPr>
              <w:t>（</w:t>
            </w:r>
            <w:r>
              <w:rPr>
                <w:rFonts w:ascii="仿宋_GB2312" w:hAnsi="仿宋_GB2312" w:cs="仿宋_GB2312" w:eastAsia="仿宋_GB2312"/>
                <w:sz w:val="20"/>
              </w:rPr>
              <w:t>3）维护单位每天每班次做好相应的安全检查记录。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4）维护单位每周、月对运行维护工作进行工作总结并以书面形式上报主管单位。</w:t>
            </w:r>
          </w:p>
          <w:p>
            <w:pPr>
              <w:pStyle w:val="null3"/>
              <w:jc w:val="both"/>
            </w:pPr>
            <w:r>
              <w:rPr>
                <w:rFonts w:ascii="仿宋_GB2312" w:hAnsi="仿宋_GB2312" w:cs="仿宋_GB2312" w:eastAsia="仿宋_GB2312"/>
                <w:sz w:val="20"/>
              </w:rPr>
              <w:t>3、建立周例会制度，每周召开巡查维护例会，总结本周工作情况，安排下周工作重点内容，通报各标段得分情况等内容。</w:t>
            </w:r>
          </w:p>
          <w:p>
            <w:pPr>
              <w:pStyle w:val="null3"/>
              <w:jc w:val="both"/>
            </w:pPr>
            <w:r>
              <w:rPr>
                <w:rFonts w:ascii="仿宋_GB2312" w:hAnsi="仿宋_GB2312" w:cs="仿宋_GB2312" w:eastAsia="仿宋_GB2312"/>
                <w:sz w:val="20"/>
              </w:rPr>
              <w:t>九</w:t>
            </w:r>
            <w:r>
              <w:rPr>
                <w:rFonts w:ascii="仿宋_GB2312" w:hAnsi="仿宋_GB2312" w:cs="仿宋_GB2312" w:eastAsia="仿宋_GB2312"/>
                <w:sz w:val="20"/>
              </w:rPr>
              <w:t>、应急管理</w:t>
            </w:r>
          </w:p>
          <w:p>
            <w:pPr>
              <w:pStyle w:val="null3"/>
              <w:jc w:val="both"/>
            </w:pPr>
            <w:r>
              <w:rPr>
                <w:rFonts w:ascii="仿宋_GB2312" w:hAnsi="仿宋_GB2312" w:cs="仿宋_GB2312" w:eastAsia="仿宋_GB2312"/>
                <w:sz w:val="20"/>
              </w:rPr>
              <w:t>1、应配备各类安全生产应急预案，暴雨、雷电、大风、火灾、漏电等。</w:t>
            </w:r>
          </w:p>
          <w:p>
            <w:pPr>
              <w:pStyle w:val="null3"/>
              <w:jc w:val="both"/>
            </w:pPr>
            <w:r>
              <w:rPr>
                <w:rFonts w:ascii="仿宋_GB2312" w:hAnsi="仿宋_GB2312" w:cs="仿宋_GB2312" w:eastAsia="仿宋_GB2312"/>
                <w:sz w:val="20"/>
              </w:rPr>
              <w:t>2、定时对人员进行安全生产培训，全面掌握和了解安全生产规程和应急预案内容，适时进行应急演练。</w:t>
            </w:r>
          </w:p>
          <w:p>
            <w:pPr>
              <w:pStyle w:val="null3"/>
            </w:pPr>
            <w:r>
              <w:rPr>
                <w:rFonts w:ascii="仿宋_GB2312" w:hAnsi="仿宋_GB2312" w:cs="仿宋_GB2312" w:eastAsia="仿宋_GB2312"/>
                <w:b/>
              </w:rPr>
              <w:t>附件：</w:t>
            </w:r>
          </w:p>
          <w:p>
            <w:pPr>
              <w:pStyle w:val="null3"/>
              <w:jc w:val="center"/>
            </w:pPr>
            <w:r>
              <w:rPr>
                <w:rFonts w:ascii="仿宋_GB2312" w:hAnsi="仿宋_GB2312" w:cs="仿宋_GB2312" w:eastAsia="仿宋_GB2312"/>
                <w:sz w:val="20"/>
                <w:b/>
                <w:color w:val="000000"/>
              </w:rPr>
              <w:t>清单及限价</w:t>
            </w:r>
            <w:r>
              <w:rPr>
                <w:rFonts w:ascii="仿宋_GB2312" w:hAnsi="仿宋_GB2312" w:cs="仿宋_GB2312" w:eastAsia="仿宋_GB2312"/>
                <w:sz w:val="20"/>
                <w:b/>
                <w:color w:val="000000"/>
              </w:rPr>
              <w:t>-路灯</w:t>
            </w:r>
          </w:p>
          <w:tbl>
            <w:tblPr>
              <w:tblBorders>
                <w:top w:val="none" w:color="000000" w:sz="4"/>
                <w:left w:val="none" w:color="000000" w:sz="4"/>
                <w:bottom w:val="none" w:color="000000" w:sz="4"/>
                <w:right w:val="none" w:color="000000" w:sz="4"/>
                <w:insideH w:val="none"/>
                <w:insideV w:val="none"/>
              </w:tblBorders>
            </w:tblPr>
            <w:tblGrid>
              <w:gridCol w:w="185"/>
              <w:gridCol w:w="381"/>
              <w:gridCol w:w="893"/>
              <w:gridCol w:w="306"/>
              <w:gridCol w:w="185"/>
              <w:gridCol w:w="298"/>
              <w:gridCol w:w="306"/>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项目特征描述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全费用综合单价</w:t>
                  </w:r>
                  <w:r>
                    <w:rPr>
                      <w:rFonts w:ascii="仿宋_GB2312" w:hAnsi="仿宋_GB2312" w:cs="仿宋_GB2312" w:eastAsia="仿宋_GB2312"/>
                      <w:sz w:val="20"/>
                      <w:b/>
                      <w:color w:val="000000"/>
                    </w:rPr>
                    <w:t>(元)</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合价</w:t>
                  </w:r>
                  <w:r>
                    <w:rPr>
                      <w:rFonts w:ascii="仿宋_GB2312" w:hAnsi="仿宋_GB2312" w:cs="仿宋_GB2312" w:eastAsia="仿宋_GB2312"/>
                      <w:sz w:val="20"/>
                      <w:b/>
                      <w:color w:val="000000"/>
                    </w:rPr>
                    <w:t>(元)</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1.型号规格:100WLED灯串*1，80WLED灯球*9，50W模组/片*6</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85200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三火灯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1.型号规格:100WLED灯串*1，245W模组/片*3</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66970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双挑灯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1.型号规格:50W模组/片*6，120W中国结*2，120W灯笼*5</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380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198740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鱼跃灯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1.型号规格：100WLED灯串*1，80WLED灯球*13，50W模组/片*1，120W中国结*2</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261600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单挑灯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1.型号规格：50W模组/片*3</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567580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单臂路灯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1.型号规格：150W模组/片*1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370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63270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中华灯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1.型号规格：100WLED灯串*1，80WLED灯球*17，50W模组/片*1，120W灯孔*2</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390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358020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双臂路灯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1.型号规格：150W模组/片*1，50WLED模组/片*1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317600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三火中杆灯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1.型号规格：245W模组/片*3</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13600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双头灯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1.型号规格：140W钠灯*2</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玉兰灯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1.型号规格：80WLED灯球*1，50W模组/片*8</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投射灯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1.型号规格：200W投射灯*1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1440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四头灯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1.型号规格：50WLED模组/片*4</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7600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高杆射灯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1.型号规格：50W模组/片*6</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仿古灯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42800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仿古单挑灯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1.型号规格：100WLED灯串*1，50W模组/片*3</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仿古双挑灯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1.型号规格：100WLED灯串*1，50W模组/片*6，140W钠灯*2，200W鱼片灯*2</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218000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挂式单臂路灯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高杆灯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1.型号规格：140W钠灯*1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上杆单挑</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1.型号规格：50W模组/片*3</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太阳能壁灯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1.型号规格：120W太阳能灯*1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12240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1.型号规格：120W太阳能灯*1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290880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槐花灯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1.型号规格：100WLED灯串*1，5WLED灯球*81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420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22260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1.型号规格：245W模组/片*1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400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7200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地道涵洞灯</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1.型号规格：60WLED灯*1</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340</w:t>
                  </w:r>
                </w:p>
              </w:tc>
              <w:tc>
                <w:tcPr>
                  <w:tcW w:type="dxa" w:w="30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5440</w:t>
                  </w:r>
                </w:p>
              </w:tc>
            </w:tr>
            <w:tr>
              <w:tc>
                <w:tcPr>
                  <w:tcW w:type="dxa" w:w="145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合计</w:t>
                  </w:r>
                </w:p>
              </w:tc>
              <w:tc>
                <w:tcPr>
                  <w:tcW w:type="dxa" w:w="109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2601240</w:t>
                  </w:r>
                </w:p>
              </w:tc>
            </w:tr>
          </w:tbl>
          <w:p>
            <w:pPr>
              <w:pStyle w:val="null3"/>
            </w:pPr>
            <w:r>
              <w:rPr>
                <w:rFonts w:ascii="仿宋_GB2312" w:hAnsi="仿宋_GB2312" w:cs="仿宋_GB2312" w:eastAsia="仿宋_GB2312"/>
                <w:sz w:val="20"/>
                <w:b/>
                <w:color w:val="000000"/>
              </w:rPr>
              <w:t>清单及限价</w:t>
            </w:r>
            <w:r>
              <w:rPr>
                <w:rFonts w:ascii="仿宋_GB2312" w:hAnsi="仿宋_GB2312" w:cs="仿宋_GB2312" w:eastAsia="仿宋_GB2312"/>
                <w:sz w:val="20"/>
                <w:b/>
                <w:color w:val="000000"/>
              </w:rPr>
              <w:t>-楼体灯具</w:t>
            </w:r>
          </w:p>
          <w:tbl>
            <w:tblPr>
              <w:tblBorders>
                <w:top w:val="none" w:color="000000" w:sz="4"/>
                <w:left w:val="none" w:color="000000" w:sz="4"/>
                <w:bottom w:val="none" w:color="000000" w:sz="4"/>
                <w:right w:val="none" w:color="000000" w:sz="4"/>
                <w:insideH w:val="none"/>
                <w:insideV w:val="none"/>
              </w:tblBorders>
            </w:tblPr>
            <w:tblGrid>
              <w:gridCol w:w="185"/>
              <w:gridCol w:w="463"/>
              <w:gridCol w:w="763"/>
              <w:gridCol w:w="306"/>
              <w:gridCol w:w="244"/>
              <w:gridCol w:w="286"/>
              <w:gridCol w:w="306"/>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项目特征描述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全费用综合单价</w:t>
                  </w:r>
                  <w:r>
                    <w:rPr>
                      <w:rFonts w:ascii="仿宋_GB2312" w:hAnsi="仿宋_GB2312" w:cs="仿宋_GB2312" w:eastAsia="仿宋_GB2312"/>
                      <w:sz w:val="20"/>
                      <w:b/>
                      <w:color w:val="000000"/>
                    </w:rPr>
                    <w:t>(元)</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合价</w:t>
                  </w:r>
                  <w:r>
                    <w:rPr>
                      <w:rFonts w:ascii="仿宋_GB2312" w:hAnsi="仿宋_GB2312" w:cs="仿宋_GB2312" w:eastAsia="仿宋_GB2312"/>
                      <w:sz w:val="20"/>
                      <w:b/>
                      <w:color w:val="000000"/>
                    </w:rPr>
                    <w:t>(元)</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15瓦及10瓦点光源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1.型号规格:15瓦及10瓦点光源，RGBW，DC24V，IP65</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76509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459054</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投光灯、线条灯、洗墙灯、窗台灯</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1.型号规格:9W、12W、15W、18W、24W、36W、50W、72W、90W、100W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205665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5882019</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2.7瓦及0.72瓦点光源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1.型号规格:2.7瓦及0.2瓦点光源，RGB，DC12V，120度</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117000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327600</w:t>
                  </w:r>
                </w:p>
              </w:tc>
            </w:tr>
            <w:tr>
              <w:tc>
                <w:tcPr>
                  <w:tcW w:type="dxa" w:w="141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合计</w:t>
                  </w:r>
                </w:p>
              </w:tc>
              <w:tc>
                <w:tcPr>
                  <w:tcW w:type="dxa" w:w="114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6668673</w:t>
                  </w:r>
                </w:p>
              </w:tc>
            </w:tr>
          </w:tbl>
          <w:p>
            <w:pPr>
              <w:pStyle w:val="null3"/>
            </w:pPr>
            <w:r>
              <w:rPr>
                <w:rFonts w:ascii="仿宋_GB2312" w:hAnsi="仿宋_GB2312" w:cs="仿宋_GB2312" w:eastAsia="仿宋_GB2312"/>
                <w:sz w:val="20"/>
                <w:b/>
                <w:color w:val="000000"/>
              </w:rPr>
              <w:t>清单及限价</w:t>
            </w:r>
            <w:r>
              <w:rPr>
                <w:rFonts w:ascii="仿宋_GB2312" w:hAnsi="仿宋_GB2312" w:cs="仿宋_GB2312" w:eastAsia="仿宋_GB2312"/>
                <w:sz w:val="20"/>
                <w:b/>
                <w:color w:val="000000"/>
              </w:rPr>
              <w:t>-地灯</w:t>
            </w:r>
          </w:p>
          <w:tbl>
            <w:tblPr>
              <w:tblBorders>
                <w:top w:val="none" w:color="000000" w:sz="4"/>
                <w:left w:val="none" w:color="000000" w:sz="4"/>
                <w:bottom w:val="none" w:color="000000" w:sz="4"/>
                <w:right w:val="none" w:color="000000" w:sz="4"/>
                <w:insideH w:val="none"/>
                <w:insideV w:val="none"/>
              </w:tblBorders>
            </w:tblPr>
            <w:tblGrid>
              <w:gridCol w:w="185"/>
              <w:gridCol w:w="306"/>
              <w:gridCol w:w="811"/>
              <w:gridCol w:w="306"/>
              <w:gridCol w:w="215"/>
              <w:gridCol w:w="426"/>
              <w:gridCol w:w="306"/>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项目特征描述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全费用综合单价</w:t>
                  </w:r>
                  <w:r>
                    <w:rPr>
                      <w:rFonts w:ascii="仿宋_GB2312" w:hAnsi="仿宋_GB2312" w:cs="仿宋_GB2312" w:eastAsia="仿宋_GB2312"/>
                      <w:sz w:val="20"/>
                      <w:b/>
                      <w:color w:val="000000"/>
                    </w:rPr>
                    <w:t>(元)</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合价</w:t>
                  </w:r>
                  <w:r>
                    <w:rPr>
                      <w:rFonts w:ascii="仿宋_GB2312" w:hAnsi="仿宋_GB2312" w:cs="仿宋_GB2312" w:eastAsia="仿宋_GB2312"/>
                      <w:sz w:val="20"/>
                      <w:b/>
                      <w:color w:val="000000"/>
                    </w:rPr>
                    <w:t>(元)</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1.型号规格:LED灯具，12W、24W、54W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857280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鸟巢灯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34710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景观灯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1.型号规格:LED灯具，12W、24W、100W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48412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荷花灯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1.型号规格:LED灯具，12W、24W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2964</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仿古灯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23556</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线条灯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1.型号规格:LED灯具，12W、24W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17388</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景观壁灯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11076</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柱灯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1.型号规格:LED灯具，12W、1000W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灯组</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1.型号规格:LED灯具，24W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草坪灯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1.型号规格:LED灯具，40W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11622</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庭院灯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1.型号规格:LED灯具，60W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34710</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1.型号规格:LED灯具，54W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22308</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灯带</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1.型号规格:LED灯具，12W</w:t>
                  </w:r>
                  <w:r>
                    <w:br/>
                  </w:r>
                  <w:r>
                    <w:rPr>
                      <w:rFonts w:ascii="仿宋_GB2312" w:hAnsi="仿宋_GB2312" w:cs="仿宋_GB2312" w:eastAsia="仿宋_GB2312"/>
                      <w:sz w:val="20"/>
                      <w:color w:val="000000"/>
                    </w:rPr>
                    <w:t>2.工作内容：灯具日常维护、更换</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269.1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7803.9</w:t>
                  </w:r>
                </w:p>
              </w:tc>
            </w:tr>
            <w:tr>
              <w:tc>
                <w:tcPr>
                  <w:tcW w:type="dxa" w:w="13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合计</w:t>
                  </w:r>
                </w:p>
              </w:tc>
              <w:tc>
                <w:tcPr>
                  <w:tcW w:type="dxa" w:w="125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1075529.9</w:t>
                  </w:r>
                </w:p>
              </w:tc>
            </w:tr>
          </w:tbl>
          <w:p>
            <w:pPr>
              <w:pStyle w:val="null3"/>
              <w:jc w:val="center"/>
            </w:pPr>
            <w:r>
              <w:rPr>
                <w:rFonts w:ascii="仿宋_GB2312" w:hAnsi="仿宋_GB2312" w:cs="仿宋_GB2312" w:eastAsia="仿宋_GB2312"/>
                <w:sz w:val="20"/>
                <w:b/>
                <w:color w:val="000000"/>
              </w:rPr>
              <w:t>清单及限价</w:t>
            </w:r>
            <w:r>
              <w:rPr>
                <w:rFonts w:ascii="仿宋_GB2312" w:hAnsi="仿宋_GB2312" w:cs="仿宋_GB2312" w:eastAsia="仿宋_GB2312"/>
                <w:sz w:val="20"/>
                <w:b/>
                <w:color w:val="000000"/>
              </w:rPr>
              <w:t>-变电箱及日常巡查</w:t>
            </w:r>
          </w:p>
          <w:tbl>
            <w:tblPr>
              <w:tblBorders>
                <w:top w:val="none" w:color="000000" w:sz="4"/>
                <w:left w:val="none" w:color="000000" w:sz="4"/>
                <w:bottom w:val="none" w:color="000000" w:sz="4"/>
                <w:right w:val="none" w:color="000000" w:sz="4"/>
                <w:insideH w:val="none"/>
                <w:insideV w:val="none"/>
              </w:tblBorders>
            </w:tblPr>
            <w:tblGrid>
              <w:gridCol w:w="179"/>
              <w:gridCol w:w="485"/>
              <w:gridCol w:w="939"/>
              <w:gridCol w:w="222"/>
              <w:gridCol w:w="201"/>
              <w:gridCol w:w="254"/>
              <w:gridCol w:w="271"/>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项目特征描述</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计量单位</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全费用综合单价</w:t>
                  </w:r>
                  <w:r>
                    <w:rPr>
                      <w:rFonts w:ascii="仿宋_GB2312" w:hAnsi="仿宋_GB2312" w:cs="仿宋_GB2312" w:eastAsia="仿宋_GB2312"/>
                      <w:sz w:val="20"/>
                      <w:b/>
                      <w:color w:val="000000"/>
                    </w:rPr>
                    <w:t>(元)</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合价</w:t>
                  </w:r>
                  <w:r>
                    <w:rPr>
                      <w:rFonts w:ascii="仿宋_GB2312" w:hAnsi="仿宋_GB2312" w:cs="仿宋_GB2312" w:eastAsia="仿宋_GB2312"/>
                      <w:sz w:val="20"/>
                      <w:b/>
                      <w:color w:val="000000"/>
                    </w:rPr>
                    <w:t>(元)</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变电箱</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1.型号规格:额定电压10KV，容量80-1250kVA     2.工作内容：变电箱事故维护</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10000</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700000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投光灯、线条灯、洗墙灯、窗台灯</w:t>
                  </w:r>
                  <w:r>
                    <w:rPr>
                      <w:rFonts w:ascii="仿宋_GB2312" w:hAnsi="仿宋_GB2312" w:cs="仿宋_GB2312" w:eastAsia="仿宋_GB2312"/>
                      <w:sz w:val="20"/>
                      <w:color w:val="000000"/>
                    </w:rPr>
                    <w:t>日常巡查</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1.工作内容：不亮灯具楼栋日常巡查</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89580</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1433280</w:t>
                  </w:r>
                </w:p>
              </w:tc>
            </w:tr>
            <w:tr>
              <w:tc>
                <w:tcPr>
                  <w:tcW w:type="dxa" w:w="16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合计</w:t>
                  </w:r>
                </w:p>
              </w:tc>
              <w:tc>
                <w:tcPr>
                  <w:tcW w:type="dxa" w:w="94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2133280</w:t>
                  </w:r>
                </w:p>
              </w:tc>
            </w:tr>
          </w:tbl>
          <w:p>
            <w:pPr>
              <w:pStyle w:val="null3"/>
            </w:pPr>
            <w:r>
              <w:rPr>
                <w:rFonts w:ascii="仿宋_GB2312" w:hAnsi="仿宋_GB2312" w:cs="仿宋_GB2312" w:eastAsia="仿宋_GB2312"/>
                <w:sz w:val="21"/>
                <w:b/>
              </w:rPr>
              <w:t>韩城市住房和城乡建设局</w:t>
            </w:r>
          </w:p>
          <w:p>
            <w:pPr>
              <w:pStyle w:val="null3"/>
              <w:jc w:val="center"/>
            </w:pPr>
            <w:r>
              <w:rPr>
                <w:rFonts w:ascii="仿宋_GB2312" w:hAnsi="仿宋_GB2312" w:cs="仿宋_GB2312" w:eastAsia="仿宋_GB2312"/>
                <w:sz w:val="21"/>
                <w:b/>
              </w:rPr>
              <w:t>关于《韩城市亮化照明设施维护维修》履约考核办法及细则</w:t>
            </w:r>
          </w:p>
          <w:p>
            <w:pPr>
              <w:pStyle w:val="null3"/>
              <w:ind w:firstLine="420"/>
              <w:jc w:val="both"/>
            </w:pPr>
            <w:r>
              <w:rPr>
                <w:rFonts w:ascii="仿宋_GB2312" w:hAnsi="仿宋_GB2312" w:cs="仿宋_GB2312" w:eastAsia="仿宋_GB2312"/>
                <w:sz w:val="21"/>
              </w:rPr>
              <w:t>为进一步加强和规范城市亮化工程日常维护管理工作，努力提高城市亮化工程管理水平，切实加强《韩城市亮化照明设施维护维修》履约管理考核，特制定本考核办法。</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考核区域和范围</w:t>
            </w:r>
          </w:p>
          <w:p>
            <w:pPr>
              <w:pStyle w:val="null3"/>
              <w:ind w:firstLine="420"/>
              <w:jc w:val="both"/>
            </w:pPr>
            <w:r>
              <w:rPr>
                <w:rFonts w:ascii="仿宋_GB2312" w:hAnsi="仿宋_GB2312" w:cs="仿宋_GB2312" w:eastAsia="仿宋_GB2312"/>
                <w:sz w:val="21"/>
              </w:rPr>
              <w:t>韩城市域范围内所有的路灯、楼体亮化和绿化带景观亮化等城市亮化照明设施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考核的依据和原则</w:t>
            </w:r>
          </w:p>
          <w:p>
            <w:pPr>
              <w:pStyle w:val="null3"/>
              <w:ind w:firstLine="420"/>
              <w:jc w:val="both"/>
            </w:pPr>
            <w:r>
              <w:rPr>
                <w:rFonts w:ascii="仿宋_GB2312" w:hAnsi="仿宋_GB2312" w:cs="仿宋_GB2312" w:eastAsia="仿宋_GB2312"/>
                <w:sz w:val="21"/>
              </w:rPr>
              <w:t>以双方签订的合同为基础，以客观存在的事实为依据，按照公平、公正、实事求是的原则进行。</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考核项目和内容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城市街道、道路的路灯亮灯率；</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城市亮化设施的完好率和清洁率；</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城市亮化设施事故处理情况；</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城市亮化设施的定时开放和日常维护工作。</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考核方式</w:t>
            </w:r>
          </w:p>
          <w:p>
            <w:pPr>
              <w:pStyle w:val="null3"/>
              <w:ind w:firstLine="420"/>
              <w:jc w:val="both"/>
            </w:pPr>
            <w:r>
              <w:rPr>
                <w:rFonts w:ascii="仿宋_GB2312" w:hAnsi="仿宋_GB2312" w:cs="仿宋_GB2312" w:eastAsia="仿宋_GB2312"/>
                <w:sz w:val="21"/>
              </w:rPr>
              <w:t>考核工作由韩城市住房和城乡建设局灯光办和市政工管理处共同负责。采用日常检查、定点抽查等办法对乙方履约情况进行全面的检查、监督、考核。检查资料需有两人以上现场影像资料或图片资料或书，书面资料作为证据，书面、图片资料必须有两人以上签字确认，考核结果以月为单位以书面形式报局业务科室和主管领导，同时通报乙方。</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考核等级</w:t>
            </w:r>
          </w:p>
          <w:p>
            <w:pPr>
              <w:pStyle w:val="null3"/>
              <w:ind w:firstLine="420"/>
              <w:jc w:val="both"/>
            </w:pPr>
            <w:r>
              <w:rPr>
                <w:rFonts w:ascii="仿宋_GB2312" w:hAnsi="仿宋_GB2312" w:cs="仿宋_GB2312" w:eastAsia="仿宋_GB2312"/>
                <w:sz w:val="21"/>
              </w:rPr>
              <w:t>甲方按照作业标准和要求，对乙方服务质量进行监督检查考核，考核结果需经维护公司经理签字确认，若无正当理由拒签的，以影像资料或文字考核告知单为准。每月检查考核满分为</w:t>
            </w:r>
            <w:r>
              <w:rPr>
                <w:rFonts w:ascii="仿宋_GB2312" w:hAnsi="仿宋_GB2312" w:cs="仿宋_GB2312" w:eastAsia="仿宋_GB2312"/>
                <w:sz w:val="21"/>
              </w:rPr>
              <w:t>100分，单月考核成绩90分至100分之间，每分将扣除当月经费的1%；当月考核成绩80分至90分之间，每分将扣除当月经费的2%；当月考核成绩低于80分以下，每分将扣除当月经费的5%；考核成绩连续2个月低于80分时，甲方有权终止服务合同。</w:t>
            </w:r>
          </w:p>
          <w:p>
            <w:pPr>
              <w:pStyle w:val="null3"/>
              <w:ind w:firstLine="420"/>
              <w:jc w:val="both"/>
            </w:pPr>
            <w:r>
              <w:rPr>
                <w:rFonts w:ascii="仿宋_GB2312" w:hAnsi="仿宋_GB2312" w:cs="仿宋_GB2312" w:eastAsia="仿宋_GB2312"/>
                <w:sz w:val="21"/>
              </w:rPr>
              <w:t>六、</w:t>
            </w:r>
            <w:r>
              <w:rPr>
                <w:rFonts w:ascii="仿宋_GB2312" w:hAnsi="仿宋_GB2312" w:cs="仿宋_GB2312" w:eastAsia="仿宋_GB2312"/>
                <w:sz w:val="21"/>
              </w:rPr>
              <w:t>具体要求和扣分标准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城市街道、道路的路灯亮灯率要求</w:t>
            </w:r>
          </w:p>
          <w:p>
            <w:pPr>
              <w:pStyle w:val="null3"/>
              <w:ind w:firstLine="420"/>
              <w:jc w:val="both"/>
            </w:pPr>
            <w:r>
              <w:rPr>
                <w:rFonts w:ascii="仿宋_GB2312" w:hAnsi="仿宋_GB2312" w:cs="仿宋_GB2312" w:eastAsia="仿宋_GB2312"/>
                <w:sz w:val="21"/>
              </w:rPr>
              <w:t>城市主干道路灯亮灯率达到</w:t>
            </w:r>
            <w:r>
              <w:rPr>
                <w:rFonts w:ascii="仿宋_GB2312" w:hAnsi="仿宋_GB2312" w:cs="仿宋_GB2312" w:eastAsia="仿宋_GB2312"/>
                <w:sz w:val="21"/>
              </w:rPr>
              <w:t>98%以上，城区次干道、支路路灯亮灯率到96%以上，乙方应每天安排人员对亮化区域的所有路灯进行巡查检修，甲方检查过程中发现有任何一条道路不达标的。每天次扣1分。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城市亮化设施的完好率和清洁率要求</w:t>
            </w:r>
          </w:p>
          <w:p>
            <w:pPr>
              <w:pStyle w:val="null3"/>
              <w:ind w:firstLine="420"/>
              <w:jc w:val="both"/>
            </w:pPr>
            <w:r>
              <w:rPr>
                <w:rFonts w:ascii="仿宋_GB2312" w:hAnsi="仿宋_GB2312" w:cs="仿宋_GB2312" w:eastAsia="仿宋_GB2312"/>
                <w:sz w:val="21"/>
              </w:rPr>
              <w:t>城市亮化设施的完好率达到</w:t>
            </w:r>
            <w:r>
              <w:rPr>
                <w:rFonts w:ascii="仿宋_GB2312" w:hAnsi="仿宋_GB2312" w:cs="仿宋_GB2312" w:eastAsia="仿宋_GB2312"/>
                <w:sz w:val="21"/>
              </w:rPr>
              <w:t>96%以上，城市亮化设施的清洁率达到98%以上，乙方应定期安排人员对亮化区域的所有亮化设施进行维护清洁，确保亮化设施的完整性和清洁性。甲方检查过程中发现有任何一处不达标的，每天次扣1分。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城市亮化设施事故处理情况要求</w:t>
            </w:r>
          </w:p>
          <w:p>
            <w:pPr>
              <w:pStyle w:val="null3"/>
              <w:ind w:firstLine="420"/>
              <w:jc w:val="both"/>
            </w:pPr>
            <w:r>
              <w:rPr>
                <w:rFonts w:ascii="仿宋_GB2312" w:hAnsi="仿宋_GB2312" w:cs="仿宋_GB2312" w:eastAsia="仿宋_GB2312"/>
                <w:sz w:val="21"/>
              </w:rPr>
              <w:t>乙方应设立</w:t>
            </w:r>
            <w:r>
              <w:rPr>
                <w:rFonts w:ascii="仿宋_GB2312" w:hAnsi="仿宋_GB2312" w:cs="仿宋_GB2312" w:eastAsia="仿宋_GB2312"/>
                <w:sz w:val="21"/>
              </w:rPr>
              <w:t>24小时值班电话，在接到报障电话后，必须5分钟之内响应，30分钟之内到达抢修现场及时处理（地面故障处理、安全处理），同时也安排工作人员每天对所有亮化维护区域进行日常巡查，出现一般故障2小时内修复，排除线路故障4小时内修复，较复杂的故障或存在高空作业的24小时内修复。未及时修复的每天次扣除1分。</w:t>
            </w:r>
          </w:p>
          <w:p>
            <w:pPr>
              <w:pStyle w:val="null3"/>
              <w:ind w:firstLine="420"/>
              <w:jc w:val="both"/>
            </w:pPr>
            <w:r>
              <w:rPr>
                <w:rFonts w:ascii="仿宋_GB2312" w:hAnsi="仿宋_GB2312" w:cs="仿宋_GB2312" w:eastAsia="仿宋_GB2312"/>
                <w:sz w:val="21"/>
              </w:rPr>
              <w:t>4.制定并实施亮化设施科学的开关等灯时间，如遇节假日、接待任务、重大活动和突发事件，乙方必须服从和配合甲方，按时完成业务范围内的各项工作。未做到位的每次扣除1分。</w:t>
            </w:r>
          </w:p>
          <w:p>
            <w:pPr>
              <w:pStyle w:val="null3"/>
              <w:ind w:firstLine="420"/>
              <w:jc w:val="both"/>
            </w:pPr>
            <w:r>
              <w:rPr>
                <w:rFonts w:ascii="仿宋_GB2312" w:hAnsi="仿宋_GB2312" w:cs="仿宋_GB2312" w:eastAsia="仿宋_GB2312"/>
                <w:sz w:val="21"/>
              </w:rPr>
              <w:t>5.乙方不得擅自增加或拆除亮化设施，必要时需向甲方报备审批后实施，以保证其整体艺术性。检查中每发现一处扣2分。</w:t>
            </w:r>
          </w:p>
          <w:p>
            <w:pPr>
              <w:pStyle w:val="null3"/>
              <w:ind w:firstLine="420"/>
              <w:jc w:val="both"/>
            </w:pPr>
            <w:r>
              <w:rPr>
                <w:rFonts w:ascii="仿宋_GB2312" w:hAnsi="仿宋_GB2312" w:cs="仿宋_GB2312" w:eastAsia="仿宋_GB2312"/>
                <w:sz w:val="21"/>
              </w:rPr>
              <w:t>6.乙方应定期（月，季，年）度对所维护的亮化区域进行科学、系统的安全大检查，并做好详细的检查记录，确保所有亮化设施正常运行。未做到位的扣2分。</w:t>
            </w:r>
          </w:p>
          <w:p>
            <w:pPr>
              <w:pStyle w:val="null3"/>
              <w:ind w:firstLine="420"/>
              <w:jc w:val="both"/>
            </w:pPr>
            <w:r>
              <w:rPr>
                <w:rFonts w:ascii="仿宋_GB2312" w:hAnsi="仿宋_GB2312" w:cs="仿宋_GB2312" w:eastAsia="仿宋_GB2312"/>
                <w:sz w:val="21"/>
              </w:rPr>
              <w:t>7.乙方应建立健全所管护的亮化工程资料档案和维修档案，建立详细的记录手册，并在手册上及时记录当天的检修、维修和更换等行为。未做到位的扣2分。</w:t>
            </w:r>
          </w:p>
          <w:p>
            <w:pPr>
              <w:pStyle w:val="null3"/>
              <w:ind w:firstLine="420"/>
              <w:jc w:val="both"/>
            </w:pPr>
            <w:r>
              <w:rPr>
                <w:rFonts w:ascii="仿宋_GB2312" w:hAnsi="仿宋_GB2312" w:cs="仿宋_GB2312" w:eastAsia="仿宋_GB2312"/>
                <w:sz w:val="21"/>
              </w:rPr>
              <w:t>8.乙方应建立健全公司日常的安全生产管理制度，抓好安全生产工作，切实加强机械设备和操作人员的日常管理，甲方有义务监督检查乙方对员工进行安全培训。由于车辆、机械设备或人员违规操作的扣2分。</w:t>
            </w:r>
          </w:p>
          <w:p>
            <w:pPr>
              <w:pStyle w:val="null3"/>
              <w:ind w:firstLine="420"/>
              <w:jc w:val="both"/>
            </w:pPr>
            <w:r>
              <w:rPr>
                <w:rFonts w:ascii="仿宋_GB2312" w:hAnsi="仿宋_GB2312" w:cs="仿宋_GB2312" w:eastAsia="仿宋_GB2312"/>
                <w:sz w:val="21"/>
              </w:rPr>
              <w:t>9.乙方应严格遵守《劳动法》等国家的各项法律、法规，按时为员工办理相关社保、保险和发放各种福利待遇，同时加强聘用员工的管理和教育工作。乙方与其聘用的所有员工发生不安全事故、人身疾病及违反法律法规的情况，由乙方承担一切后果，并消除影响。由于未办理社保、保险和福利待遇导致员工上访的扣2分。</w:t>
            </w:r>
          </w:p>
          <w:p>
            <w:pPr>
              <w:pStyle w:val="null3"/>
              <w:ind w:firstLine="420"/>
              <w:jc w:val="both"/>
            </w:pPr>
            <w:r>
              <w:rPr>
                <w:rFonts w:ascii="仿宋_GB2312" w:hAnsi="仿宋_GB2312" w:cs="仿宋_GB2312" w:eastAsia="仿宋_GB2312"/>
                <w:sz w:val="21"/>
              </w:rPr>
              <w:t>10.乙方不得以任何理由和任何形式向服务范围内的单位和个人收取费用。发现、被投诉或举报经调查情况属实扣2分。</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乙方必须根据合同中的各项条款履行各项职责，如甲方检查中发现乙方组织措施不当、计划不落实、管理不严、实施方案中所列人员、机械设备（工具）与现场实际不符，导致维护质量达不到标准的，甲方有权要求乙方进行整改，并且所造成的损失全部由乙方承担，并扣除合同价款1%作为罚款。</w:t>
            </w:r>
          </w:p>
          <w:p>
            <w:pPr>
              <w:pStyle w:val="null3"/>
              <w:ind w:firstLine="420"/>
              <w:jc w:val="both"/>
            </w:pPr>
            <w:r>
              <w:rPr>
                <w:rFonts w:ascii="仿宋_GB2312" w:hAnsi="仿宋_GB2312" w:cs="仿宋_GB2312" w:eastAsia="仿宋_GB2312"/>
                <w:sz w:val="21"/>
              </w:rPr>
              <w:t>七、</w:t>
            </w:r>
            <w:r>
              <w:rPr>
                <w:rFonts w:ascii="仿宋_GB2312" w:hAnsi="仿宋_GB2312" w:cs="仿宋_GB2312" w:eastAsia="仿宋_GB2312"/>
                <w:sz w:val="21"/>
              </w:rPr>
              <w:t>本办法最终解释权归韩城市住房和城乡建设局所有。</w:t>
            </w:r>
          </w:p>
          <w:p>
            <w:pPr>
              <w:pStyle w:val="null3"/>
              <w:ind w:firstLine="420"/>
              <w:jc w:val="both"/>
            </w:pPr>
            <w:r>
              <w:rPr>
                <w:rFonts w:ascii="仿宋_GB2312" w:hAnsi="仿宋_GB2312" w:cs="仿宋_GB2312" w:eastAsia="仿宋_GB2312"/>
                <w:sz w:val="21"/>
              </w:rPr>
              <w:t>八、</w:t>
            </w:r>
            <w:r>
              <w:rPr>
                <w:rFonts w:ascii="仿宋_GB2312" w:hAnsi="仿宋_GB2312" w:cs="仿宋_GB2312" w:eastAsia="仿宋_GB2312"/>
                <w:sz w:val="21"/>
              </w:rPr>
              <w:t>本办法自发布之日起执行。</w:t>
            </w:r>
          </w:p>
          <w:p>
            <w:pPr>
              <w:pStyle w:val="null3"/>
              <w:jc w:val="center"/>
            </w:pPr>
            <w:r>
              <w:rPr>
                <w:rFonts w:ascii="仿宋_GB2312" w:hAnsi="仿宋_GB2312" w:cs="仿宋_GB2312" w:eastAsia="仿宋_GB2312"/>
                <w:sz w:val="21"/>
                <w:b/>
              </w:rPr>
              <w:t>韩城市城市亮化照明设施维护维修服务月考核打分表</w:t>
            </w:r>
          </w:p>
          <w:tbl>
            <w:tblPr>
              <w:tblBorders>
                <w:top w:val="none" w:color="000000" w:sz="4"/>
                <w:left w:val="none" w:color="000000" w:sz="4"/>
                <w:bottom w:val="none" w:color="000000" w:sz="4"/>
                <w:right w:val="none" w:color="000000" w:sz="4"/>
                <w:insideH w:val="none"/>
                <w:insideV w:val="none"/>
              </w:tblBorders>
            </w:tblPr>
            <w:tblGrid>
              <w:gridCol w:w="208"/>
              <w:gridCol w:w="407"/>
              <w:gridCol w:w="1721"/>
              <w:gridCol w:w="217"/>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考核内容</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评分标准</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资料检查</w:t>
                  </w:r>
                  <w:r>
                    <w:rPr>
                      <w:rFonts w:ascii="仿宋_GB2312" w:hAnsi="仿宋_GB2312" w:cs="仿宋_GB2312" w:eastAsia="仿宋_GB2312"/>
                      <w:sz w:val="20"/>
                    </w:rPr>
                    <w:t>10分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每月派工单维护维修完成情况</w:t>
                  </w:r>
                  <w:r>
                    <w:rPr>
                      <w:rFonts w:ascii="仿宋_GB2312" w:hAnsi="仿宋_GB2312" w:cs="仿宋_GB2312" w:eastAsia="仿宋_GB2312"/>
                      <w:sz w:val="20"/>
                    </w:rPr>
                    <w:t>5分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1、每月派工单维护维修完成率低于96%扣2分，高于98%得不扣分；2、未如实完成每月派工单维护维修完成情况的的0分。</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tcBorders>
                    <w:top w:val="none" w:color="000000" w:sz="4"/>
                    <w:left w:val="single" w:color="000000" w:sz="4"/>
                    <w:bottom w:val="single" w:color="000000" w:sz="4"/>
                    <w:right w:val="single" w:color="000000" w:sz="4"/>
                  </w:tcBorders>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维护维修日志</w:t>
                  </w:r>
                  <w:r>
                    <w:rPr>
                      <w:rFonts w:ascii="仿宋_GB2312" w:hAnsi="仿宋_GB2312" w:cs="仿宋_GB2312" w:eastAsia="仿宋_GB2312"/>
                      <w:sz w:val="20"/>
                    </w:rPr>
                    <w:t>5分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1、维护维修日志缺一天，扣0.15分；2、维护维修日志记录详尽情况得0.1-0.5分；</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现场检查</w:t>
                  </w:r>
                  <w:r>
                    <w:rPr>
                      <w:rFonts w:ascii="仿宋_GB2312" w:hAnsi="仿宋_GB2312" w:cs="仿宋_GB2312" w:eastAsia="仿宋_GB2312"/>
                      <w:sz w:val="20"/>
                    </w:rPr>
                    <w:t>70分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城市街道、道路的路灯亮灯率</w:t>
                  </w:r>
                  <w:r>
                    <w:rPr>
                      <w:rFonts w:ascii="仿宋_GB2312" w:hAnsi="仿宋_GB2312" w:cs="仿宋_GB2312" w:eastAsia="仿宋_GB2312"/>
                      <w:sz w:val="20"/>
                    </w:rPr>
                    <w:t>10分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城市主干道路灯亮灯率达到</w:t>
                  </w:r>
                  <w:r>
                    <w:rPr>
                      <w:rFonts w:ascii="仿宋_GB2312" w:hAnsi="仿宋_GB2312" w:cs="仿宋_GB2312" w:eastAsia="仿宋_GB2312"/>
                      <w:sz w:val="20"/>
                    </w:rPr>
                    <w:t>98%以上，城区次干道、支路路灯亮灯率到96%以上，乙方应每天安排人员对亮化区域的所有路灯进行巡查检修，当月甲方检查过程中发现有任何一条道路不达标的。每次扣1分，扣完为止。</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tcBorders>
                    <w:top w:val="none" w:color="000000" w:sz="4"/>
                    <w:left w:val="single" w:color="000000" w:sz="4"/>
                    <w:bottom w:val="single" w:color="000000" w:sz="4"/>
                    <w:right w:val="single" w:color="000000" w:sz="4"/>
                  </w:tcBorders>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城市亮化设施的完好率和清洁率要求</w:t>
                  </w:r>
                  <w:r>
                    <w:rPr>
                      <w:rFonts w:ascii="仿宋_GB2312" w:hAnsi="仿宋_GB2312" w:cs="仿宋_GB2312" w:eastAsia="仿宋_GB2312"/>
                      <w:sz w:val="20"/>
                    </w:rPr>
                    <w:t>10分</w:t>
                  </w:r>
                </w:p>
                <w:p>
                  <w:pPr>
                    <w:pStyle w:val="null3"/>
                    <w:jc w:val="center"/>
                  </w:pP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城市亮化设施的完好率达到</w:t>
                  </w:r>
                  <w:r>
                    <w:rPr>
                      <w:rFonts w:ascii="仿宋_GB2312" w:hAnsi="仿宋_GB2312" w:cs="仿宋_GB2312" w:eastAsia="仿宋_GB2312"/>
                      <w:sz w:val="20"/>
                    </w:rPr>
                    <w:t>96%以上，城市亮化设施的清洁率达到98%以上，乙方应定期安排人员对亮化区域的所有亮化设施进行维护清洁，确保亮化设施的完整性和清洁性。当月甲方检查过程中发现有任何一处不达标的，每次扣1分，扣完为止。</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tcBorders>
                    <w:top w:val="none" w:color="000000" w:sz="4"/>
                    <w:left w:val="single" w:color="000000" w:sz="4"/>
                    <w:bottom w:val="single" w:color="000000" w:sz="4"/>
                    <w:right w:val="single" w:color="000000" w:sz="4"/>
                  </w:tcBorders>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城市亮化设施事故处理情况</w:t>
                  </w:r>
                  <w:r>
                    <w:rPr>
                      <w:rFonts w:ascii="仿宋_GB2312" w:hAnsi="仿宋_GB2312" w:cs="仿宋_GB2312" w:eastAsia="仿宋_GB2312"/>
                      <w:sz w:val="20"/>
                    </w:rPr>
                    <w:t>15分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乙方应设立</w:t>
                  </w:r>
                  <w:r>
                    <w:rPr>
                      <w:rFonts w:ascii="仿宋_GB2312" w:hAnsi="仿宋_GB2312" w:cs="仿宋_GB2312" w:eastAsia="仿宋_GB2312"/>
                      <w:sz w:val="20"/>
                    </w:rPr>
                    <w:t>24小时值班电话，在接到报障电话后，必须5分钟之内响应，30分钟之内到达抢修现场及时处理（地面故障处理、安全处理），同时也安排工作人员每天对所有亮化维护区域进行日常巡查，出现一般故障2小时内修复，排除线路故障4小时内修复，较复杂的故障或存在高空作业的24小时内修复。当月未及时修复的每次扣除1分。</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tcBorders>
                    <w:top w:val="none" w:color="000000" w:sz="4"/>
                    <w:left w:val="single" w:color="000000" w:sz="4"/>
                    <w:bottom w:val="single" w:color="000000" w:sz="4"/>
                    <w:right w:val="single" w:color="000000" w:sz="4"/>
                  </w:tcBorders>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和甲方日常协调配合度</w:t>
                  </w:r>
                  <w:r>
                    <w:rPr>
                      <w:rFonts w:ascii="仿宋_GB2312" w:hAnsi="仿宋_GB2312" w:cs="仿宋_GB2312" w:eastAsia="仿宋_GB2312"/>
                      <w:sz w:val="20"/>
                    </w:rPr>
                    <w:t>10分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1.制定并实施亮化设施科学的开关等灯时间，如遇节假日、接待任务、重大活动和突发事件，乙方必须服从和配合甲方，按时完成业务范围内的各项工作。未做到位的每次扣除1分。</w:t>
                  </w:r>
                </w:p>
                <w:p>
                  <w:pPr>
                    <w:pStyle w:val="null3"/>
                    <w:jc w:val="left"/>
                  </w:pPr>
                  <w:r>
                    <w:rPr>
                      <w:rFonts w:ascii="仿宋_GB2312" w:hAnsi="仿宋_GB2312" w:cs="仿宋_GB2312" w:eastAsia="仿宋_GB2312"/>
                      <w:sz w:val="20"/>
                    </w:rPr>
                    <w:t>2.乙方不得擅自增加或拆除亮化设施，必要时需向甲方报备审批后实施，以保证其整体艺术性。检查中每发现一处扣2分。</w:t>
                  </w:r>
                </w:p>
                <w:p>
                  <w:pPr>
                    <w:pStyle w:val="null3"/>
                    <w:jc w:val="left"/>
                  </w:pPr>
                  <w:r>
                    <w:rPr>
                      <w:rFonts w:ascii="仿宋_GB2312" w:hAnsi="仿宋_GB2312" w:cs="仿宋_GB2312" w:eastAsia="仿宋_GB2312"/>
                      <w:sz w:val="20"/>
                    </w:rPr>
                    <w:t>3.乙方应定期（月）度对所维护的亮化区域进行科学、系统的安全大检查，并做好详细的检查记录，确保所有亮化设施正常运行。未做到位的扣2分。</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tcBorders>
                    <w:top w:val="none" w:color="000000" w:sz="4"/>
                    <w:left w:val="single" w:color="000000" w:sz="4"/>
                    <w:bottom w:val="single" w:color="000000" w:sz="4"/>
                    <w:right w:val="single" w:color="000000" w:sz="4"/>
                  </w:tcBorders>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维护维修作业现场及安全管理</w:t>
                  </w:r>
                  <w:r>
                    <w:rPr>
                      <w:rFonts w:ascii="仿宋_GB2312" w:hAnsi="仿宋_GB2312" w:cs="仿宋_GB2312" w:eastAsia="仿宋_GB2312"/>
                      <w:sz w:val="20"/>
                    </w:rPr>
                    <w:t>15</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1.乙方应建立健全公司日常的安全生产管理制度，抓好安全生产工作，切实加强机械设备和操作人员的日常管理，甲方有义务监督检查乙方对员工进行安全培训。由于车辆、机械设备或人员违规操作的扣2分。</w:t>
                  </w:r>
                </w:p>
                <w:p>
                  <w:pPr>
                    <w:pStyle w:val="null3"/>
                    <w:jc w:val="both"/>
                  </w:pPr>
                  <w:r>
                    <w:rPr>
                      <w:rFonts w:ascii="仿宋_GB2312" w:hAnsi="仿宋_GB2312" w:cs="仿宋_GB2312" w:eastAsia="仿宋_GB2312"/>
                      <w:sz w:val="20"/>
                    </w:rPr>
                    <w:t>2.乙方应严格遵守《劳动法》等国家的各项法律、法规，按时为员工办理相关社保、保险和发放各种福利待遇，同时加强聘用员工的管理和教育工作。乙方与其聘用的所有员工发生不安全事故、人身疾病及违反法律法规的情况，由乙方承担一切后果，并消除影响。由于未办理社保、保险和福利待遇导致员工上访的扣2分。</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8"/>
                  <w:vMerge/>
                  <w:tcBorders>
                    <w:top w:val="none" w:color="000000" w:sz="4"/>
                    <w:left w:val="single" w:color="000000" w:sz="4"/>
                    <w:bottom w:val="single" w:color="000000" w:sz="4"/>
                    <w:right w:val="single" w:color="000000" w:sz="4"/>
                  </w:tcBorders>
                </w:tcP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其他违规情况</w:t>
                  </w:r>
                  <w:r>
                    <w:rPr>
                      <w:rFonts w:ascii="仿宋_GB2312" w:hAnsi="仿宋_GB2312" w:cs="仿宋_GB2312" w:eastAsia="仿宋_GB2312"/>
                      <w:sz w:val="20"/>
                    </w:rPr>
                    <w:t>10分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1.乙方不得以任何理由和任何形式向服务范围内的单位和个人收取费用。发现、被投诉或举报经调查情况属实扣2分。</w:t>
                  </w:r>
                </w:p>
                <w:p>
                  <w:pPr>
                    <w:pStyle w:val="null3"/>
                    <w:jc w:val="both"/>
                  </w:pPr>
                  <w:r>
                    <w:rPr>
                      <w:rFonts w:ascii="仿宋_GB2312" w:hAnsi="仿宋_GB2312" w:cs="仿宋_GB2312" w:eastAsia="仿宋_GB2312"/>
                      <w:sz w:val="20"/>
                    </w:rPr>
                    <w:t>2.乙方必须根据合同中的各项条款履行各项职责，如甲方检查中发现乙方组织措施不当、计划不落实、管理不严、实施方案中所列人员、机械设备（工具）与现场实际不符，导致维护质量达不到标准的，甲方有权要求乙方进行整改，并且所造成的损失全部由乙方承担，并扣除合同价款1%作为罚款。</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整改落实情况</w:t>
                  </w:r>
                  <w:r>
                    <w:rPr>
                      <w:rFonts w:ascii="仿宋_GB2312" w:hAnsi="仿宋_GB2312" w:cs="仿宋_GB2312" w:eastAsia="仿宋_GB2312"/>
                      <w:sz w:val="20"/>
                    </w:rPr>
                    <w:t>10分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每发现一处未整改扣</w:t>
                  </w:r>
                  <w:r>
                    <w:rPr>
                      <w:rFonts w:ascii="仿宋_GB2312" w:hAnsi="仿宋_GB2312" w:cs="仿宋_GB2312" w:eastAsia="仿宋_GB2312"/>
                      <w:sz w:val="20"/>
                    </w:rPr>
                    <w:t>2分；整改不到位一处扣0.5分；此项扣完10分为止。</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yu情监督</w:t>
                  </w:r>
                  <w:r>
                    <w:rPr>
                      <w:rFonts w:ascii="仿宋_GB2312" w:hAnsi="仿宋_GB2312" w:cs="仿宋_GB2312" w:eastAsia="仿宋_GB2312"/>
                      <w:sz w:val="20"/>
                    </w:rPr>
                    <w:t>10分</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维护维修工作被中央、省委省政府、渭南市委市政府通报批评的或者同级别媒体曝光的，当月扣5分。2.被市委市政府、市级部门通报批评或被市级媒体曝光的，当月扣3分。3.被住建局通报批评的，当月扣2分。此项扣完为止。</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采购人关于项目的任务安排，明确相应的技术部门，以及足够的、相对固定的技术人员，作为完成本项目的基本力量，建立明确的内部管理模式，建立健全质量保证体系，保证工作质量和进度。参与项目的人员应当遵守国家法律法规，责任心强，专业素质高，技术能力强，掌握现行相关标准、规范和政策</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服务周期为三年，服务合同一年一签。服务期内，中标单位年度服务考核合格续签下一年度服务合同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每年期满后采购人进行验收，中标单位年度服务考核合格，填写政府采购项目验收单作为对项目的最终认可，续签下一年度服务合同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采购人根据《韩城市亮化照明设施维护维修》履约考核办法及细则按月支付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（一）合同实施 1.成交供应商应在合同签订后3个日历日内安排人员与采购人就相关工作进行安排、部署。 2.若因成交供应商原因未能如期完成合同规定的义务，由此对采购人造成的延误和一切损失，由成交供应商承担和赔偿。 （二）其他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具备有效的城市及道路照明工程专业承包一级资质，具备有效的安全生产许可证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项目经理须具备有效的机电工程专业二级或以上注册建造师资格及有效的安全考核B证，在本单位注册，且无在建项目（提供无在建承诺书）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按招标文件要求签字、盖章</w:t>
            </w:r>
          </w:p>
        </w:tc>
        <w:tc>
          <w:tcPr>
            <w:tcW w:type="dxa" w:w="1661"/>
          </w:tcPr>
          <w:p>
            <w:pPr>
              <w:pStyle w:val="null3"/>
            </w:pPr>
            <w:r>
              <w:rPr>
                <w:rFonts w:ascii="仿宋_GB2312" w:hAnsi="仿宋_GB2312" w:cs="仿宋_GB2312" w:eastAsia="仿宋_GB2312"/>
              </w:rPr>
              <w:t>开标一览表 投标方案.docx 服务内容及服务邀请应答表 中小企业声明函 商务应答表 企业业绩.docx 供应商声明.docx 分项报价表.docx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投标文件内容不存在漏项或数量与要求不符合招标文件规定情形，满足招标文件的商务、技术等实质性要求</w:t>
            </w:r>
          </w:p>
        </w:tc>
        <w:tc>
          <w:tcPr>
            <w:tcW w:type="dxa" w:w="1661"/>
          </w:tcPr>
          <w:p>
            <w:pPr>
              <w:pStyle w:val="null3"/>
            </w:pPr>
            <w:r>
              <w:rPr>
                <w:rFonts w:ascii="仿宋_GB2312" w:hAnsi="仿宋_GB2312" w:cs="仿宋_GB2312" w:eastAsia="仿宋_GB2312"/>
              </w:rPr>
              <w:t>开标一览表 投标方案.docx 服务内容及服务邀请应答表 中小企业声明函 商务应答表 企业业绩.docx 供应商声明.docx 分项报价表.docx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投标方案.docx 服务内容及服务邀请应答表 中小企业声明函 商务应答表 企业业绩.docx 供应商声明.docx 分项报价表.docx 供应商应提交的相关资格证明材料.docx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至少包括①施工准备；②施工方法；③重点难点工程分析及解决方案；④影响正常施工外在因素分析及对应预案；⑤有效响应甲方、监理方管理及监督的方案；⑥协调、统筹施工及所涉及各政府部门、企业、地方组织或个人关系的方案；⑦施工周围道路、人行道、路灯、管线、管沟、绿化植物及草坪等的成品保护方案等。 以上内容专门针对本项目且符合本项目实际需求的得 21 分，每缺一项内容扣 3 分，若上述内容存在缺陷，每存在 1 处缺陷扣 1 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以上内容专门针对本项目且符合本项目实际需求的得 10分，每缺一项内容扣 2分，若上述内容存在缺陷，每存在 1 处缺陷扣 1分，扣完为止。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安全生产技术组织措施内容至少包括①安全生产管理制度；②配置安全组织机构；③安全隐患排查、整改制度；④应急救援机制等。以上内容专门针对本项目且符合本项目实际需求的得 8 分，每缺一项内容扣 2 分，若上述内容存在缺陷，每出存在 1 处缺陷扣 1 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文明施工及环境保护组织措施内容至少包括①文明及环境保护管理制度；②防尘降噪措施；③节能减排措施；④文明及环境保护施工监督检查机制等。以上内容专门针对本项目且符合本项目实际需求的得 8 分，每缺一项内容扣 2 分，若上述内容存在缺陷，每存在 1 处缺陷扣 1 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施工组织和项目管理机构内容至少包括①项目管理机构图；②岗位安排及职责；③管理制度；④相应的协调措施等。以上内容专门针对本项目且符合本项目实际需求的得8 分，每缺一项内容扣2分，若上述内容存在缺陷，每存在 1 处缺陷扣 1 分，扣完为止。（备注：评审内容“缺陷”指内容明显错误，或内容不完整或缺少关键点，或不适用本项目特性、套用其他项目内容或内容不能满足本项目实际需求等情形。）注：1、服务团队人员需为本单位人员，提供近三个月的社保缴纳证明复印件（或扫描件）加盖投标人公章或提供属于本单位人员承诺函加盖投标人公章。 2、提供职称证等相关证明材料复印件（或扫描件）并加盖投标人公章。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施工部署与进度计划内容至少包括①施工总平面布置；②进度安排计划；③工期目标控制和保证措施；④材料供应措施；⑤现场保护监管措施等。以上内容专门针对本项目且符合本项目实际需求的得 10 分，每缺一项内容扣 2 分，若上述内容存在缺陷，每存在 1 处缺陷扣 1 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以上内容专门针对本项目且符合本项目实际需求的得 8 分，每缺一项内容扣 2 分，若上述内容存在缺陷，每存在 1 处缺陷扣 1 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应急预案内容至少包括①应急事故处理措施；②预案演练方案；③特殊接待活动的市政公用照明保障措施。以上内容专门针对本项目且符合本项目实际需求的得 9 分，每缺一项内容扣 3 分，若上述内容存在缺陷，每存在 1 处缺陷扣 1 分，扣完为止。 （备注：评审内容“缺陷”指内容明显错误，或内容不完整或缺少关键点，或不适用本项目特性、套用其他项目内容或内容不能满足本项目实际需求等情形。）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 2022 年至今（以合同签订时间为准）的类似项目业绩，投标文件中提供合同复印件加盖公章，每提供一个计 2分，满分8 分。 注：以合同为准，证明材料为合同首页、双方签字 盖章页以及能够反映合同内容的部分。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