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F562E">
      <w:pPr>
        <w:widowControl/>
        <w:spacing w:after="240" w:afterLines="100" w:line="400" w:lineRule="atLeast"/>
        <w:ind w:firstLine="660" w:firstLineChars="150"/>
        <w:jc w:val="center"/>
        <w:rPr>
          <w:rFonts w:hint="eastAsia" w:ascii="宋体" w:hAnsi="宋体" w:eastAsia="宋体" w:cs="宋体"/>
          <w:sz w:val="44"/>
          <w:szCs w:val="44"/>
          <w:highlight w:val="none"/>
        </w:rPr>
      </w:pPr>
      <w:r>
        <w:rPr>
          <w:rFonts w:hint="eastAsia" w:ascii="宋体" w:hAnsi="宋体" w:eastAsia="宋体" w:cs="宋体"/>
          <w:sz w:val="44"/>
          <w:szCs w:val="44"/>
          <w:highlight w:val="none"/>
        </w:rPr>
        <w:t>政府采购合同格式</w:t>
      </w:r>
    </w:p>
    <w:p w14:paraId="55E008A4">
      <w:pPr>
        <w:widowControl/>
        <w:spacing w:after="240" w:afterLines="100" w:line="400" w:lineRule="atLeast"/>
        <w:ind w:firstLine="360" w:firstLineChars="15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（注：仅供参考，最终以双方签订的合同为准）</w:t>
      </w:r>
    </w:p>
    <w:p w14:paraId="630BFD46">
      <w:pPr>
        <w:pStyle w:val="7"/>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合同编号： </w:t>
      </w:r>
    </w:p>
    <w:p w14:paraId="5DC2CD60">
      <w:pPr>
        <w:pStyle w:val="7"/>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签订地点： </w:t>
      </w:r>
    </w:p>
    <w:p w14:paraId="3321082D">
      <w:pPr>
        <w:pStyle w:val="7"/>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签订时间:</w:t>
      </w:r>
    </w:p>
    <w:p w14:paraId="254BBF1F">
      <w:pPr>
        <w:pStyle w:val="7"/>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本合同为中小企业预留份额合同</w:t>
      </w:r>
    </w:p>
    <w:p w14:paraId="4CD5DB3A">
      <w:pPr>
        <w:pStyle w:val="7"/>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采购人（甲方）：</w:t>
      </w:r>
    </w:p>
    <w:p w14:paraId="5492A451">
      <w:pPr>
        <w:pStyle w:val="7"/>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投标人</w:t>
      </w:r>
      <w:r>
        <w:rPr>
          <w:rFonts w:hint="eastAsia" w:ascii="宋体" w:hAnsi="宋体" w:eastAsia="宋体" w:cs="宋体"/>
          <w:sz w:val="21"/>
          <w:szCs w:val="21"/>
          <w:highlight w:val="none"/>
        </w:rPr>
        <w:t>（乙方）：</w:t>
      </w:r>
    </w:p>
    <w:p w14:paraId="65A671C8">
      <w:pPr>
        <w:pStyle w:val="7"/>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根据《中华人民共和国政府采购法》及实施条例、《中华人民共和国民法典》和甲方</w:t>
      </w:r>
      <w:r>
        <w:rPr>
          <w:rFonts w:hint="eastAsia" w:ascii="宋体" w:hAnsi="宋体" w:cs="宋体"/>
          <w:sz w:val="21"/>
          <w:szCs w:val="21"/>
          <w:highlight w:val="none"/>
          <w:u w:val="single"/>
          <w:lang w:val="en-US" w:eastAsia="zh-CN"/>
        </w:rPr>
        <w:t>西乡县城白路雨污水管网混错接改造工程（二期）项目监理服务</w:t>
      </w:r>
      <w:r>
        <w:rPr>
          <w:rFonts w:hint="eastAsia" w:ascii="宋体" w:hAnsi="宋体" w:eastAsia="宋体" w:cs="宋体"/>
          <w:sz w:val="21"/>
          <w:szCs w:val="21"/>
          <w:highlight w:val="none"/>
        </w:rPr>
        <w:t>采购项目（采购项目编号：</w:t>
      </w:r>
      <w:r>
        <w:rPr>
          <w:rFonts w:hint="eastAsia" w:ascii="宋体" w:hAnsi="宋体" w:eastAsia="宋体" w:cs="宋体"/>
          <w:sz w:val="21"/>
          <w:szCs w:val="21"/>
          <w:highlight w:val="none"/>
          <w:u w:val="single"/>
        </w:rPr>
        <w:t>RDX-ZB2026第02</w:t>
      </w:r>
      <w:r>
        <w:rPr>
          <w:rFonts w:hint="eastAsia" w:ascii="宋体" w:hAnsi="宋体" w:cs="宋体"/>
          <w:sz w:val="21"/>
          <w:szCs w:val="21"/>
          <w:highlight w:val="none"/>
          <w:u w:val="single"/>
          <w:lang w:val="en-US" w:eastAsia="zh-CN"/>
        </w:rPr>
        <w:t>7</w:t>
      </w:r>
      <w:r>
        <w:rPr>
          <w:rFonts w:hint="eastAsia" w:ascii="宋体" w:hAnsi="宋体" w:eastAsia="宋体" w:cs="宋体"/>
          <w:sz w:val="21"/>
          <w:szCs w:val="21"/>
          <w:highlight w:val="none"/>
          <w:u w:val="single"/>
        </w:rPr>
        <w:t>号</w:t>
      </w:r>
      <w:r>
        <w:rPr>
          <w:rFonts w:hint="eastAsia" w:ascii="宋体" w:hAnsi="宋体" w:eastAsia="宋体" w:cs="宋体"/>
          <w:sz w:val="21"/>
          <w:szCs w:val="21"/>
          <w:highlight w:val="none"/>
        </w:rPr>
        <w:t>）的</w:t>
      </w:r>
      <w:r>
        <w:rPr>
          <w:rFonts w:hint="eastAsia" w:ascii="宋体" w:hAnsi="宋体" w:cs="宋体"/>
          <w:sz w:val="21"/>
          <w:szCs w:val="21"/>
          <w:highlight w:val="none"/>
          <w:lang w:val="en-US" w:eastAsia="zh-CN"/>
        </w:rPr>
        <w:t>竞争性磋商</w:t>
      </w:r>
      <w:r>
        <w:rPr>
          <w:rFonts w:hint="eastAsia" w:ascii="宋体" w:hAnsi="宋体" w:eastAsia="宋体" w:cs="宋体"/>
          <w:sz w:val="21"/>
          <w:szCs w:val="21"/>
          <w:highlight w:val="none"/>
        </w:rPr>
        <w:t>文件、</w:t>
      </w:r>
      <w:r>
        <w:rPr>
          <w:rFonts w:hint="eastAsia" w:ascii="宋体" w:hAnsi="宋体" w:cs="宋体"/>
          <w:sz w:val="21"/>
          <w:szCs w:val="21"/>
          <w:highlight w:val="none"/>
          <w:lang w:val="en-US" w:eastAsia="zh-CN"/>
        </w:rPr>
        <w:t>响应</w:t>
      </w:r>
      <w:r>
        <w:rPr>
          <w:rFonts w:hint="eastAsia" w:ascii="宋体" w:hAnsi="宋体" w:eastAsia="宋体" w:cs="宋体"/>
          <w:sz w:val="21"/>
          <w:szCs w:val="21"/>
          <w:highlight w:val="none"/>
        </w:rPr>
        <w:t>文件等有关规定，为确保甲方采购项目的顺利实施，甲、乙双方在平等自愿原则下签订本合同，并共同遵守如下条款：</w:t>
      </w:r>
    </w:p>
    <w:p w14:paraId="2ADB4CB5">
      <w:pPr>
        <w:pageBreakBefore w:val="0"/>
        <w:numPr>
          <w:ilvl w:val="0"/>
          <w:numId w:val="1"/>
        </w:numPr>
        <w:kinsoku/>
        <w:wordWrap/>
        <w:overflowPunct/>
        <w:topLinePunct w:val="0"/>
        <w:autoSpaceDE/>
        <w:autoSpaceDN/>
        <w:bidi w:val="0"/>
        <w:snapToGrid/>
        <w:spacing w:line="360" w:lineRule="auto"/>
        <w:ind w:left="0" w:firstLine="602" w:firstLineChars="200"/>
        <w:rPr>
          <w:rFonts w:hint="eastAsia" w:ascii="宋体" w:hAnsi="宋体" w:eastAsia="宋体" w:cs="宋体"/>
          <w:b/>
          <w:sz w:val="30"/>
          <w:szCs w:val="30"/>
          <w:highlight w:val="none"/>
        </w:rPr>
      </w:pPr>
      <w:r>
        <w:rPr>
          <w:rFonts w:hint="eastAsia" w:ascii="宋体" w:hAnsi="宋体" w:eastAsia="宋体" w:cs="宋体"/>
          <w:b/>
          <w:sz w:val="30"/>
          <w:szCs w:val="30"/>
          <w:highlight w:val="none"/>
        </w:rPr>
        <w:t>项目基本情况</w:t>
      </w:r>
    </w:p>
    <w:p w14:paraId="492749CC">
      <w:pPr>
        <w:pStyle w:val="4"/>
        <w:pageBreakBefore w:val="0"/>
        <w:kinsoku/>
        <w:wordWrap/>
        <w:overflowPunct/>
        <w:topLinePunct w:val="0"/>
        <w:autoSpaceDE/>
        <w:autoSpaceDN/>
        <w:bidi w:val="0"/>
        <w:snapToGrid/>
        <w:spacing w:line="360" w:lineRule="auto"/>
        <w:ind w:left="0" w:firstLine="420" w:firstLineChars="200"/>
        <w:rPr>
          <w:rFonts w:hint="eastAsia"/>
        </w:rPr>
      </w:pPr>
      <w:r>
        <w:rPr>
          <w:rFonts w:hint="eastAsia" w:ascii="宋体" w:hAnsi="宋体" w:eastAsia="宋体" w:cs="宋体"/>
          <w:kern w:val="2"/>
          <w:sz w:val="21"/>
          <w:szCs w:val="21"/>
          <w:highlight w:val="none"/>
          <w:lang w:val="en-US" w:eastAsia="zh-CN" w:bidi="ar-SA"/>
        </w:rPr>
        <w:t>工程规模：西乡县城白路雨污水管网混错接改造工程（二期）实施范围：城白路城东三岔路口至幸福路口段(k0+000~k0+856.836)、县污水处理厂门口至新 316 国道段(k1+610~K2+634.252)，线路总长长 1881.088 米，主要建设内容为改造建设 DN300-N1500 雨水主管道、DN300-DM1000 污水管、建设排水检查井、改建排水井座、雨水篦等相关配套设施建设改造。</w:t>
      </w:r>
    </w:p>
    <w:p w14:paraId="7DD24C0E">
      <w:pPr>
        <w:pageBreakBefore w:val="0"/>
        <w:numPr>
          <w:ilvl w:val="0"/>
          <w:numId w:val="1"/>
        </w:numPr>
        <w:kinsoku/>
        <w:wordWrap/>
        <w:overflowPunct/>
        <w:topLinePunct w:val="0"/>
        <w:autoSpaceDE/>
        <w:autoSpaceDN/>
        <w:bidi w:val="0"/>
        <w:snapToGrid/>
        <w:spacing w:line="360" w:lineRule="auto"/>
        <w:ind w:left="0" w:firstLine="602" w:firstLineChars="200"/>
        <w:rPr>
          <w:rFonts w:hint="eastAsia" w:ascii="宋体" w:hAnsi="宋体" w:eastAsia="宋体" w:cs="宋体"/>
          <w:b/>
          <w:sz w:val="30"/>
          <w:szCs w:val="30"/>
          <w:highlight w:val="none"/>
        </w:rPr>
      </w:pPr>
      <w:r>
        <w:rPr>
          <w:rFonts w:hint="eastAsia" w:ascii="宋体" w:hAnsi="宋体" w:eastAsia="宋体" w:cs="宋体"/>
          <w:b/>
          <w:sz w:val="30"/>
          <w:szCs w:val="30"/>
          <w:highlight w:val="none"/>
        </w:rPr>
        <w:t>合同期限</w:t>
      </w:r>
    </w:p>
    <w:p w14:paraId="45F728FB">
      <w:pPr>
        <w:pStyle w:val="4"/>
        <w:pageBreakBefore w:val="0"/>
        <w:kinsoku/>
        <w:wordWrap/>
        <w:overflowPunct/>
        <w:topLinePunct w:val="0"/>
        <w:autoSpaceDE/>
        <w:autoSpaceDN/>
        <w:bidi w:val="0"/>
        <w:snapToGrid/>
        <w:spacing w:line="360" w:lineRule="auto"/>
        <w:ind w:left="0" w:firstLine="420" w:firstLineChars="200"/>
        <w:rPr>
          <w:rFonts w:hint="default"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从工程施工之日起至竣工验收、资料归档备案、保修期满之日止。</w:t>
      </w:r>
    </w:p>
    <w:p w14:paraId="3311717B">
      <w:pPr>
        <w:pageBreakBefore w:val="0"/>
        <w:numPr>
          <w:ilvl w:val="0"/>
          <w:numId w:val="1"/>
        </w:numPr>
        <w:kinsoku/>
        <w:wordWrap/>
        <w:overflowPunct/>
        <w:topLinePunct w:val="0"/>
        <w:autoSpaceDE/>
        <w:autoSpaceDN/>
        <w:bidi w:val="0"/>
        <w:snapToGrid/>
        <w:spacing w:line="360" w:lineRule="auto"/>
        <w:ind w:left="0" w:firstLine="602" w:firstLineChars="200"/>
        <w:rPr>
          <w:rFonts w:hint="eastAsia" w:ascii="宋体" w:hAnsi="宋体" w:eastAsia="宋体" w:cs="宋体"/>
          <w:b/>
          <w:sz w:val="30"/>
          <w:szCs w:val="30"/>
          <w:highlight w:val="none"/>
        </w:rPr>
      </w:pPr>
      <w:bookmarkStart w:id="0" w:name="_Toc225654644"/>
      <w:bookmarkStart w:id="1" w:name="_Toc212019594"/>
      <w:bookmarkStart w:id="2" w:name="_Toc282696226"/>
      <w:bookmarkStart w:id="3" w:name="_Toc239233914"/>
      <w:bookmarkStart w:id="4" w:name="_Toc239568418"/>
      <w:bookmarkStart w:id="5" w:name="_Toc283019214"/>
      <w:bookmarkStart w:id="6" w:name="_Toc247334841"/>
      <w:bookmarkStart w:id="7" w:name="_Toc211854449"/>
      <w:bookmarkStart w:id="8" w:name="_Toc237145406"/>
      <w:bookmarkStart w:id="9" w:name="_Toc232492928"/>
      <w:bookmarkStart w:id="10" w:name="_Toc211911348"/>
      <w:bookmarkStart w:id="11" w:name="_Toc286993786"/>
      <w:bookmarkStart w:id="12" w:name="_Toc238984975"/>
      <w:bookmarkStart w:id="13" w:name="_Toc225670751"/>
      <w:bookmarkStart w:id="14" w:name="_Toc225244852"/>
      <w:bookmarkStart w:id="15" w:name="_Toc241833903"/>
      <w:bookmarkStart w:id="16" w:name="_Toc185395249"/>
      <w:bookmarkStart w:id="17" w:name="_Toc251768862"/>
      <w:r>
        <w:rPr>
          <w:rFonts w:hint="eastAsia" w:ascii="宋体" w:hAnsi="宋体" w:eastAsia="宋体" w:cs="宋体"/>
          <w:b/>
          <w:sz w:val="30"/>
          <w:szCs w:val="30"/>
          <w:highlight w:val="none"/>
        </w:rPr>
        <w:t>服务内容与质量标准</w:t>
      </w:r>
    </w:p>
    <w:p w14:paraId="17331747">
      <w:pPr>
        <w:pageBreakBefore w:val="0"/>
        <w:kinsoku/>
        <w:wordWrap/>
        <w:overflowPunct/>
        <w:topLinePunct w:val="0"/>
        <w:autoSpaceDE/>
        <w:autoSpaceDN/>
        <w:bidi w:val="0"/>
        <w:snapToGrid/>
        <w:spacing w:line="360" w:lineRule="auto"/>
        <w:ind w:left="0" w:firstLine="420" w:firstLineChars="200"/>
        <w:rPr>
          <w:rFonts w:hint="eastAsia" w:ascii="宋体" w:hAnsi="宋体" w:cs="宋体"/>
          <w:szCs w:val="21"/>
          <w:highlight w:val="none"/>
          <w:lang w:val="en-US" w:eastAsia="zh-CN"/>
        </w:rPr>
      </w:pPr>
      <w:r>
        <w:rPr>
          <w:rFonts w:hint="eastAsia" w:ascii="宋体" w:hAnsi="宋体" w:cs="宋体"/>
          <w:szCs w:val="21"/>
          <w:highlight w:val="none"/>
          <w:lang w:val="en-US" w:eastAsia="zh-CN"/>
        </w:rPr>
        <w:t>服务内容：本项目设计图纸范围内所有内容的实施、交工及缺陷责任期内的全过程监理内容，包括施工阶段监理及保修阶段监理工作。</w:t>
      </w:r>
    </w:p>
    <w:p w14:paraId="11A916AD">
      <w:pPr>
        <w:pageBreakBefore w:val="0"/>
        <w:kinsoku/>
        <w:wordWrap/>
        <w:overflowPunct/>
        <w:topLinePunct w:val="0"/>
        <w:autoSpaceDE/>
        <w:autoSpaceDN/>
        <w:bidi w:val="0"/>
        <w:snapToGrid/>
        <w:spacing w:line="360" w:lineRule="auto"/>
        <w:ind w:left="0" w:firstLine="420" w:firstLineChars="200"/>
        <w:rPr>
          <w:rFonts w:hint="eastAsia" w:ascii="宋体" w:hAnsi="宋体" w:cs="宋体"/>
          <w:szCs w:val="21"/>
          <w:highlight w:val="none"/>
          <w:lang w:val="en-US" w:eastAsia="zh-CN"/>
        </w:rPr>
      </w:pPr>
      <w:r>
        <w:rPr>
          <w:rFonts w:hint="eastAsia" w:ascii="宋体" w:hAnsi="宋体" w:cs="宋体"/>
          <w:szCs w:val="21"/>
          <w:highlight w:val="none"/>
          <w:lang w:val="en-US" w:eastAsia="zh-CN"/>
        </w:rPr>
        <w:t>工程监理标准应执行国家最新频布的《建设工程监理规范》及省、市或行业的相关规定。工程质量要求应达到国家质量检验与评定标准合格质量等级，具体以采购人与供应商签订的合同为准。</w:t>
      </w:r>
    </w:p>
    <w:p w14:paraId="45F270AF">
      <w:pPr>
        <w:pageBreakBefore w:val="0"/>
        <w:numPr>
          <w:ilvl w:val="0"/>
          <w:numId w:val="1"/>
        </w:numPr>
        <w:kinsoku/>
        <w:wordWrap/>
        <w:overflowPunct/>
        <w:topLinePunct w:val="0"/>
        <w:autoSpaceDE/>
        <w:autoSpaceDN/>
        <w:bidi w:val="0"/>
        <w:snapToGrid/>
        <w:spacing w:line="360" w:lineRule="auto"/>
        <w:ind w:left="0" w:firstLine="602" w:firstLineChars="200"/>
        <w:rPr>
          <w:rFonts w:hint="eastAsia" w:ascii="宋体" w:hAnsi="宋体" w:eastAsia="宋体" w:cs="宋体"/>
          <w:b/>
          <w:sz w:val="30"/>
          <w:szCs w:val="30"/>
          <w:highlight w:val="none"/>
        </w:rPr>
      </w:pPr>
      <w:r>
        <w:rPr>
          <w:rFonts w:hint="eastAsia" w:ascii="宋体" w:hAnsi="宋体" w:eastAsia="宋体" w:cs="宋体"/>
          <w:b/>
          <w:sz w:val="30"/>
          <w:szCs w:val="30"/>
          <w:highlight w:val="none"/>
        </w:rPr>
        <w:t>服务费用</w:t>
      </w:r>
    </w:p>
    <w:p w14:paraId="78BF50D7">
      <w:pPr>
        <w:pStyle w:val="2"/>
        <w:pageBreakBefore w:val="0"/>
        <w:kinsoku/>
        <w:wordWrap/>
        <w:overflowPunct/>
        <w:topLinePunct w:val="0"/>
        <w:autoSpaceDE/>
        <w:autoSpaceDN/>
        <w:bidi w:val="0"/>
        <w:snapToGrid/>
        <w:spacing w:before="0" w:after="0" w:line="360" w:lineRule="auto"/>
        <w:ind w:left="0" w:firstLine="420" w:firstLineChars="200"/>
        <w:rPr>
          <w:rFonts w:hint="eastAsia" w:ascii="宋体" w:hAnsi="宋体" w:eastAsia="宋体" w:cs="宋体"/>
          <w:b w:val="0"/>
          <w:sz w:val="21"/>
          <w:szCs w:val="21"/>
          <w:highlight w:val="none"/>
        </w:rPr>
      </w:pPr>
      <w:r>
        <w:rPr>
          <w:rFonts w:hint="eastAsia" w:ascii="宋体" w:hAnsi="宋体" w:eastAsia="宋体" w:cs="宋体"/>
          <w:b w:val="0"/>
          <w:sz w:val="21"/>
          <w:szCs w:val="21"/>
          <w:highlight w:val="none"/>
        </w:rPr>
        <w:t>1.服务总费用为人民币（大写）：</w:t>
      </w:r>
      <w:r>
        <w:rPr>
          <w:rFonts w:hint="eastAsia" w:ascii="宋体" w:hAnsi="宋体" w:eastAsia="宋体" w:cs="宋体"/>
          <w:b w:val="0"/>
          <w:sz w:val="21"/>
          <w:szCs w:val="21"/>
          <w:highlight w:val="none"/>
          <w:u w:val="single"/>
        </w:rPr>
        <w:t xml:space="preserve">             </w:t>
      </w:r>
      <w:r>
        <w:rPr>
          <w:rFonts w:hint="eastAsia" w:ascii="宋体" w:hAnsi="宋体" w:eastAsia="宋体" w:cs="宋体"/>
          <w:b w:val="0"/>
          <w:sz w:val="21"/>
          <w:szCs w:val="21"/>
          <w:highlight w:val="none"/>
        </w:rPr>
        <w:t>元， ￥</w:t>
      </w:r>
      <w:r>
        <w:rPr>
          <w:rFonts w:hint="eastAsia" w:ascii="宋体" w:hAnsi="宋体" w:eastAsia="宋体" w:cs="宋体"/>
          <w:b w:val="0"/>
          <w:sz w:val="21"/>
          <w:szCs w:val="21"/>
          <w:highlight w:val="none"/>
          <w:u w:val="single"/>
        </w:rPr>
        <w:t xml:space="preserve">           </w:t>
      </w:r>
      <w:r>
        <w:rPr>
          <w:rFonts w:hint="eastAsia" w:ascii="宋体" w:hAnsi="宋体" w:eastAsia="宋体" w:cs="宋体"/>
          <w:b w:val="0"/>
          <w:sz w:val="21"/>
          <w:szCs w:val="21"/>
          <w:highlight w:val="none"/>
        </w:rPr>
        <w:t>。</w:t>
      </w:r>
    </w:p>
    <w:p w14:paraId="4E04016F">
      <w:pPr>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2.本项目服务费用由以下组成：</w:t>
      </w:r>
    </w:p>
    <w:p w14:paraId="02EF944E">
      <w:pPr>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eastAsia="宋体" w:cs="宋体"/>
          <w:color w:val="000000"/>
          <w:szCs w:val="21"/>
          <w:highlight w:val="none"/>
        </w:rPr>
        <w:t>XX</w:t>
      </w:r>
      <w:r>
        <w:rPr>
          <w:rFonts w:hint="eastAsia" w:ascii="宋体" w:hAnsi="宋体" w:eastAsia="宋体" w:cs="宋体"/>
          <w:szCs w:val="21"/>
          <w:highlight w:val="none"/>
        </w:rPr>
        <w:t>万元；</w:t>
      </w:r>
    </w:p>
    <w:p w14:paraId="5C72E9EE">
      <w:pPr>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eastAsia="宋体" w:cs="宋体"/>
          <w:color w:val="000000"/>
          <w:szCs w:val="21"/>
          <w:highlight w:val="none"/>
        </w:rPr>
        <w:t>XX</w:t>
      </w:r>
      <w:r>
        <w:rPr>
          <w:rFonts w:hint="eastAsia" w:ascii="宋体" w:hAnsi="宋体" w:eastAsia="宋体" w:cs="宋体"/>
          <w:szCs w:val="21"/>
          <w:highlight w:val="none"/>
        </w:rPr>
        <w:t>万元；</w:t>
      </w:r>
    </w:p>
    <w:p w14:paraId="4C9ABC44">
      <w:pPr>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（3）</w:t>
      </w:r>
      <w:r>
        <w:rPr>
          <w:rFonts w:hint="eastAsia" w:ascii="宋体" w:hAnsi="宋体" w:eastAsia="宋体" w:cs="宋体"/>
          <w:color w:val="000000"/>
          <w:szCs w:val="21"/>
          <w:highlight w:val="none"/>
        </w:rPr>
        <w:t>XX</w:t>
      </w:r>
      <w:r>
        <w:rPr>
          <w:rFonts w:hint="eastAsia" w:ascii="宋体" w:hAnsi="宋体" w:eastAsia="宋体" w:cs="宋体"/>
          <w:szCs w:val="21"/>
          <w:highlight w:val="none"/>
        </w:rPr>
        <w:t>万元。</w:t>
      </w:r>
    </w:p>
    <w:p w14:paraId="2FE35BEE">
      <w:pPr>
        <w:pageBreakBefore w:val="0"/>
        <w:kinsoku/>
        <w:wordWrap/>
        <w:overflowPunct/>
        <w:topLinePunct w:val="0"/>
        <w:autoSpaceDE/>
        <w:autoSpaceDN/>
        <w:bidi w:val="0"/>
        <w:snapToGrid/>
        <w:spacing w:line="360" w:lineRule="auto"/>
        <w:ind w:firstLine="420" w:firstLineChars="200"/>
        <w:rPr>
          <w:rFonts w:hint="eastAsia" w:ascii="宋体" w:hAnsi="宋体" w:eastAsia="宋体" w:cs="宋体"/>
          <w:szCs w:val="21"/>
          <w:highlight w:val="none"/>
        </w:rPr>
      </w:pPr>
      <w:r>
        <w:rPr>
          <w:rFonts w:hint="eastAsia" w:ascii="宋体" w:hAnsi="宋体" w:cs="宋体"/>
          <w:szCs w:val="21"/>
          <w:highlight w:val="none"/>
          <w:lang w:val="en-US" w:eastAsia="zh-CN"/>
        </w:rPr>
        <w:t>3</w:t>
      </w:r>
      <w:r>
        <w:rPr>
          <w:rFonts w:hint="eastAsia" w:ascii="宋体" w:hAnsi="宋体" w:eastAsia="宋体" w:cs="宋体"/>
          <w:szCs w:val="21"/>
          <w:highlight w:val="none"/>
        </w:rPr>
        <w:t>.本合同执行期间服务总费用不变，甲方无须另向乙方支付本合同规定之外的其他任何费用。</w:t>
      </w:r>
    </w:p>
    <w:p w14:paraId="5E72A659">
      <w:pPr>
        <w:pageBreakBefore w:val="0"/>
        <w:kinsoku/>
        <w:wordWrap/>
        <w:overflowPunct/>
        <w:topLinePunct w:val="0"/>
        <w:autoSpaceDE/>
        <w:autoSpaceDN/>
        <w:bidi w:val="0"/>
        <w:snapToGrid/>
        <w:spacing w:line="360" w:lineRule="auto"/>
        <w:ind w:left="0" w:firstLine="602" w:firstLineChars="200"/>
        <w:rPr>
          <w:rFonts w:hint="eastAsia" w:ascii="宋体" w:hAnsi="宋体" w:eastAsia="宋体" w:cs="宋体"/>
          <w:b/>
          <w:sz w:val="30"/>
          <w:szCs w:val="30"/>
          <w:highlight w:val="none"/>
        </w:rPr>
      </w:pPr>
      <w:r>
        <w:rPr>
          <w:rFonts w:hint="eastAsia" w:ascii="宋体" w:hAnsi="宋体" w:eastAsia="宋体" w:cs="宋体"/>
          <w:b/>
          <w:sz w:val="30"/>
          <w:szCs w:val="30"/>
          <w:highlight w:val="none"/>
        </w:rPr>
        <w:t xml:space="preserve">第五条 </w:t>
      </w:r>
      <w:r>
        <w:rPr>
          <w:rFonts w:hint="eastAsia" w:ascii="宋体" w:hAnsi="宋体" w:eastAsia="宋体" w:cs="宋体"/>
          <w:b/>
          <w:szCs w:val="21"/>
          <w:highlight w:val="none"/>
        </w:rPr>
        <w:t xml:space="preserve"> </w:t>
      </w:r>
      <w:r>
        <w:rPr>
          <w:rFonts w:hint="eastAsia" w:ascii="宋体" w:hAnsi="宋体" w:eastAsia="宋体" w:cs="宋体"/>
          <w:b/>
          <w:sz w:val="30"/>
          <w:szCs w:val="30"/>
          <w:highlight w:val="none"/>
        </w:rPr>
        <w:t>服务费支付方式</w:t>
      </w:r>
    </w:p>
    <w:p w14:paraId="4C02432D">
      <w:pPr>
        <w:pageBreakBefore w:val="0"/>
        <w:tabs>
          <w:tab w:val="left" w:pos="1440"/>
        </w:tabs>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1、进度款，采购人组织对监理服务项目完成验收并通过后，达</w:t>
      </w:r>
      <w:bookmarkStart w:id="52" w:name="_GoBack"/>
      <w:bookmarkEnd w:id="52"/>
      <w:r>
        <w:rPr>
          <w:rFonts w:hint="eastAsia" w:ascii="宋体" w:hAnsi="宋体" w:eastAsia="宋体" w:cs="宋体"/>
          <w:szCs w:val="21"/>
          <w:highlight w:val="none"/>
        </w:rPr>
        <w:t>到付款条件起30个工作日内，支付合同总金额的</w:t>
      </w:r>
      <w:r>
        <w:rPr>
          <w:rFonts w:hint="eastAsia" w:ascii="宋体" w:hAnsi="宋体" w:cs="宋体"/>
          <w:szCs w:val="21"/>
          <w:highlight w:val="none"/>
          <w:lang w:val="en-US" w:eastAsia="zh-CN"/>
        </w:rPr>
        <w:t>100</w:t>
      </w:r>
      <w:r>
        <w:rPr>
          <w:rFonts w:hint="eastAsia" w:ascii="宋体" w:hAnsi="宋体" w:eastAsia="宋体" w:cs="宋体"/>
          <w:szCs w:val="21"/>
          <w:highlight w:val="none"/>
        </w:rPr>
        <w:t>.0%</w:t>
      </w:r>
    </w:p>
    <w:p w14:paraId="3D8B6394">
      <w:pPr>
        <w:pageBreakBefore w:val="0"/>
        <w:kinsoku/>
        <w:wordWrap/>
        <w:overflowPunct/>
        <w:topLinePunct w:val="0"/>
        <w:autoSpaceDE/>
        <w:autoSpaceDN/>
        <w:bidi w:val="0"/>
        <w:snapToGrid/>
        <w:spacing w:line="360" w:lineRule="auto"/>
        <w:ind w:left="0" w:firstLine="602" w:firstLineChars="200"/>
        <w:rPr>
          <w:rFonts w:hint="eastAsia" w:ascii="宋体" w:hAnsi="宋体" w:eastAsia="宋体" w:cs="宋体"/>
          <w:b/>
          <w:sz w:val="30"/>
          <w:szCs w:val="30"/>
          <w:highlight w:val="none"/>
        </w:rPr>
      </w:pPr>
      <w:r>
        <w:rPr>
          <w:rFonts w:hint="eastAsia" w:ascii="宋体" w:hAnsi="宋体" w:eastAsia="宋体" w:cs="宋体"/>
          <w:b/>
          <w:sz w:val="30"/>
          <w:szCs w:val="30"/>
          <w:highlight w:val="none"/>
        </w:rPr>
        <w:t>第六条   知识产权</w:t>
      </w:r>
    </w:p>
    <w:p w14:paraId="09D9D417">
      <w:pPr>
        <w:pageBreakBefore w:val="0"/>
        <w:tabs>
          <w:tab w:val="left" w:pos="1440"/>
        </w:tabs>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乙方应保证所提供的服务或其任何一部分均不会侵犯任何第三方的专利权、商标权或著作权。</w:t>
      </w:r>
    </w:p>
    <w:p w14:paraId="12986FFC">
      <w:pPr>
        <w:pageBreakBefore w:val="0"/>
        <w:kinsoku/>
        <w:wordWrap/>
        <w:overflowPunct/>
        <w:topLinePunct w:val="0"/>
        <w:autoSpaceDE/>
        <w:autoSpaceDN/>
        <w:bidi w:val="0"/>
        <w:snapToGrid/>
        <w:spacing w:line="360" w:lineRule="auto"/>
        <w:ind w:left="0" w:firstLine="602" w:firstLineChars="200"/>
        <w:rPr>
          <w:rFonts w:hint="eastAsia" w:ascii="宋体" w:hAnsi="宋体" w:eastAsia="宋体" w:cs="宋体"/>
          <w:b/>
          <w:sz w:val="30"/>
          <w:szCs w:val="30"/>
          <w:highlight w:val="none"/>
        </w:rPr>
      </w:pPr>
      <w:r>
        <w:rPr>
          <w:rFonts w:hint="eastAsia" w:ascii="宋体" w:hAnsi="宋体" w:eastAsia="宋体" w:cs="宋体"/>
          <w:b/>
          <w:sz w:val="30"/>
          <w:szCs w:val="30"/>
          <w:highlight w:val="none"/>
        </w:rPr>
        <w:t>第七条  无产权瑕疵条款</w:t>
      </w:r>
    </w:p>
    <w:p w14:paraId="11678BED">
      <w:pPr>
        <w:pageBreakBefore w:val="0"/>
        <w:tabs>
          <w:tab w:val="left" w:pos="1440"/>
        </w:tabs>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乙方保证所提供的服务（成果）权属清晰、完整（不存在抵押、查封、扣押等），且不存在侵犯任何第三方的合法权益。如有违反视为乙方违约。乙方应负担由此而产生的一切损失。</w:t>
      </w:r>
    </w:p>
    <w:p w14:paraId="6A1D7B51">
      <w:pPr>
        <w:pageBreakBefore w:val="0"/>
        <w:kinsoku/>
        <w:wordWrap/>
        <w:overflowPunct/>
        <w:topLinePunct w:val="0"/>
        <w:autoSpaceDE/>
        <w:autoSpaceDN/>
        <w:bidi w:val="0"/>
        <w:snapToGrid/>
        <w:spacing w:line="360" w:lineRule="auto"/>
        <w:ind w:left="0" w:firstLine="602" w:firstLineChars="200"/>
        <w:rPr>
          <w:rFonts w:hint="eastAsia" w:ascii="宋体" w:hAnsi="宋体" w:eastAsia="宋体" w:cs="宋体"/>
          <w:b/>
          <w:sz w:val="30"/>
          <w:szCs w:val="30"/>
          <w:highlight w:val="none"/>
        </w:rPr>
      </w:pPr>
      <w:r>
        <w:rPr>
          <w:rFonts w:hint="eastAsia" w:ascii="宋体" w:hAnsi="宋体" w:eastAsia="宋体" w:cs="宋体"/>
          <w:b/>
          <w:sz w:val="30"/>
          <w:szCs w:val="30"/>
          <w:highlight w:val="none"/>
        </w:rPr>
        <w:t>第八条  甲方的权利和义务</w:t>
      </w:r>
    </w:p>
    <w:p w14:paraId="4616BB90">
      <w:pPr>
        <w:pageBreakBefore w:val="0"/>
        <w:kinsoku/>
        <w:wordWrap/>
        <w:overflowPunct/>
        <w:topLinePunct w:val="0"/>
        <w:autoSpaceDE/>
        <w:autoSpaceDN/>
        <w:bidi w:val="0"/>
        <w:adjustRightInd w:val="0"/>
        <w:snapToGrid/>
        <w:spacing w:line="360" w:lineRule="auto"/>
        <w:ind w:left="0"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22BA9891">
      <w:pPr>
        <w:pageBreakBefore w:val="0"/>
        <w:kinsoku/>
        <w:wordWrap/>
        <w:overflowPunct/>
        <w:topLinePunct w:val="0"/>
        <w:autoSpaceDE/>
        <w:autoSpaceDN/>
        <w:bidi w:val="0"/>
        <w:adjustRightInd w:val="0"/>
        <w:snapToGrid/>
        <w:spacing w:line="360" w:lineRule="auto"/>
        <w:ind w:left="0"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2.甲方有权依据双方签订的考评办法对乙方提供的服务进行定期考评。当考评结果未达到标准时，有权依据考评办法约定的数额扣除履约保证金。</w:t>
      </w:r>
    </w:p>
    <w:p w14:paraId="67BF943F">
      <w:pPr>
        <w:pageBreakBefore w:val="0"/>
        <w:kinsoku/>
        <w:wordWrap/>
        <w:overflowPunct/>
        <w:topLinePunct w:val="0"/>
        <w:autoSpaceDE/>
        <w:autoSpaceDN/>
        <w:bidi w:val="0"/>
        <w:adjustRightInd w:val="0"/>
        <w:snapToGrid/>
        <w:spacing w:line="360" w:lineRule="auto"/>
        <w:ind w:left="0"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3.负责检查监督乙方管理工作的实施及制度的执行情况。</w:t>
      </w:r>
    </w:p>
    <w:p w14:paraId="4ACC19D1">
      <w:pPr>
        <w:pageBreakBefore w:val="0"/>
        <w:kinsoku/>
        <w:wordWrap/>
        <w:overflowPunct/>
        <w:topLinePunct w:val="0"/>
        <w:autoSpaceDE/>
        <w:autoSpaceDN/>
        <w:bidi w:val="0"/>
        <w:adjustRightInd w:val="0"/>
        <w:snapToGrid/>
        <w:spacing w:line="360" w:lineRule="auto"/>
        <w:ind w:left="0"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4.根据本合同规定，按时向乙方支付应付服务费用。</w:t>
      </w:r>
    </w:p>
    <w:p w14:paraId="3FF8E974">
      <w:pPr>
        <w:pageBreakBefore w:val="0"/>
        <w:kinsoku/>
        <w:wordWrap/>
        <w:overflowPunct/>
        <w:topLinePunct w:val="0"/>
        <w:autoSpaceDE/>
        <w:autoSpaceDN/>
        <w:bidi w:val="0"/>
        <w:adjustRightInd w:val="0"/>
        <w:snapToGrid/>
        <w:spacing w:line="360" w:lineRule="auto"/>
        <w:ind w:left="0"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5.国家法律、法规所规定由甲方承担的其它责任。</w:t>
      </w:r>
    </w:p>
    <w:p w14:paraId="6A2C4647">
      <w:pPr>
        <w:pageBreakBefore w:val="0"/>
        <w:kinsoku/>
        <w:wordWrap/>
        <w:overflowPunct/>
        <w:topLinePunct w:val="0"/>
        <w:autoSpaceDE/>
        <w:autoSpaceDN/>
        <w:bidi w:val="0"/>
        <w:snapToGrid/>
        <w:spacing w:line="360" w:lineRule="auto"/>
        <w:ind w:left="0" w:firstLine="602" w:firstLineChars="200"/>
        <w:rPr>
          <w:rFonts w:hint="eastAsia" w:ascii="宋体" w:hAnsi="宋体" w:eastAsia="宋体" w:cs="宋体"/>
          <w:b/>
          <w:sz w:val="30"/>
          <w:szCs w:val="30"/>
          <w:highlight w:val="none"/>
        </w:rPr>
      </w:pPr>
      <w:r>
        <w:rPr>
          <w:rFonts w:hint="eastAsia" w:ascii="宋体" w:hAnsi="宋体" w:eastAsia="宋体" w:cs="宋体"/>
          <w:b/>
          <w:sz w:val="30"/>
          <w:szCs w:val="30"/>
          <w:highlight w:val="none"/>
        </w:rPr>
        <w:t>第</w:t>
      </w:r>
      <w:r>
        <w:rPr>
          <w:rFonts w:hint="eastAsia" w:ascii="宋体" w:hAnsi="宋体" w:cs="宋体"/>
          <w:b/>
          <w:sz w:val="30"/>
          <w:szCs w:val="30"/>
          <w:highlight w:val="none"/>
          <w:lang w:eastAsia="zh-CN"/>
        </w:rPr>
        <w:t>九</w:t>
      </w:r>
      <w:r>
        <w:rPr>
          <w:rFonts w:hint="eastAsia" w:ascii="宋体" w:hAnsi="宋体" w:eastAsia="宋体" w:cs="宋体"/>
          <w:b/>
          <w:sz w:val="30"/>
          <w:szCs w:val="30"/>
          <w:highlight w:val="none"/>
        </w:rPr>
        <w:t>条  乙方的权利和义务</w:t>
      </w:r>
    </w:p>
    <w:p w14:paraId="74348AB0">
      <w:pPr>
        <w:pageBreakBefore w:val="0"/>
        <w:kinsoku/>
        <w:wordWrap/>
        <w:overflowPunct/>
        <w:topLinePunct w:val="0"/>
        <w:autoSpaceDE/>
        <w:autoSpaceDN/>
        <w:bidi w:val="0"/>
        <w:adjustRightInd w:val="0"/>
        <w:snapToGrid/>
        <w:spacing w:line="360" w:lineRule="auto"/>
        <w:ind w:left="0"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1.对本合同规定的委托服务范围内的项目享有管理权及服务义务。</w:t>
      </w:r>
    </w:p>
    <w:p w14:paraId="0FF51056">
      <w:pPr>
        <w:pageBreakBefore w:val="0"/>
        <w:kinsoku/>
        <w:wordWrap/>
        <w:overflowPunct/>
        <w:topLinePunct w:val="0"/>
        <w:autoSpaceDE/>
        <w:autoSpaceDN/>
        <w:bidi w:val="0"/>
        <w:adjustRightInd w:val="0"/>
        <w:snapToGrid/>
        <w:spacing w:line="360" w:lineRule="auto"/>
        <w:ind w:left="0"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2.根据本合同的规定向甲方收取相关服务费用，并有权在本项目管理范围内管理及合理使用。</w:t>
      </w:r>
    </w:p>
    <w:p w14:paraId="17A60264">
      <w:pPr>
        <w:pageBreakBefore w:val="0"/>
        <w:kinsoku/>
        <w:wordWrap/>
        <w:overflowPunct/>
        <w:topLinePunct w:val="0"/>
        <w:autoSpaceDE/>
        <w:autoSpaceDN/>
        <w:bidi w:val="0"/>
        <w:adjustRightInd w:val="0"/>
        <w:snapToGrid/>
        <w:spacing w:line="360" w:lineRule="auto"/>
        <w:ind w:left="0" w:firstLine="420" w:firstLineChars="200"/>
        <w:jc w:val="left"/>
        <w:textAlignment w:val="baseline"/>
        <w:rPr>
          <w:rFonts w:hint="eastAsia" w:ascii="宋体" w:hAnsi="宋体" w:eastAsia="宋体" w:cs="宋体"/>
          <w:szCs w:val="21"/>
          <w:highlight w:val="none"/>
        </w:rPr>
      </w:pPr>
      <w:r>
        <w:rPr>
          <w:rFonts w:hint="eastAsia" w:ascii="宋体" w:hAnsi="宋体" w:eastAsia="宋体" w:cs="宋体"/>
          <w:szCs w:val="21"/>
          <w:highlight w:val="none"/>
        </w:rPr>
        <w:t>3.及时向甲方通告本项目服务范围内有关服务的重大事项，及时配合处理投诉。</w:t>
      </w:r>
    </w:p>
    <w:p w14:paraId="2C8220AC">
      <w:pPr>
        <w:pageBreakBefore w:val="0"/>
        <w:kinsoku/>
        <w:wordWrap/>
        <w:overflowPunct/>
        <w:topLinePunct w:val="0"/>
        <w:autoSpaceDE/>
        <w:autoSpaceDN/>
        <w:bidi w:val="0"/>
        <w:adjustRightInd w:val="0"/>
        <w:snapToGrid/>
        <w:spacing w:line="360" w:lineRule="auto"/>
        <w:ind w:left="0"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szCs w:val="21"/>
          <w:highlight w:val="none"/>
        </w:rPr>
        <w:t>4.</w:t>
      </w:r>
      <w:r>
        <w:rPr>
          <w:rFonts w:hint="eastAsia" w:ascii="宋体" w:hAnsi="宋体" w:eastAsia="宋体" w:cs="宋体"/>
          <w:bCs/>
          <w:szCs w:val="21"/>
          <w:highlight w:val="none"/>
        </w:rPr>
        <w:t>接受项目行业管理部门及政府有关部门的指导，接受甲方的监督。</w:t>
      </w:r>
    </w:p>
    <w:p w14:paraId="708FA0CA">
      <w:pPr>
        <w:pageBreakBefore w:val="0"/>
        <w:kinsoku/>
        <w:wordWrap/>
        <w:overflowPunct/>
        <w:topLinePunct w:val="0"/>
        <w:autoSpaceDE/>
        <w:autoSpaceDN/>
        <w:bidi w:val="0"/>
        <w:adjustRightInd w:val="0"/>
        <w:snapToGrid/>
        <w:spacing w:line="360" w:lineRule="auto"/>
        <w:ind w:left="0"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5.国家法律、法规所规定由乙方承担的其它责任。</w:t>
      </w:r>
    </w:p>
    <w:p w14:paraId="53EAA0D3">
      <w:pPr>
        <w:pageBreakBefore w:val="0"/>
        <w:kinsoku/>
        <w:wordWrap/>
        <w:overflowPunct/>
        <w:topLinePunct w:val="0"/>
        <w:autoSpaceDE/>
        <w:autoSpaceDN/>
        <w:bidi w:val="0"/>
        <w:snapToGrid/>
        <w:spacing w:line="360" w:lineRule="auto"/>
        <w:ind w:left="0" w:firstLine="602" w:firstLineChars="200"/>
        <w:rPr>
          <w:rFonts w:hint="eastAsia" w:ascii="宋体" w:hAnsi="宋体" w:eastAsia="宋体" w:cs="宋体"/>
          <w:b/>
          <w:sz w:val="30"/>
          <w:szCs w:val="30"/>
          <w:highlight w:val="none"/>
        </w:rPr>
      </w:pPr>
      <w:r>
        <w:rPr>
          <w:rFonts w:hint="eastAsia" w:ascii="宋体" w:hAnsi="宋体" w:eastAsia="宋体" w:cs="宋体"/>
          <w:b/>
          <w:sz w:val="30"/>
          <w:szCs w:val="30"/>
          <w:highlight w:val="none"/>
        </w:rPr>
        <w:t>第十条  违约责任</w:t>
      </w:r>
    </w:p>
    <w:p w14:paraId="224B2209">
      <w:pPr>
        <w:pageBreakBefore w:val="0"/>
        <w:kinsoku/>
        <w:wordWrap/>
        <w:overflowPunct/>
        <w:topLinePunct w:val="0"/>
        <w:autoSpaceDE/>
        <w:autoSpaceDN/>
        <w:bidi w:val="0"/>
        <w:adjustRightInd w:val="0"/>
        <w:snapToGrid/>
        <w:spacing w:line="360" w:lineRule="auto"/>
        <w:ind w:left="0"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1.甲乙双方必须遵守本合同并执行合同中的各项规定，保证本合同的正常履行。</w:t>
      </w:r>
    </w:p>
    <w:p w14:paraId="25789F15">
      <w:pPr>
        <w:pageBreakBefore w:val="0"/>
        <w:kinsoku/>
        <w:wordWrap/>
        <w:overflowPunct/>
        <w:topLinePunct w:val="0"/>
        <w:autoSpaceDE/>
        <w:autoSpaceDN/>
        <w:bidi w:val="0"/>
        <w:adjustRightInd w:val="0"/>
        <w:snapToGrid/>
        <w:spacing w:line="360" w:lineRule="auto"/>
        <w:ind w:left="0"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7C1EFE9">
      <w:pPr>
        <w:pageBreakBefore w:val="0"/>
        <w:kinsoku/>
        <w:wordWrap/>
        <w:overflowPunct/>
        <w:topLinePunct w:val="0"/>
        <w:autoSpaceDE/>
        <w:autoSpaceDN/>
        <w:bidi w:val="0"/>
        <w:snapToGrid/>
        <w:spacing w:line="360" w:lineRule="auto"/>
        <w:ind w:left="0" w:firstLine="602" w:firstLineChars="200"/>
        <w:rPr>
          <w:rFonts w:hint="eastAsia" w:ascii="宋体" w:hAnsi="宋体" w:eastAsia="宋体" w:cs="宋体"/>
          <w:b/>
          <w:sz w:val="30"/>
          <w:szCs w:val="30"/>
          <w:highlight w:val="none"/>
        </w:rPr>
      </w:pPr>
      <w:r>
        <w:rPr>
          <w:rFonts w:hint="eastAsia" w:ascii="宋体" w:hAnsi="宋体" w:eastAsia="宋体" w:cs="宋体"/>
          <w:b/>
          <w:sz w:val="30"/>
          <w:szCs w:val="30"/>
          <w:highlight w:val="none"/>
        </w:rPr>
        <w:t>第十</w:t>
      </w:r>
      <w:r>
        <w:rPr>
          <w:rFonts w:hint="eastAsia" w:ascii="宋体" w:hAnsi="宋体" w:cs="宋体"/>
          <w:b/>
          <w:sz w:val="30"/>
          <w:szCs w:val="30"/>
          <w:highlight w:val="none"/>
          <w:lang w:eastAsia="zh-CN"/>
        </w:rPr>
        <w:t>一</w:t>
      </w:r>
      <w:r>
        <w:rPr>
          <w:rFonts w:hint="eastAsia" w:ascii="宋体" w:hAnsi="宋体" w:eastAsia="宋体" w:cs="宋体"/>
          <w:b/>
          <w:sz w:val="30"/>
          <w:szCs w:val="30"/>
          <w:highlight w:val="none"/>
        </w:rPr>
        <w:t>条  不可抗力事件处理</w:t>
      </w:r>
    </w:p>
    <w:p w14:paraId="77F63F37">
      <w:pPr>
        <w:pageBreakBefore w:val="0"/>
        <w:tabs>
          <w:tab w:val="left" w:pos="0"/>
        </w:tabs>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1.在合同有效期内，任何一方因不可抗力事件导致不能履行合同，则合同履行期可延长，其延长期与不可抗力影响期相同。</w:t>
      </w:r>
    </w:p>
    <w:p w14:paraId="4731A667">
      <w:pPr>
        <w:pageBreakBefore w:val="0"/>
        <w:tabs>
          <w:tab w:val="left" w:pos="0"/>
        </w:tabs>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2.不可抗力事件发生后，应立即通知对方，并寄送有关权威机构出具的证明。</w:t>
      </w:r>
    </w:p>
    <w:p w14:paraId="1E76E454">
      <w:pPr>
        <w:pageBreakBefore w:val="0"/>
        <w:tabs>
          <w:tab w:val="left" w:pos="0"/>
        </w:tabs>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3.不可抗力事件延续</w:t>
      </w:r>
      <w:r>
        <w:rPr>
          <w:rFonts w:hint="eastAsia" w:ascii="宋体" w:hAnsi="宋体" w:eastAsia="宋体" w:cs="宋体"/>
          <w:color w:val="000000"/>
          <w:szCs w:val="21"/>
          <w:highlight w:val="none"/>
        </w:rPr>
        <w:t>XX</w:t>
      </w:r>
      <w:r>
        <w:rPr>
          <w:rFonts w:hint="eastAsia" w:ascii="宋体" w:hAnsi="宋体" w:eastAsia="宋体" w:cs="宋体"/>
          <w:szCs w:val="21"/>
          <w:highlight w:val="none"/>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0577EA36">
      <w:pPr>
        <w:pageBreakBefore w:val="0"/>
        <w:widowControl/>
        <w:kinsoku/>
        <w:wordWrap/>
        <w:overflowPunct/>
        <w:topLinePunct w:val="0"/>
        <w:autoSpaceDE/>
        <w:autoSpaceDN/>
        <w:bidi w:val="0"/>
        <w:snapToGrid/>
        <w:spacing w:line="360" w:lineRule="auto"/>
        <w:ind w:left="0" w:firstLine="602" w:firstLineChars="200"/>
        <w:jc w:val="left"/>
        <w:rPr>
          <w:rFonts w:hint="eastAsia" w:ascii="宋体" w:hAnsi="宋体" w:eastAsia="宋体" w:cs="宋体"/>
          <w:color w:val="000000"/>
          <w:kern w:val="0"/>
          <w:sz w:val="30"/>
          <w:szCs w:val="30"/>
          <w:highlight w:val="none"/>
        </w:rPr>
      </w:pPr>
      <w:bookmarkStart w:id="18" w:name="_Toc185395254"/>
      <w:bookmarkStart w:id="19" w:name="_Toc247334846"/>
      <w:bookmarkStart w:id="20" w:name="_Toc241833908"/>
      <w:bookmarkStart w:id="21" w:name="_Toc239233919"/>
      <w:bookmarkStart w:id="22" w:name="_Toc211854454"/>
      <w:bookmarkStart w:id="23" w:name="_Toc232492933"/>
      <w:bookmarkStart w:id="24" w:name="_Toc238984980"/>
      <w:bookmarkStart w:id="25" w:name="_Toc212019599"/>
      <w:bookmarkStart w:id="26" w:name="_Toc225654649"/>
      <w:bookmarkStart w:id="27" w:name="_Toc237145411"/>
      <w:bookmarkStart w:id="28" w:name="_Toc286993792"/>
      <w:bookmarkStart w:id="29" w:name="_Toc251768867"/>
      <w:bookmarkStart w:id="30" w:name="_Toc225244857"/>
      <w:bookmarkStart w:id="31" w:name="_Toc225670756"/>
      <w:bookmarkStart w:id="32" w:name="_Toc239568423"/>
      <w:bookmarkStart w:id="33" w:name="_Toc211911353"/>
      <w:r>
        <w:rPr>
          <w:rFonts w:hint="eastAsia" w:ascii="宋体" w:hAnsi="宋体" w:eastAsia="宋体" w:cs="宋体"/>
          <w:b/>
          <w:sz w:val="30"/>
          <w:szCs w:val="30"/>
          <w:highlight w:val="none"/>
        </w:rPr>
        <w:t>第十</w:t>
      </w:r>
      <w:r>
        <w:rPr>
          <w:rFonts w:hint="eastAsia" w:ascii="宋体" w:hAnsi="宋体" w:cs="宋体"/>
          <w:b/>
          <w:sz w:val="30"/>
          <w:szCs w:val="30"/>
          <w:highlight w:val="none"/>
          <w:lang w:eastAsia="zh-CN"/>
        </w:rPr>
        <w:t>二</w:t>
      </w:r>
      <w:r>
        <w:rPr>
          <w:rFonts w:hint="eastAsia" w:ascii="宋体" w:hAnsi="宋体" w:eastAsia="宋体" w:cs="宋体"/>
          <w:b/>
          <w:sz w:val="30"/>
          <w:szCs w:val="30"/>
          <w:highlight w:val="none"/>
        </w:rPr>
        <w:t xml:space="preserve">条  </w:t>
      </w:r>
      <w:r>
        <w:rPr>
          <w:rFonts w:hint="eastAsia" w:ascii="宋体" w:hAnsi="宋体" w:eastAsia="宋体" w:cs="宋体"/>
          <w:b/>
          <w:color w:val="000000"/>
          <w:kern w:val="0"/>
          <w:sz w:val="30"/>
          <w:szCs w:val="30"/>
          <w:highlight w:val="none"/>
        </w:rPr>
        <w:t>合同的变更和终止</w:t>
      </w:r>
    </w:p>
    <w:p w14:paraId="2D0C62FA">
      <w:pPr>
        <w:pStyle w:val="7"/>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除《中华人民共和国政府采购法》第49条、第50条第二款规定的情形外，本合同一经签订，甲乙双方不得擅自变更、中止或终止合同。</w:t>
      </w:r>
    </w:p>
    <w:p w14:paraId="48A12143">
      <w:pPr>
        <w:pageBreakBefore w:val="0"/>
        <w:kinsoku/>
        <w:wordWrap/>
        <w:overflowPunct/>
        <w:topLinePunct w:val="0"/>
        <w:autoSpaceDE/>
        <w:autoSpaceDN/>
        <w:bidi w:val="0"/>
        <w:snapToGrid/>
        <w:spacing w:line="360" w:lineRule="auto"/>
        <w:ind w:left="0" w:firstLine="602" w:firstLineChars="200"/>
        <w:rPr>
          <w:rFonts w:hint="eastAsia" w:ascii="宋体" w:hAnsi="宋体" w:eastAsia="宋体" w:cs="宋体"/>
          <w:b/>
          <w:szCs w:val="21"/>
          <w:highlight w:val="none"/>
        </w:rPr>
      </w:pPr>
      <w:r>
        <w:rPr>
          <w:rFonts w:hint="eastAsia" w:ascii="宋体" w:hAnsi="宋体" w:eastAsia="宋体" w:cs="宋体"/>
          <w:b/>
          <w:sz w:val="30"/>
          <w:szCs w:val="30"/>
          <w:highlight w:val="none"/>
        </w:rPr>
        <w:t>第十</w:t>
      </w:r>
      <w:r>
        <w:rPr>
          <w:rFonts w:hint="eastAsia" w:ascii="宋体" w:hAnsi="宋体" w:cs="宋体"/>
          <w:b/>
          <w:sz w:val="30"/>
          <w:szCs w:val="30"/>
          <w:highlight w:val="none"/>
          <w:lang w:eastAsia="zh-CN"/>
        </w:rPr>
        <w:t>三</w:t>
      </w:r>
      <w:r>
        <w:rPr>
          <w:rFonts w:hint="eastAsia" w:ascii="宋体" w:hAnsi="宋体" w:eastAsia="宋体" w:cs="宋体"/>
          <w:b/>
          <w:sz w:val="30"/>
          <w:szCs w:val="30"/>
          <w:highlight w:val="none"/>
        </w:rPr>
        <w:t>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2328F17">
      <w:pPr>
        <w:pStyle w:val="7"/>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kern w:val="0"/>
          <w:sz w:val="21"/>
          <w:szCs w:val="21"/>
          <w:highlight w:val="none"/>
        </w:rPr>
      </w:pPr>
      <w:r>
        <w:rPr>
          <w:rFonts w:hint="eastAsia" w:ascii="宋体" w:hAnsi="宋体" w:eastAsia="宋体" w:cs="宋体"/>
          <w:sz w:val="21"/>
          <w:szCs w:val="21"/>
          <w:highlight w:val="none"/>
        </w:rPr>
        <w:t>1.在执行本合同中发生的或与本合同有关的争端，双方应通过友好协商解决，经协商在</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天内不能达成协议时，</w:t>
      </w:r>
      <w:r>
        <w:rPr>
          <w:rFonts w:hint="eastAsia" w:ascii="宋体" w:hAnsi="宋体" w:eastAsia="宋体" w:cs="宋体"/>
          <w:kern w:val="0"/>
          <w:sz w:val="21"/>
          <w:szCs w:val="21"/>
          <w:highlight w:val="none"/>
        </w:rPr>
        <w:t>则采取以下第</w:t>
      </w:r>
      <w:r>
        <w:rPr>
          <w:rFonts w:hint="eastAsia" w:ascii="宋体" w:hAnsi="宋体" w:eastAsia="宋体" w:cs="宋体"/>
          <w:kern w:val="0"/>
          <w:sz w:val="21"/>
          <w:szCs w:val="21"/>
          <w:highlight w:val="none"/>
          <w:lang w:val="en-US" w:eastAsia="zh-CN"/>
        </w:rPr>
        <w:t>1</w:t>
      </w:r>
      <w:r>
        <w:rPr>
          <w:rFonts w:hint="eastAsia" w:ascii="宋体" w:hAnsi="宋体" w:eastAsia="宋体" w:cs="宋体"/>
          <w:kern w:val="0"/>
          <w:sz w:val="21"/>
          <w:szCs w:val="21"/>
          <w:highlight w:val="none"/>
        </w:rPr>
        <w:t>种方式解决争议：</w:t>
      </w:r>
    </w:p>
    <w:p w14:paraId="0D840F5D">
      <w:pPr>
        <w:pStyle w:val="7"/>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（1）向甲方所在地有管辖权的人民法院提起诉讼；</w:t>
      </w:r>
    </w:p>
    <w:p w14:paraId="25604FA6">
      <w:pPr>
        <w:pStyle w:val="7"/>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（2）向____________仲裁委员会按其仲裁规则申请仲裁。</w:t>
      </w:r>
    </w:p>
    <w:p w14:paraId="3B4DA0DE">
      <w:pPr>
        <w:pageBreakBefore w:val="0"/>
        <w:tabs>
          <w:tab w:val="left" w:pos="0"/>
        </w:tabs>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kern w:val="0"/>
          <w:szCs w:val="21"/>
          <w:highlight w:val="none"/>
        </w:rPr>
        <w:t>2.在仲裁期间，本合同应继续履行。</w:t>
      </w:r>
    </w:p>
    <w:p w14:paraId="16738730">
      <w:pPr>
        <w:pageBreakBefore w:val="0"/>
        <w:kinsoku/>
        <w:wordWrap/>
        <w:overflowPunct/>
        <w:topLinePunct w:val="0"/>
        <w:autoSpaceDE/>
        <w:autoSpaceDN/>
        <w:bidi w:val="0"/>
        <w:snapToGrid/>
        <w:spacing w:line="360" w:lineRule="auto"/>
        <w:ind w:left="0" w:firstLine="602" w:firstLineChars="200"/>
        <w:rPr>
          <w:rFonts w:hint="eastAsia" w:ascii="宋体" w:hAnsi="宋体" w:eastAsia="宋体" w:cs="宋体"/>
          <w:b/>
          <w:sz w:val="30"/>
          <w:szCs w:val="30"/>
          <w:highlight w:val="none"/>
        </w:rPr>
      </w:pPr>
      <w:bookmarkStart w:id="34" w:name="_Toc185395255"/>
      <w:bookmarkStart w:id="35" w:name="_Toc241833909"/>
      <w:bookmarkStart w:id="36" w:name="_Toc238984981"/>
      <w:bookmarkStart w:id="37" w:name="_Toc247334847"/>
      <w:bookmarkStart w:id="38" w:name="_Toc237145412"/>
      <w:bookmarkStart w:id="39" w:name="_Toc232492934"/>
      <w:bookmarkStart w:id="40" w:name="_Toc225670757"/>
      <w:bookmarkStart w:id="41" w:name="_Toc211854455"/>
      <w:bookmarkStart w:id="42" w:name="_Toc283019219"/>
      <w:bookmarkStart w:id="43" w:name="_Toc211911354"/>
      <w:bookmarkStart w:id="44" w:name="_Toc225244858"/>
      <w:bookmarkStart w:id="45" w:name="_Toc286993793"/>
      <w:bookmarkStart w:id="46" w:name="_Toc225654650"/>
      <w:bookmarkStart w:id="47" w:name="_Toc282696231"/>
      <w:bookmarkStart w:id="48" w:name="_Toc212019600"/>
      <w:bookmarkStart w:id="49" w:name="_Toc239568424"/>
      <w:bookmarkStart w:id="50" w:name="_Toc239233920"/>
      <w:bookmarkStart w:id="51" w:name="_Toc251768868"/>
      <w:r>
        <w:rPr>
          <w:rFonts w:hint="eastAsia" w:ascii="宋体" w:hAnsi="宋体" w:eastAsia="宋体" w:cs="宋体"/>
          <w:b/>
          <w:sz w:val="30"/>
          <w:szCs w:val="30"/>
          <w:highlight w:val="none"/>
        </w:rPr>
        <w:t>第十四条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eastAsia="宋体" w:cs="宋体"/>
          <w:b/>
          <w:sz w:val="30"/>
          <w:szCs w:val="30"/>
          <w:highlight w:val="none"/>
        </w:rPr>
        <w:t>生效及其他</w:t>
      </w:r>
    </w:p>
    <w:p w14:paraId="164BC267">
      <w:pPr>
        <w:pStyle w:val="8"/>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1.合同经双方法定代表人或授权委托代理人签字并加盖单位公章后生效。</w:t>
      </w:r>
    </w:p>
    <w:p w14:paraId="28214C14">
      <w:pPr>
        <w:pStyle w:val="8"/>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2.合同执行中涉及采购资金和采购内容修改或补充的，须经政府采购监管部门审批，并签书面补充协议报政府采购监督管理部门备案，方可作为主合同不可分割的一部分。</w:t>
      </w:r>
    </w:p>
    <w:p w14:paraId="0EC11E5F">
      <w:pPr>
        <w:pStyle w:val="8"/>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3.本合同一式</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份，自双方签章之日起起效。甲方</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份，乙方</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份，政府采购代理机构</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份，同级财政部门备案</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份，具有同等法律效力。</w:t>
      </w:r>
    </w:p>
    <w:p w14:paraId="62B007AF">
      <w:pPr>
        <w:pageBreakBefore w:val="0"/>
        <w:kinsoku/>
        <w:wordWrap/>
        <w:overflowPunct/>
        <w:topLinePunct w:val="0"/>
        <w:autoSpaceDE/>
        <w:autoSpaceDN/>
        <w:bidi w:val="0"/>
        <w:snapToGrid/>
        <w:spacing w:line="360" w:lineRule="auto"/>
        <w:ind w:left="0" w:firstLine="602" w:firstLineChars="200"/>
        <w:rPr>
          <w:rFonts w:hint="eastAsia" w:ascii="宋体" w:hAnsi="宋体" w:eastAsia="宋体" w:cs="宋体"/>
          <w:b/>
          <w:sz w:val="30"/>
          <w:szCs w:val="30"/>
          <w:highlight w:val="none"/>
        </w:rPr>
      </w:pPr>
      <w:r>
        <w:rPr>
          <w:rFonts w:hint="eastAsia" w:ascii="宋体" w:hAnsi="宋体" w:eastAsia="宋体" w:cs="宋体"/>
          <w:b/>
          <w:sz w:val="30"/>
          <w:szCs w:val="30"/>
          <w:highlight w:val="none"/>
        </w:rPr>
        <w:t>第十五条  附件</w:t>
      </w:r>
    </w:p>
    <w:p w14:paraId="43F96F59">
      <w:pPr>
        <w:pStyle w:val="8"/>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1.项目</w:t>
      </w:r>
      <w:r>
        <w:rPr>
          <w:rFonts w:hint="eastAsia" w:ascii="宋体" w:hAnsi="宋体" w:cs="宋体"/>
          <w:sz w:val="21"/>
          <w:szCs w:val="21"/>
          <w:highlight w:val="none"/>
          <w:lang w:eastAsia="zh-CN"/>
        </w:rPr>
        <w:t>采购</w:t>
      </w:r>
      <w:r>
        <w:rPr>
          <w:rFonts w:hint="eastAsia" w:ascii="宋体" w:hAnsi="宋体" w:eastAsia="宋体" w:cs="宋体"/>
          <w:sz w:val="21"/>
          <w:szCs w:val="21"/>
          <w:highlight w:val="none"/>
        </w:rPr>
        <w:t>文件</w:t>
      </w:r>
    </w:p>
    <w:p w14:paraId="734C93A1">
      <w:pPr>
        <w:pStyle w:val="8"/>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2.项目修改澄清文件</w:t>
      </w:r>
    </w:p>
    <w:p w14:paraId="39DEEC6F">
      <w:pPr>
        <w:pStyle w:val="8"/>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3.项目投标</w:t>
      </w:r>
      <w:r>
        <w:rPr>
          <w:rFonts w:hint="eastAsia" w:ascii="宋体" w:hAnsi="宋体" w:cs="宋体"/>
          <w:sz w:val="21"/>
          <w:szCs w:val="21"/>
          <w:highlight w:val="none"/>
          <w:lang w:eastAsia="zh-CN"/>
        </w:rPr>
        <w:t>响应</w:t>
      </w:r>
      <w:r>
        <w:rPr>
          <w:rFonts w:hint="eastAsia" w:ascii="宋体" w:hAnsi="宋体" w:eastAsia="宋体" w:cs="宋体"/>
          <w:sz w:val="21"/>
          <w:szCs w:val="21"/>
          <w:highlight w:val="none"/>
        </w:rPr>
        <w:t>文件</w:t>
      </w:r>
    </w:p>
    <w:p w14:paraId="3BF05AE0">
      <w:pPr>
        <w:pStyle w:val="8"/>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4.中标通知书</w:t>
      </w:r>
    </w:p>
    <w:p w14:paraId="25DDF76E">
      <w:pPr>
        <w:pStyle w:val="8"/>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5.其他</w:t>
      </w:r>
    </w:p>
    <w:p w14:paraId="3E896E50">
      <w:pPr>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p>
    <w:p w14:paraId="60952244">
      <w:pPr>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甲方：   （盖章）   </w:t>
      </w:r>
      <w:r>
        <w:rPr>
          <w:rFonts w:hint="eastAsia" w:ascii="宋体" w:hAnsi="宋体" w:eastAsia="宋体" w:cs="宋体"/>
          <w:szCs w:val="21"/>
          <w:highlight w:val="none"/>
        </w:rPr>
        <w:tab/>
      </w:r>
      <w:r>
        <w:rPr>
          <w:rFonts w:hint="eastAsia" w:ascii="宋体" w:hAnsi="宋体" w:eastAsia="宋体" w:cs="宋体"/>
          <w:szCs w:val="21"/>
          <w:highlight w:val="none"/>
        </w:rPr>
        <w:tab/>
      </w:r>
      <w:r>
        <w:rPr>
          <w:rFonts w:hint="eastAsia" w:ascii="宋体" w:hAnsi="宋体" w:eastAsia="宋体" w:cs="宋体"/>
          <w:szCs w:val="21"/>
          <w:highlight w:val="none"/>
        </w:rPr>
        <w:tab/>
      </w:r>
      <w:r>
        <w:rPr>
          <w:rFonts w:hint="eastAsia" w:ascii="宋体" w:hAnsi="宋体" w:eastAsia="宋体" w:cs="宋体"/>
          <w:szCs w:val="21"/>
          <w:highlight w:val="none"/>
        </w:rPr>
        <w:t xml:space="preserve">       乙方：   （盖章）</w:t>
      </w:r>
    </w:p>
    <w:p w14:paraId="4F1A00AA">
      <w:pPr>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法定代表人（委托代理人）：              法定代表人（委托代理人）：</w:t>
      </w:r>
    </w:p>
    <w:p w14:paraId="76F5E554">
      <w:pPr>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地    址：                             地    址：</w:t>
      </w:r>
    </w:p>
    <w:p w14:paraId="0FBF46B7">
      <w:pPr>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开户银行：                             开户银行：</w:t>
      </w:r>
    </w:p>
    <w:p w14:paraId="1AB866C9">
      <w:pPr>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账号：                                 账号：</w:t>
      </w:r>
    </w:p>
    <w:p w14:paraId="6B7FB9AF">
      <w:pPr>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电    话：                             电    话：</w:t>
      </w:r>
    </w:p>
    <w:p w14:paraId="0BDF4058">
      <w:pPr>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传    真：                             传    真：</w:t>
      </w:r>
    </w:p>
    <w:p w14:paraId="3D8D9EDF">
      <w:pPr>
        <w:pageBreakBefore w:val="0"/>
        <w:kinsoku/>
        <w:wordWrap/>
        <w:overflowPunct/>
        <w:topLinePunct w:val="0"/>
        <w:autoSpaceDE/>
        <w:autoSpaceDN/>
        <w:bidi w:val="0"/>
        <w:snapToGrid/>
        <w:spacing w:line="360" w:lineRule="auto"/>
        <w:ind w:left="0" w:firstLine="420" w:firstLineChars="200"/>
      </w:pPr>
      <w:r>
        <w:rPr>
          <w:rFonts w:hint="eastAsia" w:ascii="宋体" w:hAnsi="宋体" w:eastAsia="宋体" w:cs="宋体"/>
          <w:szCs w:val="21"/>
          <w:highlight w:val="none"/>
        </w:rPr>
        <w:t xml:space="preserve">签约日期：  年  月  日 </w:t>
      </w:r>
      <w:r>
        <w:rPr>
          <w:rFonts w:hint="eastAsia" w:ascii="宋体" w:hAnsi="宋体" w:eastAsia="宋体" w:cs="宋体"/>
          <w:szCs w:val="21"/>
          <w:highlight w:val="none"/>
        </w:rPr>
        <w:tab/>
      </w:r>
      <w:r>
        <w:rPr>
          <w:rFonts w:hint="eastAsia" w:ascii="宋体" w:hAnsi="宋体" w:eastAsia="宋体" w:cs="宋体"/>
          <w:szCs w:val="21"/>
          <w:highlight w:val="none"/>
        </w:rPr>
        <w:tab/>
      </w:r>
      <w:r>
        <w:rPr>
          <w:rFonts w:hint="eastAsia" w:ascii="宋体" w:hAnsi="宋体" w:eastAsia="宋体" w:cs="宋体"/>
          <w:szCs w:val="21"/>
          <w:highlight w:val="none"/>
        </w:rPr>
        <w:tab/>
      </w:r>
      <w:r>
        <w:rPr>
          <w:rFonts w:hint="eastAsia" w:ascii="宋体" w:hAnsi="宋体" w:eastAsia="宋体" w:cs="宋体"/>
          <w:szCs w:val="21"/>
          <w:highlight w:val="none"/>
        </w:rPr>
        <w:t xml:space="preserve">   签约日期：    年  月  </w:t>
      </w:r>
      <w:r>
        <w:rPr>
          <w:rFonts w:hint="eastAsia" w:ascii="宋体" w:hAnsi="宋体" w:eastAsia="宋体" w:cs="宋体"/>
          <w:color w:val="000000"/>
          <w:szCs w:val="21"/>
          <w:highlight w:val="none"/>
        </w:rPr>
        <w:t>日</w:t>
      </w:r>
    </w:p>
    <w:sectPr>
      <w:pgSz w:w="11906" w:h="16838"/>
      <w:pgMar w:top="1440" w:right="1519" w:bottom="1440"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379"/>
        </w:tabs>
        <w:ind w:left="1379"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E4EA2"/>
    <w:rsid w:val="24DF7B6A"/>
    <w:rsid w:val="2A051B9F"/>
    <w:rsid w:val="2C3D23B8"/>
    <w:rsid w:val="33AE1FF8"/>
    <w:rsid w:val="3A02251B"/>
    <w:rsid w:val="3D134156"/>
    <w:rsid w:val="76B020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next w:val="3"/>
    <w:qFormat/>
    <w:uiPriority w:val="0"/>
    <w:pPr>
      <w:keepNext/>
      <w:keepLines/>
      <w:widowControl w:val="0"/>
      <w:spacing w:before="260" w:after="260" w:line="500" w:lineRule="exact"/>
      <w:jc w:val="both"/>
      <w:outlineLvl w:val="1"/>
    </w:pPr>
    <w:rPr>
      <w:rFonts w:ascii="Arial" w:hAnsi="Arial" w:eastAsia="黑体" w:cs="Times New Roman"/>
      <w:b/>
      <w:kern w:val="2"/>
      <w:sz w:val="28"/>
      <w:szCs w:val="20"/>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uiPriority w:val="0"/>
    <w:pPr>
      <w:widowControl w:val="0"/>
      <w:ind w:firstLine="420"/>
      <w:jc w:val="both"/>
    </w:pPr>
    <w:rPr>
      <w:rFonts w:ascii="Times New Roman" w:hAnsi="Times New Roman" w:eastAsia="宋体" w:cs="Times New Roman"/>
      <w:kern w:val="2"/>
      <w:sz w:val="21"/>
      <w:szCs w:val="20"/>
      <w:lang w:val="en-US" w:eastAsia="zh-CN" w:bidi="ar-SA"/>
    </w:rPr>
  </w:style>
  <w:style w:type="paragraph" w:styleId="4">
    <w:name w:val="Body Text First Indent"/>
    <w:next w:val="1"/>
    <w:unhideWhenUsed/>
    <w:qFormat/>
    <w:uiPriority w:val="99"/>
    <w:pPr>
      <w:widowControl w:val="0"/>
      <w:ind w:firstLine="420" w:firstLineChars="100"/>
    </w:pPr>
    <w:rPr>
      <w:rFonts w:ascii="Copperplate Gothic Bold" w:hAnsi="Copperplate Gothic Bold" w:eastAsia="宋体" w:cs="Times New Roman"/>
      <w:kern w:val="2"/>
      <w:sz w:val="28"/>
      <w:szCs w:val="24"/>
      <w:lang w:val="en-US" w:eastAsia="zh-CN" w:bidi="ar-SA"/>
    </w:rPr>
  </w:style>
  <w:style w:type="paragraph" w:customStyle="1" w:styleId="7">
    <w:name w:val="样式 首行缩进:  2 字符"/>
    <w:qFormat/>
    <w:uiPriority w:val="0"/>
    <w:pPr>
      <w:widowControl w:val="0"/>
      <w:spacing w:line="400" w:lineRule="exact"/>
      <w:ind w:firstLine="200" w:firstLineChars="200"/>
      <w:jc w:val="both"/>
    </w:pPr>
    <w:rPr>
      <w:rFonts w:ascii="Times New Roman" w:hAnsi="Times New Roman" w:eastAsia="宋体" w:cs="宋体"/>
      <w:kern w:val="2"/>
      <w:sz w:val="24"/>
      <w:szCs w:val="24"/>
      <w:lang w:val="en-US" w:eastAsia="zh-CN" w:bidi="ar-SA"/>
    </w:rPr>
  </w:style>
  <w:style w:type="paragraph" w:styleId="8">
    <w:name w:val="List Paragraph"/>
    <w:qFormat/>
    <w:uiPriority w:val="0"/>
    <w:pPr>
      <w:widowControl w:val="0"/>
      <w:ind w:firstLine="420" w:firstLineChars="200"/>
      <w:jc w:val="both"/>
    </w:pPr>
    <w:rPr>
      <w:rFonts w:ascii="Times New Roman" w:hAnsi="Times New Roman" w:eastAsia="宋体" w:cs="Times New Roman"/>
      <w:kern w:val="2"/>
      <w:sz w:val="18"/>
      <w:szCs w:val="18"/>
      <w:lang w:val="en-US" w:eastAsia="zh-CN"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2029</Words>
  <Characters>2114</Characters>
  <Lines>0</Lines>
  <Paragraphs>0</Paragraphs>
  <TotalTime>8</TotalTime>
  <ScaleCrop>false</ScaleCrop>
  <LinksUpToDate>false</LinksUpToDate>
  <CharactersWithSpaces>2392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2026-01-09T09:22:00Z</dcterms:created>
  <dc:creator>Administrator</dc:creator>
  <cp:lastModifiedBy>阿离</cp:lastModifiedBy>
  <dcterms:modified xsi:type="dcterms:W3CDTF">2026-07-29T11:40:42Z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eyJoZGlkIjoiNTliYjJhNmMyYmZiYzg4MjZjOWYxMWE1Y2FkZTYwZjEiLCJ1c2VySWQiOiIzNzQ0NjI3MDAifQ==</vt:lpwstr>
  </property>
  <property fmtid="{D5CDD505-2E9C-101B-9397-08002B2CF9AE}" pid="4" name="ICV">
    <vt:lpwstr>CFABF06B87154F77B97BD2130889790D_12</vt:lpwstr>
  </property>
</Properties>
</file>