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版本号：JC2026-CG0502(20)20260602001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重点河道防汛监测预警综合管理系统维修养护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JC2026-CG0502(20)</w:t>
      </w:r>
      <w:r>
        <w:br/>
      </w:r>
      <w:r>
        <w:br/>
      </w:r>
      <w:r>
        <w:br/>
      </w:r>
    </w:p>
    <w:p>
      <w:pPr>
        <w:pStyle w:val="null3"/>
        <w:jc w:val="center"/>
        <w:outlineLvl w:val="2"/>
      </w:pPr>
      <w:r>
        <w:rPr>
          <w:rFonts w:ascii="仿宋_GB2312" w:hAnsi="仿宋_GB2312" w:cs="仿宋_GB2312" w:eastAsia="仿宋_GB2312"/>
          <w:sz w:val="28"/>
          <w:b/>
        </w:rPr>
        <w:t>西安市长安区沣河管理站</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西安市长安区沣河管理站</w:t>
      </w:r>
      <w:r>
        <w:rPr>
          <w:rFonts w:ascii="仿宋_GB2312" w:hAnsi="仿宋_GB2312" w:cs="仿宋_GB2312" w:eastAsia="仿宋_GB2312"/>
        </w:rPr>
        <w:t>委托，拟对</w:t>
      </w:r>
      <w:r>
        <w:rPr>
          <w:rFonts w:ascii="仿宋_GB2312" w:hAnsi="仿宋_GB2312" w:cs="仿宋_GB2312" w:eastAsia="仿宋_GB2312"/>
        </w:rPr>
        <w:t>重点河道防汛监测预警综合管理系统维修养护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JC2026-CG0502(20)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重点河道防汛监测预警综合管理系统维修养护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重点河道防汛监测预警综合管理系统维修养护项目，该项目服务内容为保障重点河道防汛监测预警综合管理系统及设备的正常运行，对系统内设备、平台、线路等进行维护，以确保在汛期能够及时准确地监测河道情况，预警可能出现的险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采购包1（重点河道防汛监测预警综合管理系统维修养护）：属于专门面向中小企业采购。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供应商应授权合法的人员参加磋商全过程：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pPr>
        <w:pStyle w:val="null3"/>
      </w:pPr>
      <w:r>
        <w:rPr>
          <w:rFonts w:ascii="仿宋_GB2312" w:hAnsi="仿宋_GB2312" w:cs="仿宋_GB2312" w:eastAsia="仿宋_GB2312"/>
        </w:rPr>
        <w:t>3、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4、非联合体磋商：本项目不接受联合体磋商。单位负责人为同一人或者存在直接控股、管理关系的不同单位不得同时参加。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西安市长安区沣河管理站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西安市长安区马王街道沣桥街2号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029-85851340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029-88228971/18681802917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规定标准收取（按照标准计算代理服务费不足6000元时，按6000元收取）。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西安市长安区沣河管理站</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西安市长安区沣河管理站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西安市长安区沣河管理站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联系人：王琛</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点河道防汛监测预警综合管理系统维修养护项目，该项目服务内容为保障重点河道防汛监测预警综合管理系统及设备的正常运行，对系统内设备、平台、线路等进行维护，以确保在汛期能够及时准确地监测河道情况，预警可能出现的险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372,200.00</w:t>
      </w:r>
    </w:p>
    <w:p>
      <w:pPr>
        <w:pStyle w:val="null3"/>
      </w:pPr>
      <w:r>
        <w:rPr>
          <w:rFonts w:ascii="仿宋_GB2312" w:hAnsi="仿宋_GB2312" w:cs="仿宋_GB2312" w:eastAsia="仿宋_GB2312"/>
        </w:rPr>
        <w:t>采购包最高限价（元）: 372,200.00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重点河道防汛监测预警综合管理系统维修养护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372,200.00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标的名称：重点河道防汛监测预警综合管理系统维修养护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技术要求</w:t>
            </w:r>
            <w:r>
              <w:rPr>
                <w:rFonts w:ascii="仿宋_GB2312" w:hAnsi="仿宋_GB2312" w:cs="仿宋_GB2312" w:eastAsia="仿宋_GB2312"/>
                <w:sz w:val="18"/>
                <w:b/>
              </w:rPr>
              <w:t>：</w:t>
            </w:r>
          </w:p>
          <w:p>
            <w:pPr>
              <w:pStyle w:val="null3"/>
            </w:pPr>
            <w:r>
              <w:rPr>
                <w:rFonts w:ascii="仿宋_GB2312" w:hAnsi="仿宋_GB2312" w:cs="仿宋_GB2312" w:eastAsia="仿宋_GB2312"/>
                <w:sz w:val="18"/>
              </w:rPr>
              <w:t>1、项目概况：</w:t>
            </w:r>
          </w:p>
          <w:p>
            <w:pPr>
              <w:pStyle w:val="null3"/>
              <w:ind w:firstLine="360"/>
            </w:pPr>
            <w:r>
              <w:rPr>
                <w:rFonts w:ascii="仿宋_GB2312" w:hAnsi="仿宋_GB2312" w:cs="仿宋_GB2312" w:eastAsia="仿宋_GB2312"/>
                <w:sz w:val="18"/>
              </w:rPr>
              <w:t>重点河道防汛监测预警综合管理系统维修养护</w:t>
            </w:r>
            <w:r>
              <w:rPr>
                <w:rFonts w:ascii="仿宋_GB2312" w:hAnsi="仿宋_GB2312" w:cs="仿宋_GB2312" w:eastAsia="仿宋_GB2312"/>
                <w:sz w:val="18"/>
              </w:rPr>
              <w:t>项目，该项目服务内容为</w:t>
            </w:r>
            <w:r>
              <w:rPr>
                <w:rFonts w:ascii="仿宋_GB2312" w:hAnsi="仿宋_GB2312" w:cs="仿宋_GB2312" w:eastAsia="仿宋_GB2312"/>
                <w:sz w:val="18"/>
              </w:rPr>
              <w:t>保障重点河道防汛监测预警综合管理系统及设备的正常运行，对系统内设备、平台、线路等进行维护，以确保在汛期能够及时准确地监测河道情况，预警可能出现的险情。</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服务内容及要求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2026年重点河道防汛监测预警综合管理系统维修养护项目明细表：</w:t>
            </w:r>
          </w:p>
          <w:tbl>
            <w:tblPr>
              <w:tblBorders>
                <w:top w:val="none" w:color="000000" w:sz="4"/>
                <w:left w:val="none" w:color="000000" w:sz="4"/>
                <w:bottom w:val="none" w:color="000000" w:sz="4"/>
                <w:right w:val="none" w:color="000000" w:sz="4"/>
                <w:insideH w:val="none"/>
                <w:insideV w:val="none"/>
              </w:tblBorders>
            </w:tblPr>
            <w:tblGrid>
              <w:gridCol w:w="71"/>
              <w:gridCol w:w="223"/>
              <w:gridCol w:w="323"/>
              <w:gridCol w:w="77"/>
              <w:gridCol w:w="95"/>
              <w:gridCol w:w="185"/>
              <w:gridCol w:w="137"/>
            </w:tblGrid>
            <w:tr>
              <w:tc>
                <w:tcPr>
                  <w:tcW w:type="dxa" w:w="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w:t>
                  </w: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安装位置</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一</w:t>
                  </w:r>
                </w:p>
              </w:tc>
              <w:tc>
                <w:tcPr>
                  <w:tcW w:type="dxa" w:w="10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计算机网络系统</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管理终端</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DS-AXF132P-W10E/I5/256G/11400</w:t>
                  </w: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入侵防御检测系统</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TopSentry 3000TS-B3106</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TopACM3000ACM-A2106</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日志审计系统</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TopAudit TA-L-HSE-B30</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堡垒机</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TopSAG NSAG-A3106</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防火墙</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F1000-910-AI</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RT-MSR3620-DP-WiNet</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LS-5560X-30C-EI</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接入交换机</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LS-5120V3-28P</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UPS(6K4小时)</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6KS主机1台</w:t>
                  </w:r>
                </w:p>
                <w:p>
                  <w:pPr>
                    <w:pStyle w:val="null3"/>
                    <w:jc w:val="center"/>
                  </w:pPr>
                  <w:r>
                    <w:rPr>
                      <w:rFonts w:ascii="仿宋_GB2312" w:hAnsi="仿宋_GB2312" w:cs="仿宋_GB2312" w:eastAsia="仿宋_GB2312"/>
                      <w:sz w:val="18"/>
                    </w:rPr>
                    <w:t>120AH蓄电池16块</w:t>
                  </w:r>
                  <w:r>
                    <w:br/>
                  </w:r>
                  <w:r>
                    <w:rPr>
                      <w:rFonts w:ascii="仿宋_GB2312" w:hAnsi="仿宋_GB2312" w:cs="仿宋_GB2312" w:eastAsia="仿宋_GB2312"/>
                      <w:sz w:val="18"/>
                    </w:rPr>
                    <w:t>电池柜</w:t>
                  </w:r>
                  <w:r>
                    <w:rPr>
                      <w:rFonts w:ascii="仿宋_GB2312" w:hAnsi="仿宋_GB2312" w:cs="仿宋_GB2312" w:eastAsia="仿宋_GB2312"/>
                      <w:sz w:val="18"/>
                    </w:rPr>
                    <w:t>1个</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2288HV5</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视频服务器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DS-VE22S-B（310804514）</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液晶展板</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华为智慧屏</w:t>
                  </w:r>
                  <w:r>
                    <w:rPr>
                      <w:rFonts w:ascii="仿宋_GB2312" w:hAnsi="仿宋_GB2312" w:cs="仿宋_GB2312" w:eastAsia="仿宋_GB2312"/>
                      <w:sz w:val="18"/>
                    </w:rPr>
                    <w:t>V65</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42U</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综合机房设备维护费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月</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消防、照明等</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便携式</w:t>
                  </w:r>
                  <w:r>
                    <w:rPr>
                      <w:rFonts w:ascii="仿宋_GB2312" w:hAnsi="仿宋_GB2312" w:cs="仿宋_GB2312" w:eastAsia="仿宋_GB2312"/>
                      <w:sz w:val="18"/>
                    </w:rPr>
                    <w:t>HDMI视频输入设备</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无人机维护</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大疆</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二</w:t>
                  </w:r>
                </w:p>
              </w:tc>
              <w:tc>
                <w:tcPr>
                  <w:tcW w:type="dxa" w:w="10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雨水情系统</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自动雨量站</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JD05型</w:t>
                  </w: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重点河道项目建设点</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自动水位站</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华聚</w:t>
                  </w:r>
                  <w:r>
                    <w:rPr>
                      <w:rFonts w:ascii="仿宋_GB2312" w:hAnsi="仿宋_GB2312" w:cs="仿宋_GB2312" w:eastAsia="仿宋_GB2312"/>
                      <w:sz w:val="18"/>
                    </w:rPr>
                    <w:t>260</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重点河道项目建设点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无线预警广播</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赛立</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重点河道项目建设点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视频监控站</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海康</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8</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重点河道项目建设点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含新增河道</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三</w:t>
                  </w:r>
                </w:p>
              </w:tc>
              <w:tc>
                <w:tcPr>
                  <w:tcW w:type="dxa" w:w="10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软件系统</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综合管理系统软件</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移动客户端</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四</w:t>
                  </w:r>
                </w:p>
              </w:tc>
              <w:tc>
                <w:tcPr>
                  <w:tcW w:type="dxa" w:w="10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续费项目</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三级网络安全等级保护（续保）</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年</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入侵防御检测系统</w:t>
                  </w:r>
                  <w:r>
                    <w:rPr>
                      <w:rFonts w:ascii="仿宋_GB2312" w:hAnsi="仿宋_GB2312" w:cs="仿宋_GB2312" w:eastAsia="仿宋_GB2312"/>
                      <w:sz w:val="18"/>
                    </w:rPr>
                    <w:t>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w:t>
                  </w:r>
                  <w:r>
                    <w:rPr>
                      <w:rFonts w:ascii="仿宋_GB2312" w:hAnsi="仿宋_GB2312" w:cs="仿宋_GB2312" w:eastAsia="仿宋_GB2312"/>
                      <w:sz w:val="18"/>
                    </w:rPr>
                    <w:t>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沣河管理站</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移动专线（固定</w:t>
                  </w:r>
                  <w:r>
                    <w:rPr>
                      <w:rFonts w:ascii="仿宋_GB2312" w:hAnsi="仿宋_GB2312" w:cs="仿宋_GB2312" w:eastAsia="仿宋_GB2312"/>
                      <w:sz w:val="18"/>
                    </w:rPr>
                    <w:t>IP）使用费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移动商务专线使用费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SIM物联卡使用费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综合机房电费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月</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监测站电费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SIM物联卡使用费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新增河道项目</w:t>
                  </w:r>
                </w:p>
              </w:tc>
            </w:tr>
            <w:tr>
              <w:tc>
                <w:tcPr>
                  <w:tcW w:type="dxa" w:w="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监测站电费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w:t>
                  </w:r>
                  <w:r>
                    <w:rPr>
                      <w:rFonts w:ascii="仿宋_GB2312" w:hAnsi="仿宋_GB2312" w:cs="仿宋_GB2312" w:eastAsia="仿宋_GB2312"/>
                      <w:sz w:val="18"/>
                    </w:rPr>
                    <w:t>/年</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新增河道项目</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b/>
              </w:rPr>
              <w:t>商务要求：</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、服务期：</w:t>
            </w:r>
            <w:r>
              <w:rPr>
                <w:rFonts w:ascii="仿宋_GB2312" w:hAnsi="仿宋_GB2312" w:cs="仿宋_GB2312" w:eastAsia="仿宋_GB2312"/>
                <w:sz w:val="18"/>
              </w:rPr>
              <w:t>自合同签订之日起</w:t>
            </w:r>
            <w:r>
              <w:rPr>
                <w:rFonts w:ascii="仿宋_GB2312" w:hAnsi="仿宋_GB2312" w:cs="仿宋_GB2312" w:eastAsia="仿宋_GB2312"/>
                <w:sz w:val="18"/>
              </w:rPr>
              <w:t>1年</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、服务地点：</w:t>
            </w:r>
            <w:r>
              <w:rPr>
                <w:rFonts w:ascii="仿宋_GB2312" w:hAnsi="仿宋_GB2312" w:cs="仿宋_GB2312" w:eastAsia="仿宋_GB2312"/>
                <w:sz w:val="18"/>
              </w:rPr>
              <w:t>采购人指定地点</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3、服务质量：符合国家现行规范及行业标准。</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、付款方式：</w:t>
            </w:r>
            <w:r>
              <w:rPr>
                <w:rFonts w:ascii="仿宋_GB2312" w:hAnsi="仿宋_GB2312" w:cs="仿宋_GB2312" w:eastAsia="仿宋_GB2312"/>
                <w:sz w:val="18"/>
              </w:rPr>
              <w:t>（</w:t>
            </w:r>
            <w:r>
              <w:rPr>
                <w:rFonts w:ascii="仿宋_GB2312" w:hAnsi="仿宋_GB2312" w:cs="仿宋_GB2312" w:eastAsia="仿宋_GB2312"/>
                <w:sz w:val="18"/>
              </w:rPr>
              <w:t>1）合同签订后，达到付款条件起10个工作日内，支付合同总金额的60%。乙方的服务质量均验收合格且服务期满，达到付款条件起10个工作日内，支付合同总金额的40%。（2）每期付款时供应商提供等额发票申请款项。（</w:t>
            </w:r>
            <w:r>
              <w:rPr>
                <w:rFonts w:ascii="仿宋_GB2312" w:hAnsi="仿宋_GB2312" w:cs="仿宋_GB2312" w:eastAsia="仿宋_GB2312"/>
                <w:sz w:val="18"/>
              </w:rPr>
              <w:t>3</w:t>
            </w:r>
            <w:r>
              <w:rPr>
                <w:rFonts w:ascii="仿宋_GB2312" w:hAnsi="仿宋_GB2312" w:cs="仿宋_GB2312" w:eastAsia="仿宋_GB2312"/>
                <w:sz w:val="18"/>
              </w:rPr>
              <w:t>）支付方式：银行转账。</w:t>
            </w:r>
          </w:p>
          <w:p>
            <w:pPr>
              <w:pStyle w:val="null3"/>
            </w:pPr>
            <w:r>
              <w:rPr>
                <w:rFonts w:ascii="仿宋_GB2312" w:hAnsi="仿宋_GB2312" w:cs="仿宋_GB2312" w:eastAsia="仿宋_GB2312"/>
                <w:sz w:val="18"/>
              </w:rPr>
              <w:t>5</w:t>
            </w:r>
            <w:r>
              <w:rPr>
                <w:rFonts w:ascii="仿宋_GB2312" w:hAnsi="仿宋_GB2312" w:cs="仿宋_GB2312" w:eastAsia="仿宋_GB2312"/>
                <w:sz w:val="18"/>
              </w:rPr>
              <w:t>、验收</w:t>
            </w:r>
            <w:r>
              <w:rPr>
                <w:rFonts w:ascii="仿宋_GB2312" w:hAnsi="仿宋_GB2312" w:cs="仿宋_GB2312" w:eastAsia="仿宋_GB2312"/>
                <w:sz w:val="18"/>
              </w:rPr>
              <w:t>标准</w:t>
            </w:r>
            <w:r>
              <w:rPr>
                <w:rFonts w:ascii="仿宋_GB2312" w:hAnsi="仿宋_GB2312" w:cs="仿宋_GB2312" w:eastAsia="仿宋_GB2312"/>
                <w:sz w:val="18"/>
              </w:rPr>
              <w:t>：（</w:t>
            </w:r>
            <w:r>
              <w:rPr>
                <w:rFonts w:ascii="仿宋_GB2312" w:hAnsi="仿宋_GB2312" w:cs="仿宋_GB2312" w:eastAsia="仿宋_GB2312"/>
                <w:sz w:val="18"/>
              </w:rPr>
              <w:t>1）符合国家现行规范及行业标准；（2）采购人根据合同要求进行验收，验收依据为合同文本、竞争性磋商文件、响应文件；（3）验收合格后，填写验收单，并向采购人提交所有资料。</w:t>
            </w:r>
          </w:p>
          <w:p>
            <w:pPr>
              <w:pStyle w:val="null3"/>
              <w:jc w:val="left"/>
            </w:pPr>
            <w:r>
              <w:rPr>
                <w:rFonts w:ascii="仿宋_GB2312" w:hAnsi="仿宋_GB2312" w:cs="仿宋_GB2312" w:eastAsia="仿宋_GB2312"/>
                <w:sz w:val="18"/>
              </w:rPr>
              <w:t>备注：商务要求为实质性条款，不允许负偏离。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进度款，乙方的服务质量均验收合格且服务期满，达到付款条件起10个工作日内，支付合同总金额的40.0%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20%的违约金。同时，政府采购监管部门有权依据《中华人民共和国政府采购法》及相关法律法规对乙方的违法行为进行相应的处罚。3、合同争议的最终解决方式为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的磋商报价应是为完成本项目磋商文件中所提出的服务范围及要求的全部工作内容的价格体现，包括供应商完成本项目所需的直接费、间接费、利润、税金及其它相关的一切费用。包括但不限于：人工费、设备费、管理费、检测费（如有）、利润和税金等全部费用。在提供服务的过程中的任何遗漏，均由成交供应商免费提供，采购人将不再支付任何费用。2、项目类型：服务。3、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分项报价表 标的清单 供应商承诺书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技术要求偏离表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1.对本项目的理解与认识</w:t>
            </w:r>
          </w:p>
        </w:tc>
        <w:tc>
          <w:tcPr>
            <w:tcW w:type="dxa" w:w="2492"/>
          </w:tcPr>
          <w:p>
            <w:pPr>
              <w:pStyle w:val="null3"/>
            </w:pPr>
            <w:r>
              <w:rPr>
                <w:rFonts w:ascii="仿宋_GB2312" w:hAnsi="仿宋_GB2312" w:cs="仿宋_GB2312" w:eastAsia="仿宋_GB2312"/>
              </w:rPr>
              <w:t>一、评审内容 供应商针对本项目工作的理解与认识，内容包含：①对项目内容、工作任务及目标的理解与认识；②对原平台系统功能和性能等方面的认识与理解；③对本项目设备维修养护技术要求的认识与理解。二、评审标准 1、完整性：理解全面、清晰，认识到位，对评审内容中的各项要求有详细描述；2、可实施性：切合本项目实际情况，提出步骤清晰、合理的方案；3、针对性：措施能够紧扣项目实际情况，内容科学合理。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2.服务方案</w:t>
            </w:r>
          </w:p>
        </w:tc>
        <w:tc>
          <w:tcPr>
            <w:tcW w:type="dxa" w:w="2492"/>
          </w:tcPr>
          <w:p>
            <w:pPr>
              <w:pStyle w:val="null3"/>
            </w:pPr>
            <w:r>
              <w:rPr>
                <w:rFonts w:ascii="仿宋_GB2312" w:hAnsi="仿宋_GB2312" w:cs="仿宋_GB2312" w:eastAsia="仿宋_GB2312"/>
              </w:rPr>
              <w:t>评审内容 供应商针对本项目提出的服务方案，内容包含：①总体服务方案；②系统运维服务方案③设备维修养护方案。二、评审标准 1、完整性：方案内容全面，对评审内容中的各项要求有详细描述；2、可实施性：切合本项目实际情况，提出步骤清晰、合理的方案；3、针对性：方案能够紧扣项目实际情况，内容科学合理。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3.项目重点、难点分析及应对措施</w:t>
            </w:r>
          </w:p>
        </w:tc>
        <w:tc>
          <w:tcPr>
            <w:tcW w:type="dxa" w:w="2492"/>
          </w:tcPr>
          <w:p>
            <w:pPr>
              <w:pStyle w:val="null3"/>
            </w:pPr>
            <w:r>
              <w:rPr>
                <w:rFonts w:ascii="仿宋_GB2312" w:hAnsi="仿宋_GB2312" w:cs="仿宋_GB2312" w:eastAsia="仿宋_GB2312"/>
              </w:rPr>
              <w:t>一、评审内容 供应商针对本项目项目重点、难点分析及应对措施，内容包含：①项目特点、关键技术问题的认识；②项目重点、难点分析；③重点、难点应对措施。二、评审标准 1、完整性：内容描述清晰、分析理解全面，对评审内容中的各项要求有详细描述；2、可实施性：切合本项目实际情况，提出清晰、合理的解决方案；3、针对性：应对措施能够紧扣项目实际情况，内容科学合理。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4.进度计划及保证措施</w:t>
            </w:r>
          </w:p>
        </w:tc>
        <w:tc>
          <w:tcPr>
            <w:tcW w:type="dxa" w:w="2492"/>
          </w:tcPr>
          <w:p>
            <w:pPr>
              <w:pStyle w:val="null3"/>
            </w:pPr>
            <w:r>
              <w:rPr>
                <w:rFonts w:ascii="仿宋_GB2312" w:hAnsi="仿宋_GB2312" w:cs="仿宋_GB2312" w:eastAsia="仿宋_GB2312"/>
              </w:rPr>
              <w:t>一、评审内容 供应商针对本项目工作进度计划及保证措施，内容包含：①工作进度计划；②进度保障措施。 二、评审标准 1、完整性：工作进度计划条理、节点清晰，对评审内容中的各项要求有详细描述；2、可实施性：切合本项目实际情况，提出步骤清晰、合理的方案；3、针对性：措施能够紧扣项目实际情况，内容科学合理。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5.质量保障措施</w:t>
            </w:r>
          </w:p>
        </w:tc>
        <w:tc>
          <w:tcPr>
            <w:tcW w:type="dxa" w:w="2492"/>
          </w:tcPr>
          <w:p>
            <w:pPr>
              <w:pStyle w:val="null3"/>
            </w:pPr>
            <w:r>
              <w:rPr>
                <w:rFonts w:ascii="仿宋_GB2312" w:hAnsi="仿宋_GB2312" w:cs="仿宋_GB2312" w:eastAsia="仿宋_GB2312"/>
              </w:rPr>
              <w:t>一、评审内容 供应商针对本项目提出的质量保障措施，内容包含：①质量控制与质量检查；②质量管理制度；③质量管理体系与职责。 二、评审标准 1、完整性：质量保障措施全面，对评审内容中的各项要求有详细描述；2、可实施性：切合本项目实际情况，提出步骤清晰、合理的方案；3、针对性：措施能够紧扣项目实际情况，内容科学合理。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6.安全保障措施</w:t>
            </w:r>
          </w:p>
        </w:tc>
        <w:tc>
          <w:tcPr>
            <w:tcW w:type="dxa" w:w="2492"/>
          </w:tcPr>
          <w:p>
            <w:pPr>
              <w:pStyle w:val="null3"/>
            </w:pPr>
            <w:r>
              <w:rPr>
                <w:rFonts w:ascii="仿宋_GB2312" w:hAnsi="仿宋_GB2312" w:cs="仿宋_GB2312" w:eastAsia="仿宋_GB2312"/>
              </w:rPr>
              <w:t>一、评审内容 供应商针对本项目提出的安全保障措施，内容包含：①项目可能涉及的安全风险评估；②安全管理制度；③安全保障措施。 二、评审标准 1、完整性：措施全面，对评审内容中的各项要求有详细描述；2、可实施性：切合本项目实际情况，提出步骤清晰、合理的方案；3、针对性：措施能够紧扣项目实际情况，内容科学合理。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7.培训计划</w:t>
            </w:r>
          </w:p>
        </w:tc>
        <w:tc>
          <w:tcPr>
            <w:tcW w:type="dxa" w:w="2492"/>
          </w:tcPr>
          <w:p>
            <w:pPr>
              <w:pStyle w:val="null3"/>
            </w:pPr>
            <w:r>
              <w:rPr>
                <w:rFonts w:ascii="仿宋_GB2312" w:hAnsi="仿宋_GB2312" w:cs="仿宋_GB2312" w:eastAsia="仿宋_GB2312"/>
              </w:rPr>
              <w:t>一、评审内容 供应商针对本项目提出的维修养护培训计划，内容包含：①维修养护培训内容；②培训计划及相关技术服务工作制度。 二、评审标准 1、完整性：措施全面，对评审内容中的各项要求有详细描述；2、可实施性：切合本项目实际情况，提出步骤清晰、合理的方案；3、针对性：措施能够紧扣项目实际情况，内容科学合理。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8.应急预案方案</w:t>
            </w:r>
          </w:p>
        </w:tc>
        <w:tc>
          <w:tcPr>
            <w:tcW w:type="dxa" w:w="2492"/>
          </w:tcPr>
          <w:p>
            <w:pPr>
              <w:pStyle w:val="null3"/>
            </w:pPr>
            <w:r>
              <w:rPr>
                <w:rFonts w:ascii="仿宋_GB2312" w:hAnsi="仿宋_GB2312" w:cs="仿宋_GB2312" w:eastAsia="仿宋_GB2312"/>
              </w:rPr>
              <w:t>一、评审内容 供应商针对本项目特点提供应急预案，预案内容包含：①突发状况应急预案；②安全防范预案。二、评审标准 1、完整性：内容全面，对评审内容中的各项要求有详细描述；2、可行性：切合本项目实际情况，提出步骤清晰的方案；3、针对性：紧扣项目实际情况需求，内容切实合理。三、赋分标准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9.项目组织机构</w:t>
            </w:r>
          </w:p>
        </w:tc>
        <w:tc>
          <w:tcPr>
            <w:tcW w:type="dxa" w:w="2492"/>
          </w:tcPr>
          <w:p>
            <w:pPr>
              <w:pStyle w:val="null3"/>
            </w:pPr>
            <w:r>
              <w:rPr>
                <w:rFonts w:ascii="仿宋_GB2312" w:hAnsi="仿宋_GB2312" w:cs="仿宋_GB2312" w:eastAsia="仿宋_GB2312"/>
              </w:rPr>
              <w:t>一、评审内容 供应商针对本项目组织机构安排，内容包含：①项目管理机构配备计划；②组织机构岗位职责；③团队人员配备情况（专业配备、专业分工、机构健全等）。二、评审标准 1、完整性：内容全面，对评审内容中的各项要求有详细描述；2、可行性：切合本项目实际情况，提出步骤清晰的方案；3、针对性：紧扣项目实际情况需求，内容切实合理。三、赋分标准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10.服务承诺及合理化建议</w:t>
            </w:r>
          </w:p>
        </w:tc>
        <w:tc>
          <w:tcPr>
            <w:tcW w:type="dxa" w:w="2492"/>
          </w:tcPr>
          <w:p>
            <w:pPr>
              <w:pStyle w:val="null3"/>
            </w:pPr>
            <w:r>
              <w:rPr>
                <w:rFonts w:ascii="仿宋_GB2312" w:hAnsi="仿宋_GB2312" w:cs="仿宋_GB2312" w:eastAsia="仿宋_GB2312"/>
              </w:rPr>
              <w:t>一、评审内容 供应商针对本项目提出的服务承诺及合理化建议，内容包含：①服务质量承诺；②合理化建议。 二、评审标准 1、完整性：措施全面，对评审内容中的各项要求有详细描述；2、可实施性：切合本项目实际情况，提出步骤清晰、合理的方案； 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11.后续服务保障方案</w:t>
            </w:r>
          </w:p>
        </w:tc>
        <w:tc>
          <w:tcPr>
            <w:tcW w:type="dxa" w:w="2492"/>
          </w:tcPr>
          <w:p>
            <w:pPr>
              <w:pStyle w:val="null3"/>
            </w:pPr>
            <w:r>
              <w:rPr>
                <w:rFonts w:ascii="仿宋_GB2312" w:hAnsi="仿宋_GB2312" w:cs="仿宋_GB2312" w:eastAsia="仿宋_GB2312"/>
              </w:rPr>
              <w:t>一、评审内容 供应商针对本项目提出的后续服务保障方案，内容包含：①售后人员配置（至少提供专职售后负责人1名，在响应文件中提供售后负责人姓名、身份证及电话号码）；②有详细的售后服务方案（含售后服务承诺、售后服务质量保证等）。 二、评审标准 1、完整性：措施全面，对评审内容中的各项要求有详细描述；2、可实施性：切合本项目实际情况，提出步骤清晰、合理的方案；3、针对性：措施能够紧扣项目实际情况，内容科学合理。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12.类似业绩</w:t>
            </w:r>
          </w:p>
        </w:tc>
        <w:tc>
          <w:tcPr>
            <w:tcW w:type="dxa" w:w="2492"/>
          </w:tcPr>
          <w:p>
            <w:pPr>
              <w:pStyle w:val="null3"/>
            </w:pPr>
            <w:r>
              <w:rPr>
                <w:rFonts w:ascii="仿宋_GB2312" w:hAnsi="仿宋_GB2312" w:cs="仿宋_GB2312" w:eastAsia="仿宋_GB2312"/>
              </w:rPr>
              <w:t>供应商提供2023年1月1日至今（以合同签订时间为准）实施的类似项目业绩，每提供一项业绩得2分，最高得6分。 备注：以供应商提供的类似项目合同复印件或扫描件为准，未提供不计分。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