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5F022">
      <w:pPr>
        <w:pStyle w:val="5"/>
        <w:shd w:val="clear"/>
        <w:jc w:val="center"/>
        <w:rPr>
          <w:rFonts w:hint="eastAsia" w:ascii="仿宋" w:hAnsi="仿宋" w:eastAsia="仿宋" w:cs="仿宋"/>
          <w:b w:val="0"/>
          <w:bCs w:val="0"/>
          <w:color w:val="auto"/>
          <w:sz w:val="40"/>
          <w:szCs w:val="40"/>
          <w:highlight w:val="none"/>
          <w:lang w:val="en-US" w:eastAsia="zh-CN"/>
        </w:rPr>
      </w:pPr>
    </w:p>
    <w:p w14:paraId="397E9E29">
      <w:pPr>
        <w:pStyle w:val="5"/>
        <w:shd w:val="clear"/>
        <w:jc w:val="center"/>
        <w:rPr>
          <w:rFonts w:hint="eastAsia" w:ascii="仿宋" w:hAnsi="仿宋" w:eastAsia="仿宋" w:cs="仿宋"/>
          <w:b w:val="0"/>
          <w:bCs w:val="0"/>
          <w:color w:val="auto"/>
          <w:sz w:val="40"/>
          <w:szCs w:val="40"/>
          <w:highlight w:val="none"/>
          <w:lang w:val="en-US" w:eastAsia="zh-CN"/>
        </w:rPr>
      </w:pPr>
    </w:p>
    <w:p w14:paraId="3E1985DC">
      <w:pPr>
        <w:pStyle w:val="5"/>
        <w:shd w:val="clear"/>
        <w:ind w:left="0" w:leftChars="0" w:firstLine="0" w:firstLineChars="0"/>
        <w:jc w:val="center"/>
        <w:rPr>
          <w:rFonts w:hint="eastAsia" w:ascii="仿宋" w:hAnsi="仿宋" w:eastAsia="仿宋" w:cs="仿宋"/>
          <w:b w:val="0"/>
          <w:bCs w:val="0"/>
          <w:color w:val="auto"/>
          <w:sz w:val="24"/>
          <w:szCs w:val="32"/>
          <w:highlight w:val="none"/>
        </w:rPr>
      </w:pPr>
      <w:r>
        <w:rPr>
          <w:rFonts w:hint="eastAsia" w:ascii="仿宋" w:hAnsi="仿宋" w:eastAsia="仿宋" w:cs="仿宋"/>
          <w:b w:val="0"/>
          <w:bCs w:val="0"/>
          <w:color w:val="auto"/>
          <w:sz w:val="48"/>
          <w:szCs w:val="48"/>
          <w:highlight w:val="none"/>
          <w:lang w:val="en-US" w:eastAsia="zh-CN"/>
        </w:rPr>
        <w:t>蓝田县民政局2026年度老年人意外伤害保险采购项目</w:t>
      </w:r>
    </w:p>
    <w:p w14:paraId="163F6560">
      <w:pPr>
        <w:pStyle w:val="6"/>
        <w:shd w:val="clear"/>
        <w:spacing w:before="93" w:after="93"/>
        <w:ind w:firstLine="1040"/>
        <w:jc w:val="center"/>
        <w:rPr>
          <w:rFonts w:hint="eastAsia" w:ascii="仿宋" w:hAnsi="仿宋" w:eastAsia="仿宋" w:cs="仿宋"/>
          <w:b w:val="0"/>
          <w:bCs w:val="0"/>
          <w:color w:val="auto"/>
          <w:sz w:val="52"/>
          <w:szCs w:val="52"/>
          <w:highlight w:val="none"/>
        </w:rPr>
      </w:pPr>
    </w:p>
    <w:p w14:paraId="54F8A46F">
      <w:pPr>
        <w:pStyle w:val="6"/>
        <w:shd w:val="clear"/>
        <w:spacing w:before="93" w:after="93"/>
        <w:jc w:val="both"/>
        <w:rPr>
          <w:rFonts w:hint="eastAsia" w:ascii="仿宋" w:hAnsi="仿宋" w:eastAsia="仿宋" w:cs="仿宋"/>
          <w:b w:val="0"/>
          <w:bCs w:val="0"/>
          <w:color w:val="auto"/>
          <w:sz w:val="52"/>
          <w:szCs w:val="52"/>
          <w:highlight w:val="none"/>
        </w:rPr>
      </w:pPr>
    </w:p>
    <w:p w14:paraId="53AE75C7">
      <w:pPr>
        <w:pStyle w:val="6"/>
        <w:shd w:val="clear"/>
        <w:spacing w:before="93" w:after="93"/>
        <w:jc w:val="center"/>
        <w:rPr>
          <w:rFonts w:hint="eastAsia" w:ascii="仿宋" w:hAnsi="仿宋" w:eastAsia="仿宋" w:cs="仿宋"/>
          <w:b w:val="0"/>
          <w:bCs w:val="0"/>
          <w:color w:val="auto"/>
          <w:sz w:val="52"/>
          <w:szCs w:val="52"/>
          <w:highlight w:val="none"/>
        </w:rPr>
      </w:pPr>
      <w:r>
        <w:rPr>
          <w:rFonts w:hint="eastAsia" w:ascii="仿宋" w:hAnsi="仿宋" w:eastAsia="仿宋" w:cs="仿宋"/>
          <w:b w:val="0"/>
          <w:bCs w:val="0"/>
          <w:color w:val="auto"/>
          <w:sz w:val="52"/>
          <w:szCs w:val="52"/>
          <w:highlight w:val="none"/>
        </w:rPr>
        <w:t>服</w:t>
      </w:r>
    </w:p>
    <w:p w14:paraId="60E56AAE">
      <w:pPr>
        <w:pStyle w:val="6"/>
        <w:shd w:val="clear"/>
        <w:spacing w:before="93" w:after="93"/>
        <w:jc w:val="center"/>
        <w:rPr>
          <w:rFonts w:hint="eastAsia" w:ascii="仿宋" w:hAnsi="仿宋" w:eastAsia="仿宋" w:cs="仿宋"/>
          <w:b w:val="0"/>
          <w:bCs w:val="0"/>
          <w:color w:val="auto"/>
          <w:sz w:val="52"/>
          <w:szCs w:val="52"/>
          <w:highlight w:val="none"/>
        </w:rPr>
      </w:pPr>
      <w:r>
        <w:rPr>
          <w:rFonts w:hint="eastAsia" w:ascii="仿宋" w:hAnsi="仿宋" w:eastAsia="仿宋" w:cs="仿宋"/>
          <w:b w:val="0"/>
          <w:bCs w:val="0"/>
          <w:color w:val="auto"/>
          <w:sz w:val="52"/>
          <w:szCs w:val="52"/>
          <w:highlight w:val="none"/>
        </w:rPr>
        <w:t>务</w:t>
      </w:r>
    </w:p>
    <w:p w14:paraId="674EDC53">
      <w:pPr>
        <w:pStyle w:val="6"/>
        <w:shd w:val="clear"/>
        <w:spacing w:before="93" w:after="93"/>
        <w:jc w:val="center"/>
        <w:rPr>
          <w:rFonts w:hint="eastAsia" w:ascii="仿宋" w:hAnsi="仿宋" w:eastAsia="仿宋" w:cs="仿宋"/>
          <w:b w:val="0"/>
          <w:bCs w:val="0"/>
          <w:color w:val="auto"/>
          <w:sz w:val="52"/>
          <w:szCs w:val="52"/>
          <w:highlight w:val="none"/>
        </w:rPr>
      </w:pPr>
      <w:r>
        <w:rPr>
          <w:rFonts w:hint="eastAsia" w:ascii="仿宋" w:hAnsi="仿宋" w:eastAsia="仿宋" w:cs="仿宋"/>
          <w:b w:val="0"/>
          <w:bCs w:val="0"/>
          <w:color w:val="auto"/>
          <w:sz w:val="52"/>
          <w:szCs w:val="52"/>
          <w:highlight w:val="none"/>
        </w:rPr>
        <w:t>合</w:t>
      </w:r>
    </w:p>
    <w:p w14:paraId="38D397E1">
      <w:pPr>
        <w:pStyle w:val="6"/>
        <w:shd w:val="clear"/>
        <w:spacing w:before="93" w:after="93"/>
        <w:jc w:val="center"/>
        <w:rPr>
          <w:rFonts w:hint="eastAsia" w:ascii="仿宋" w:hAnsi="仿宋" w:eastAsia="仿宋" w:cs="仿宋"/>
          <w:b w:val="0"/>
          <w:bCs w:val="0"/>
          <w:color w:val="auto"/>
          <w:highlight w:val="none"/>
        </w:rPr>
      </w:pPr>
      <w:r>
        <w:rPr>
          <w:rFonts w:hint="eastAsia" w:ascii="仿宋" w:hAnsi="仿宋" w:eastAsia="仿宋" w:cs="仿宋"/>
          <w:b w:val="0"/>
          <w:bCs w:val="0"/>
          <w:color w:val="auto"/>
          <w:sz w:val="52"/>
          <w:szCs w:val="52"/>
          <w:highlight w:val="none"/>
        </w:rPr>
        <w:t>同</w:t>
      </w:r>
    </w:p>
    <w:p w14:paraId="2CB466E5">
      <w:pPr>
        <w:shd w:val="clear"/>
        <w:rPr>
          <w:rFonts w:hint="eastAsia" w:ascii="仿宋" w:hAnsi="仿宋" w:eastAsia="仿宋" w:cs="仿宋"/>
          <w:b w:val="0"/>
          <w:bCs w:val="0"/>
          <w:color w:val="auto"/>
          <w:highlight w:val="none"/>
        </w:rPr>
      </w:pPr>
    </w:p>
    <w:p w14:paraId="44DFAFB1">
      <w:pPr>
        <w:pStyle w:val="13"/>
        <w:rPr>
          <w:rFonts w:hint="eastAsia"/>
        </w:rPr>
      </w:pPr>
    </w:p>
    <w:p w14:paraId="7F43CD43">
      <w:pPr>
        <w:pStyle w:val="3"/>
        <w:shd w:val="clear"/>
        <w:rPr>
          <w:rFonts w:hint="eastAsia" w:ascii="仿宋" w:hAnsi="仿宋" w:eastAsia="仿宋" w:cs="仿宋"/>
          <w:b w:val="0"/>
          <w:bCs w:val="0"/>
          <w:color w:val="auto"/>
          <w:highlight w:val="none"/>
        </w:rPr>
      </w:pPr>
    </w:p>
    <w:p w14:paraId="1CBFEF80">
      <w:pPr>
        <w:shd w:val="clear"/>
        <w:rPr>
          <w:rFonts w:hint="eastAsia" w:ascii="仿宋" w:hAnsi="仿宋" w:eastAsia="仿宋" w:cs="仿宋"/>
          <w:b w:val="0"/>
          <w:bCs w:val="0"/>
          <w:color w:val="auto"/>
          <w:highlight w:val="none"/>
        </w:rPr>
      </w:pPr>
    </w:p>
    <w:p w14:paraId="3465FDFD">
      <w:pPr>
        <w:shd w:val="clear" w:color="auto"/>
        <w:snapToGrid w:val="0"/>
        <w:spacing w:line="480" w:lineRule="auto"/>
        <w:ind w:firstLine="2160" w:firstLineChars="900"/>
        <w:rPr>
          <w:rFonts w:hint="eastAsia"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rPr>
        <w:t>甲方：</w:t>
      </w:r>
      <w:r>
        <w:rPr>
          <w:rFonts w:hint="eastAsia" w:ascii="仿宋" w:hAnsi="仿宋" w:eastAsia="仿宋" w:cs="仿宋"/>
          <w:b w:val="0"/>
          <w:bCs w:val="0"/>
          <w:color w:val="auto"/>
          <w:sz w:val="24"/>
          <w:highlight w:val="none"/>
          <w:lang w:val="en-US" w:eastAsia="zh-CN"/>
        </w:rPr>
        <w:t>蓝田县民政局</w:t>
      </w:r>
    </w:p>
    <w:p w14:paraId="1C629AE2">
      <w:pPr>
        <w:shd w:val="clear" w:color="auto"/>
        <w:snapToGrid w:val="0"/>
        <w:spacing w:line="480" w:lineRule="auto"/>
        <w:ind w:firstLine="2160" w:firstLineChars="900"/>
        <w:rPr>
          <w:rFonts w:hint="eastAsia" w:ascii="仿宋" w:hAnsi="仿宋" w:eastAsia="仿宋" w:cs="仿宋"/>
          <w:b w:val="0"/>
          <w:bCs w:val="0"/>
          <w:color w:val="auto"/>
          <w:sz w:val="24"/>
          <w:highlight w:val="none"/>
          <w:u w:val="none"/>
          <w:lang w:val="en-US" w:eastAsia="zh-CN"/>
        </w:rPr>
      </w:pPr>
      <w:r>
        <w:rPr>
          <w:rFonts w:hint="eastAsia" w:ascii="仿宋" w:hAnsi="仿宋" w:eastAsia="仿宋" w:cs="仿宋"/>
          <w:b w:val="0"/>
          <w:bCs w:val="0"/>
          <w:color w:val="auto"/>
          <w:sz w:val="24"/>
          <w:highlight w:val="none"/>
        </w:rPr>
        <w:t>乙方：</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u w:val="none"/>
          <w:lang w:val="en-US" w:eastAsia="zh-CN"/>
        </w:rPr>
        <w:t xml:space="preserve"> </w:t>
      </w:r>
    </w:p>
    <w:p w14:paraId="1AE3264A">
      <w:pPr>
        <w:ind w:firstLine="2160" w:firstLineChars="900"/>
        <w:rPr>
          <w:rFonts w:hint="eastAsia" w:ascii="仿宋" w:hAnsi="仿宋" w:eastAsia="仿宋" w:cs="仿宋"/>
          <w:b/>
          <w:sz w:val="24"/>
          <w:szCs w:val="24"/>
        </w:rPr>
      </w:pPr>
      <w:r>
        <w:rPr>
          <w:rFonts w:hint="eastAsia" w:ascii="仿宋" w:hAnsi="仿宋" w:eastAsia="仿宋" w:cs="仿宋"/>
          <w:b w:val="0"/>
          <w:bCs w:val="0"/>
          <w:color w:val="auto"/>
          <w:sz w:val="24"/>
          <w:highlight w:val="none"/>
        </w:rPr>
        <w:t>签订日期：</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rPr>
        <w:t>年</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rPr>
        <w:t>月</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rPr>
        <w:t>日</w:t>
      </w:r>
      <w:r>
        <w:rPr>
          <w:rFonts w:hint="eastAsia" w:ascii="仿宋" w:hAnsi="仿宋" w:eastAsia="仿宋" w:cs="仿宋"/>
          <w:b/>
          <w:sz w:val="24"/>
          <w:szCs w:val="24"/>
        </w:rPr>
        <w:br w:type="page"/>
      </w:r>
    </w:p>
    <w:p w14:paraId="08C9721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Cs/>
          <w:sz w:val="24"/>
          <w:szCs w:val="24"/>
          <w:lang w:eastAsia="zh-CN"/>
        </w:rPr>
      </w:pPr>
      <w:r>
        <w:rPr>
          <w:rFonts w:hint="eastAsia" w:ascii="仿宋" w:hAnsi="仿宋" w:eastAsia="仿宋" w:cs="仿宋"/>
          <w:bCs/>
          <w:sz w:val="24"/>
          <w:szCs w:val="24"/>
        </w:rPr>
        <w:t>甲      方</w:t>
      </w:r>
      <w:r>
        <w:rPr>
          <w:rFonts w:hint="eastAsia" w:ascii="仿宋" w:hAnsi="仿宋" w:eastAsia="仿宋" w:cs="仿宋"/>
          <w:bCs/>
          <w:sz w:val="24"/>
          <w:szCs w:val="24"/>
          <w:lang w:eastAsia="zh-CN"/>
        </w:rPr>
        <w:t>：蓝田县民政局</w:t>
      </w:r>
    </w:p>
    <w:p w14:paraId="2670269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Cs/>
          <w:color w:val="FF0000"/>
          <w:sz w:val="24"/>
          <w:szCs w:val="24"/>
        </w:rPr>
      </w:pPr>
      <w:r>
        <w:rPr>
          <w:rFonts w:hint="eastAsia" w:ascii="仿宋" w:hAnsi="仿宋" w:eastAsia="仿宋" w:cs="仿宋"/>
          <w:bCs/>
          <w:sz w:val="24"/>
          <w:szCs w:val="24"/>
        </w:rPr>
        <w:t>乙      方：</w:t>
      </w:r>
      <w:r>
        <w:rPr>
          <w:rFonts w:hint="eastAsia" w:ascii="仿宋" w:hAnsi="仿宋" w:eastAsia="仿宋" w:cs="仿宋"/>
          <w:bCs/>
          <w:sz w:val="24"/>
          <w:szCs w:val="24"/>
          <w:u w:val="single"/>
          <w:lang w:val="en-US" w:eastAsia="zh-CN"/>
        </w:rPr>
        <w:t xml:space="preserve">                    </w:t>
      </w:r>
    </w:p>
    <w:p w14:paraId="3831EB6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为了保护甲、乙双方合法权益，根据《中华人民共和国民法典》、《中华人民共和国政府采购法》和《中华人民共和国政府采购法实施条例》及其他有关法律、法规、规章,双方签订本合同协议书</w:t>
      </w:r>
      <w:r>
        <w:rPr>
          <w:rFonts w:hint="eastAsia" w:ascii="仿宋" w:hAnsi="仿宋" w:eastAsia="仿宋" w:cs="仿宋"/>
          <w:sz w:val="24"/>
          <w:szCs w:val="24"/>
        </w:rPr>
        <w:t>。</w:t>
      </w:r>
    </w:p>
    <w:p w14:paraId="6F8572EA">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第一章 投保人、保险人与被保险人</w:t>
      </w:r>
    </w:p>
    <w:p w14:paraId="01957B6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u w:val="none"/>
          <w:lang w:val="en-US" w:eastAsia="zh-CN"/>
        </w:rPr>
        <w:t xml:space="preserve">第一条  </w:t>
      </w:r>
      <w:r>
        <w:rPr>
          <w:rFonts w:hint="eastAsia" w:ascii="仿宋" w:hAnsi="仿宋" w:eastAsia="仿宋" w:cs="仿宋"/>
          <w:sz w:val="24"/>
          <w:szCs w:val="24"/>
          <w:u w:val="single"/>
          <w:lang w:eastAsia="zh-CN"/>
        </w:rPr>
        <w:t>蓝田县民政局</w:t>
      </w:r>
      <w:r>
        <w:rPr>
          <w:rFonts w:hint="eastAsia" w:ascii="仿宋" w:hAnsi="仿宋" w:eastAsia="仿宋" w:cs="仿宋"/>
          <w:sz w:val="24"/>
          <w:szCs w:val="24"/>
          <w:lang w:eastAsia="zh-CN"/>
        </w:rPr>
        <w:t>(以下简称甲方)为投保人;</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eastAsia="zh-CN"/>
        </w:rPr>
        <w:t>(以下简称乙方)为保险人，</w:t>
      </w:r>
      <w:r>
        <w:rPr>
          <w:rFonts w:hint="eastAsia" w:ascii="仿宋" w:hAnsi="仿宋" w:eastAsia="仿宋" w:cs="仿宋"/>
          <w:sz w:val="24"/>
          <w:szCs w:val="24"/>
          <w:highlight w:val="none"/>
          <w:lang w:eastAsia="zh-CN"/>
        </w:rPr>
        <w:t>西安市</w:t>
      </w:r>
      <w:r>
        <w:rPr>
          <w:rFonts w:hint="eastAsia" w:ascii="仿宋" w:hAnsi="仿宋" w:eastAsia="仿宋" w:cs="仿宋"/>
          <w:sz w:val="24"/>
          <w:szCs w:val="24"/>
          <w:highlight w:val="none"/>
          <w:lang w:val="en-US" w:eastAsia="zh-CN"/>
        </w:rPr>
        <w:t>蓝田县</w:t>
      </w:r>
      <w:r>
        <w:rPr>
          <w:rFonts w:hint="eastAsia" w:ascii="仿宋" w:hAnsi="仿宋" w:eastAsia="仿宋" w:cs="仿宋"/>
          <w:sz w:val="24"/>
          <w:szCs w:val="24"/>
          <w:highlight w:val="none"/>
          <w:lang w:eastAsia="zh-CN"/>
        </w:rPr>
        <w:t>户籍且在202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年12月31日前满 60周岁及以上享受城乡最低生活保障待遇人员、城乡特困供养人员、享受国家定期抚恤补助优抚对象中居家养老的老人以及202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lang w:eastAsia="zh-CN"/>
        </w:rPr>
        <w:t>年12月31日前满80周岁居家养老的老人为被保险人。由甲方统一为被保险人向乙方投保。</w:t>
      </w:r>
    </w:p>
    <w:p w14:paraId="0BFDCBCC">
      <w:pPr>
        <w:pStyle w:val="9"/>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第二条 甲方应提供被保险人个人资料。个人资料包括:被保险人姓名、身份证号码、联系方式等。被保险人个人资料有误或变更时，甲方应及时通知乙方，由乙方进行变更。乙方对提供的被保险人个人信息有保密义务。</w:t>
      </w:r>
    </w:p>
    <w:p w14:paraId="4B144988">
      <w:pPr>
        <w:pStyle w:val="9"/>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第三条 乙方在收到保险费后，应及时向投保人出具相应的保险单和保险费发票。</w:t>
      </w:r>
    </w:p>
    <w:p w14:paraId="1278CDB6">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第二章 保障内容</w:t>
      </w:r>
    </w:p>
    <w:p w14:paraId="2E8AEE7A">
      <w:pPr>
        <w:pStyle w:val="10"/>
        <w:keepNext w:val="0"/>
        <w:keepLines w:val="0"/>
        <w:pageBreakBefore w:val="0"/>
        <w:kinsoku/>
        <w:wordWrap/>
        <w:overflowPunct/>
        <w:topLinePunct w:val="0"/>
        <w:autoSpaceDE/>
        <w:autoSpaceDN/>
        <w:bidi w:val="0"/>
        <w:adjustRightInd/>
        <w:snapToGrid/>
        <w:spacing w:line="480" w:lineRule="exact"/>
        <w:ind w:left="0" w:lef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第四条 老年人意外伤害保险是指乙方对被保险人因意外事故造成的身故、伤残、医疗费用等责任按合同约定给予保险金理赔。</w:t>
      </w:r>
    </w:p>
    <w:p w14:paraId="1F2AF78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第三章 保障期限</w:t>
      </w:r>
    </w:p>
    <w:p w14:paraId="33B72CF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第五条 保障期限为一年，乙方对被保险人自</w:t>
      </w:r>
      <w:r>
        <w:rPr>
          <w:rFonts w:hint="eastAsia" w:ascii="仿宋" w:hAnsi="仿宋" w:eastAsia="仿宋" w:cs="仿宋"/>
          <w:sz w:val="24"/>
          <w:szCs w:val="24"/>
          <w:lang w:val="en-US" w:eastAsia="zh-CN"/>
        </w:rPr>
        <w:t>2026年1月1日零时</w:t>
      </w:r>
      <w:r>
        <w:rPr>
          <w:rFonts w:hint="eastAsia" w:ascii="仿宋" w:hAnsi="仿宋" w:eastAsia="仿宋" w:cs="仿宋"/>
          <w:sz w:val="24"/>
          <w:szCs w:val="24"/>
          <w:lang w:eastAsia="zh-CN"/>
        </w:rPr>
        <w:t>起至2026年12月31日二十四时</w:t>
      </w:r>
      <w:r>
        <w:rPr>
          <w:rFonts w:hint="eastAsia" w:ascii="仿宋" w:hAnsi="仿宋" w:eastAsia="仿宋" w:cs="仿宋"/>
          <w:sz w:val="24"/>
          <w:szCs w:val="24"/>
          <w:lang w:val="en-US" w:eastAsia="zh-CN"/>
        </w:rPr>
        <w:t>止</w:t>
      </w:r>
      <w:r>
        <w:rPr>
          <w:rFonts w:hint="eastAsia" w:ascii="仿宋" w:hAnsi="仿宋" w:eastAsia="仿宋" w:cs="仿宋"/>
          <w:sz w:val="24"/>
          <w:szCs w:val="24"/>
          <w:lang w:eastAsia="zh-CN"/>
        </w:rPr>
        <w:t>期间发生的属于保险责任的案件进行理赔。根据《中华人民共和国保险法》相关规定:“第二十六条 人寿保险以外的其他保险的被保险人或者受益人向保险人请求赔偿或者给付保险金的诉讼时效期间为二年，自其知道或者应当知道保险事故发生之日起计算。人寿保险的被保险人或者受益人向保险人请求给付保险金的诉讼时效期间为五年，自其知道或者应当知道保险事故发生之日起计算。”因此本合同中乙方承担被保险人发生的意外身故，残疾保险责任的理赔有效期为五年，意外伤害医疗、意外伤害住院津贴的理赔有效期为二年。</w:t>
      </w:r>
    </w:p>
    <w:p w14:paraId="452B66A8">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第四章 保险费缴纳</w:t>
      </w:r>
    </w:p>
    <w:p w14:paraId="4D3701CB">
      <w:pPr>
        <w:pStyle w:val="9"/>
        <w:keepNext w:val="0"/>
        <w:keepLines w:val="0"/>
        <w:pageBreakBefore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第六条 保险期间内，按实际统计的符合参保条件的老年人数收取保险费，每份保险费金额为</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 xml:space="preserve"> 元人民币。2026年度保险期间内统计参保人数为</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人，本次合计参保人数为</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人，甲方本次合计支付保险费人民币(大写):</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(小写:</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元)。</w:t>
      </w:r>
    </w:p>
    <w:p w14:paraId="1FAB20FE">
      <w:pPr>
        <w:pStyle w:val="15"/>
        <w:ind w:left="45" w:right="315" w:firstLine="583"/>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第七条 付款条件说明： </w:t>
      </w:r>
    </w:p>
    <w:p w14:paraId="0FCFB887">
      <w:pPr>
        <w:pStyle w:val="15"/>
        <w:keepNext w:val="0"/>
        <w:keepLines w:val="0"/>
        <w:pageBreakBefore w:val="0"/>
        <w:widowControl/>
        <w:kinsoku/>
        <w:wordWrap/>
        <w:overflowPunct/>
        <w:topLinePunct w:val="0"/>
        <w:autoSpaceDE/>
        <w:autoSpaceDN/>
        <w:bidi w:val="0"/>
        <w:adjustRightInd/>
        <w:snapToGrid/>
        <w:spacing w:line="480" w:lineRule="exact"/>
        <w:ind w:left="45" w:right="317"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1、合同签订生效后，先向承保保险公司支付保险期全额保险费的50%；</w:t>
      </w:r>
    </w:p>
    <w:p w14:paraId="03AD1000">
      <w:pPr>
        <w:pStyle w:val="15"/>
        <w:keepNext w:val="0"/>
        <w:keepLines w:val="0"/>
        <w:pageBreakBefore w:val="0"/>
        <w:widowControl/>
        <w:kinsoku/>
        <w:wordWrap/>
        <w:overflowPunct/>
        <w:topLinePunct w:val="0"/>
        <w:autoSpaceDE/>
        <w:autoSpaceDN/>
        <w:bidi w:val="0"/>
        <w:adjustRightInd/>
        <w:snapToGrid/>
        <w:spacing w:line="480" w:lineRule="exact"/>
        <w:ind w:left="45" w:right="317" w:firstLine="480" w:firstLineChars="200"/>
        <w:jc w:val="left"/>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保险期结束后，根据当年理赔金额占保险费总额比例，确定保险费支付金额。（1）当年理赔金额占保险费总额比例≥80%时，全额支付保险费。（2）当年理赔金额占保险费总额比例&lt;80%时，按“理赔金额×1.2”支付。 （3）当年“理赔金额×1.2”不足全额保险费的50%的部分资金，可定向用于涉老项目支出，如用于老年人意外伤害保险政策宣传、老年人慰问、探访关爱等支出。</w:t>
      </w:r>
    </w:p>
    <w:p w14:paraId="10629904">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center"/>
        <w:textAlignment w:val="auto"/>
        <w:rPr>
          <w:rFonts w:hint="eastAsia" w:ascii="仿宋" w:hAnsi="仿宋" w:eastAsia="仿宋" w:cs="仿宋"/>
          <w:kern w:val="2"/>
          <w:sz w:val="24"/>
          <w:szCs w:val="24"/>
          <w:lang w:val="en-US" w:eastAsia="zh-CN" w:bidi="ar-SA"/>
        </w:rPr>
      </w:pPr>
      <w:bookmarkStart w:id="0" w:name="_GoBack"/>
      <w:bookmarkEnd w:id="0"/>
      <w:r>
        <w:rPr>
          <w:rFonts w:hint="eastAsia" w:ascii="仿宋" w:hAnsi="仿宋" w:eastAsia="仿宋" w:cs="仿宋"/>
          <w:sz w:val="24"/>
          <w:szCs w:val="24"/>
          <w:lang w:val="en-US" w:eastAsia="zh-CN"/>
        </w:rPr>
        <w:t>第五章保障方案</w:t>
      </w:r>
    </w:p>
    <w:p w14:paraId="778A9CD2">
      <w:pPr>
        <w:keepNext w:val="0"/>
        <w:keepLines w:val="0"/>
        <w:pageBreakBefore w:val="0"/>
        <w:kinsoku/>
        <w:wordWrap/>
        <w:overflowPunct/>
        <w:topLinePunct w:val="0"/>
        <w:autoSpaceDE/>
        <w:autoSpaceDN/>
        <w:bidi w:val="0"/>
        <w:adjustRightInd/>
        <w:snapToGrid/>
        <w:spacing w:before="182"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第八条具体保障方案如下：</w:t>
      </w:r>
    </w:p>
    <w:tbl>
      <w:tblPr>
        <w:tblStyle w:val="16"/>
        <w:tblW w:w="89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866"/>
        <w:gridCol w:w="5128"/>
      </w:tblGrid>
      <w:tr w14:paraId="4C102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866" w:type="dxa"/>
            <w:vAlign w:val="top"/>
          </w:tcPr>
          <w:p w14:paraId="0BCE1067">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保险范围(蓝田县内)</w:t>
            </w:r>
          </w:p>
        </w:tc>
        <w:tc>
          <w:tcPr>
            <w:tcW w:w="5128" w:type="dxa"/>
            <w:vAlign w:val="top"/>
          </w:tcPr>
          <w:p w14:paraId="69B85B65">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保险金额</w:t>
            </w:r>
          </w:p>
        </w:tc>
      </w:tr>
      <w:tr w14:paraId="52C1A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3866" w:type="dxa"/>
            <w:vMerge w:val="restart"/>
            <w:tcBorders>
              <w:bottom w:val="nil"/>
            </w:tcBorders>
            <w:vAlign w:val="center"/>
          </w:tcPr>
          <w:p w14:paraId="6B479ED8">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各类居家养老服务机构内及日常生活空间及上述列明范围外的其他区域</w:t>
            </w:r>
          </w:p>
        </w:tc>
        <w:tc>
          <w:tcPr>
            <w:tcW w:w="5128" w:type="dxa"/>
            <w:vAlign w:val="top"/>
          </w:tcPr>
          <w:p w14:paraId="7FA94058">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意外身故最高赔偿限额30000 元/人</w:t>
            </w:r>
          </w:p>
        </w:tc>
      </w:tr>
      <w:tr w14:paraId="5F8A7C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866" w:type="dxa"/>
            <w:vMerge w:val="continue"/>
            <w:tcBorders>
              <w:top w:val="nil"/>
              <w:bottom w:val="nil"/>
            </w:tcBorders>
            <w:vAlign w:val="top"/>
          </w:tcPr>
          <w:p w14:paraId="64D59F7E">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p>
        </w:tc>
        <w:tc>
          <w:tcPr>
            <w:tcW w:w="5128" w:type="dxa"/>
            <w:vAlign w:val="top"/>
          </w:tcPr>
          <w:p w14:paraId="3B8E1B10">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意外残疾最高赔偿限额30000 元/人</w:t>
            </w:r>
          </w:p>
        </w:tc>
      </w:tr>
      <w:tr w14:paraId="22E2AA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3866" w:type="dxa"/>
            <w:vMerge w:val="continue"/>
            <w:tcBorders>
              <w:top w:val="nil"/>
              <w:bottom w:val="nil"/>
            </w:tcBorders>
            <w:vAlign w:val="top"/>
          </w:tcPr>
          <w:p w14:paraId="3EADF0F1">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p>
        </w:tc>
        <w:tc>
          <w:tcPr>
            <w:tcW w:w="5128" w:type="dxa"/>
            <w:vAlign w:val="top"/>
          </w:tcPr>
          <w:p w14:paraId="41BEE184">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意外伤害医疗费最高赔偿限额 5000 元/人</w:t>
            </w:r>
          </w:p>
        </w:tc>
      </w:tr>
      <w:tr w14:paraId="2E503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3866" w:type="dxa"/>
            <w:vMerge w:val="continue"/>
            <w:tcBorders>
              <w:top w:val="nil"/>
            </w:tcBorders>
            <w:vAlign w:val="top"/>
          </w:tcPr>
          <w:p w14:paraId="5164BF0D">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p>
        </w:tc>
        <w:tc>
          <w:tcPr>
            <w:tcW w:w="5128" w:type="dxa"/>
            <w:vAlign w:val="top"/>
          </w:tcPr>
          <w:p w14:paraId="2F6382E6">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意外伤害住院补贴最高赔偿限额 5400元/人</w:t>
            </w:r>
          </w:p>
        </w:tc>
      </w:tr>
      <w:tr w14:paraId="37E305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9" w:hRule="atLeast"/>
        </w:trPr>
        <w:tc>
          <w:tcPr>
            <w:tcW w:w="8994" w:type="dxa"/>
            <w:gridSpan w:val="2"/>
            <w:vAlign w:val="top"/>
          </w:tcPr>
          <w:p w14:paraId="0753DD6C">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备注：</w:t>
            </w:r>
          </w:p>
          <w:p w14:paraId="6C75C5B8">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1.意外伤害住院津贴为 30 元/天/人/份；单次以90天为限；全年住院累计最长赔偿 180 天。</w:t>
            </w:r>
          </w:p>
          <w:p w14:paraId="51E4B1B7">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2.意外医疗费免赔额为 100 元/次。</w:t>
            </w:r>
          </w:p>
          <w:p w14:paraId="44AC87E7">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3.意外医疗费赔付比例：先由基本医疗保险按规定报销后,剩余部分按照100元以上给付比例100%，不超过限额。</w:t>
            </w:r>
          </w:p>
        </w:tc>
      </w:tr>
    </w:tbl>
    <w:p w14:paraId="089D1E96">
      <w:pPr>
        <w:keepNext w:val="0"/>
        <w:keepLines w:val="0"/>
        <w:pageBreakBefore w:val="0"/>
        <w:widowControl w:val="0"/>
        <w:numPr>
          <w:ilvl w:val="0"/>
          <w:numId w:val="0"/>
        </w:numPr>
        <w:kinsoku/>
        <w:wordWrap/>
        <w:overflowPunct/>
        <w:topLinePunct w:val="0"/>
        <w:autoSpaceDE/>
        <w:autoSpaceDN/>
        <w:bidi w:val="0"/>
        <w:adjustRightInd/>
        <w:snapToGrid/>
        <w:spacing w:line="480" w:lineRule="exac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备注：保障方案中“居家养老服务机构”是指各级政府、 社区(村)举办或在政府相关部门备案的居家养老服务机构。</w:t>
      </w:r>
    </w:p>
    <w:p w14:paraId="6835D11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jc w:val="center"/>
        <w:textAlignment w:val="auto"/>
        <w:rPr>
          <w:rFonts w:hint="eastAsia" w:ascii="仿宋" w:hAnsi="仿宋" w:eastAsia="仿宋" w:cs="仿宋"/>
          <w:kern w:val="2"/>
          <w:sz w:val="24"/>
          <w:szCs w:val="24"/>
          <w:lang w:val="en-US" w:eastAsia="zh-CN" w:bidi="ar-SA"/>
        </w:rPr>
      </w:pPr>
    </w:p>
    <w:p w14:paraId="321BD89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第六章保障责任</w:t>
      </w:r>
    </w:p>
    <w:p w14:paraId="2EEB0CB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第九条 在保险期间内，被保险人遭受意外伤害，并自该意外伤害发生之日起180日内因该意外伤害导致身故的，乙方按该项保险责任给付身故保险金，本合同对该被保险人的责任终止。</w:t>
      </w:r>
    </w:p>
    <w:p w14:paraId="0FF61CA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第十条 在保险期间内，被保险人遭受意外伤害，并自该意外伤害发生之日起180日内因该意外伤害导致身体伤残的，乙方根据《人身保险伤残评定标准(行业标准)》的规定，按本合同约定的该被保险人的保险金额乘以该处伤残的伤残等级所对应的保险金给付比例给付伤残保险金。一次或累计给付的保险金达到该被保险人的理赔限额时，本合同对该被保险人的保险责任终止。</w:t>
      </w:r>
    </w:p>
    <w:p w14:paraId="5452CE2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第十一条 在保险期间内，被保险人遭受意外伤害，并因该意外伤害在二级以上(含二级)医院或乙方认可的其他医疗机构诊疗，对被保险人实际支出的符合当地社会基本医疗保险支付范围的医疗费用，每次扣除100元免赔额后，被保险人通过医保先行赔付的意外医疗费，剩余部分在医保赔付的范围内乙方按照100%赔付；不通过医保直接向乙方索赔的意外医疗费，在医保赔付的范围内乙方按照70%赔付。</w:t>
      </w:r>
    </w:p>
    <w:p w14:paraId="7E40D4B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第十二条 在保险期间内，被保险人遭受意外伤害，并因该意外伤害在二级以上(含二级)医院或乙方认可的其他医疗机构诊疗，按该项责任日定额给付金额乘以实际住院日数给付保险金，每次住院给付日数以90日为限，全年累计给付日数以180日为限。</w:t>
      </w:r>
    </w:p>
    <w:p w14:paraId="430381A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第十三条 乙方对以下项目，不承担给付责任。</w:t>
      </w:r>
    </w:p>
    <w:p w14:paraId="6583BF5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 因自身原有疾病或自身原有残疾导致身体受到的伤害，不在保险范围内。</w:t>
      </w:r>
    </w:p>
    <w:p w14:paraId="10902C4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2、洗牙、牙齿美白、牙齿矫正、烤瓷牙、种植牙或镶牙等牙齿保健和修复，不在保险范围内。</w:t>
      </w:r>
    </w:p>
    <w:p w14:paraId="23C5EDDD">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3、因下列情形之一导致的意外伤害，不在保险范围内：</w:t>
      </w:r>
    </w:p>
    <w:p w14:paraId="032F0CF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(1)被保险人故意犯罪或抗拒依法采取的刑事强制措施；</w:t>
      </w:r>
    </w:p>
    <w:p w14:paraId="5132583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(2)被保险人自杀或故意自伤，但被保险人自杀或故意自伤时为无民事行为能力人的除外；</w:t>
      </w:r>
    </w:p>
    <w:p w14:paraId="6AD911F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highlight w:val="none"/>
          <w:lang w:val="en-US" w:eastAsia="zh-CN" w:bidi="ar-SA"/>
        </w:rPr>
        <w:t>(3)被</w:t>
      </w:r>
      <w:r>
        <w:rPr>
          <w:rFonts w:hint="eastAsia" w:ascii="仿宋" w:hAnsi="仿宋" w:eastAsia="仿宋" w:cs="仿宋"/>
          <w:kern w:val="2"/>
          <w:sz w:val="24"/>
          <w:szCs w:val="24"/>
          <w:lang w:val="en-US" w:eastAsia="zh-CN" w:bidi="ar-SA"/>
        </w:rPr>
        <w:t>保险人斗殴、醉酒，服用、吸食或注射毒品；</w:t>
      </w:r>
    </w:p>
    <w:p w14:paraId="1220984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(4)被保险人酒后驾驶、无合法有效驾驶证驾驶或驾驶没有效行驶证的机动车；</w:t>
      </w:r>
    </w:p>
    <w:p w14:paraId="2680D58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(5)被保险人未遵医嘱私自使用或服用药物，但按使用说明的规定使用非处方药不在此限；</w:t>
      </w:r>
    </w:p>
    <w:p w14:paraId="1D6BCDD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(6)被保险人参加潜水、跳伞、攀岩、驾乘滑翔机或滑翔伞、探险、摔跤、武术比赛、特技表演、赛马、赛车等高风险运动；</w:t>
      </w:r>
    </w:p>
    <w:p w14:paraId="3900987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(7)被保险人的产前产后检查、妊娠(含宫外孕)、流 产(含人工流产)、分娩(含剖腹产)、避孕、绝育手术、 治疗不孕不育症以及上述原因引起的并发症；</w:t>
      </w:r>
    </w:p>
    <w:p w14:paraId="2405BA0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(8)被保险人的精神和行为障碍；</w:t>
      </w:r>
    </w:p>
    <w:p w14:paraId="1041D72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(9)战争、军事冲突、暴乱或武装叛乱；</w:t>
      </w:r>
    </w:p>
    <w:p w14:paraId="6F56AE6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（10）核爆炸、核辐射或核污染。</w:t>
      </w:r>
    </w:p>
    <w:p w14:paraId="6A56144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200" w:firstLine="480" w:firstLineChars="20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第七章 理赔事项</w:t>
      </w:r>
    </w:p>
    <w:p w14:paraId="6A04C2D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第十四条 被保险人出险后，应于24小时内通知乙方，可以直接通过乙方服务热线报案，乙方全国统一客服热线：</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 也可拨打理赔服务专员(</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)电话报案，理赔专员联系方式：</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(手机号</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none"/>
          <w:lang w:val="en-US" w:eastAsia="zh-CN" w:bidi="ar-SA"/>
        </w:rPr>
        <w:t>）</w:t>
      </w:r>
      <w:r>
        <w:rPr>
          <w:rFonts w:hint="eastAsia" w:ascii="仿宋" w:hAnsi="仿宋" w:eastAsia="仿宋" w:cs="仿宋"/>
          <w:kern w:val="2"/>
          <w:sz w:val="24"/>
          <w:szCs w:val="24"/>
          <w:lang w:val="en-US" w:eastAsia="zh-CN" w:bidi="ar-SA"/>
        </w:rPr>
        <w:t>。乙方昼夜24小时接受报案。</w:t>
      </w:r>
    </w:p>
    <w:p w14:paraId="2E4F4198">
      <w:pPr>
        <w:pStyle w:val="9"/>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第十五条 被保险人出险并向乙方报案后，理赔资料齐全即可进入理赔程序，乙方在5-10个工作日内支付赔款。被保险人在申请保险金时，须提供以下资料：</w:t>
      </w:r>
    </w:p>
    <w:p w14:paraId="4A133020">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1、理赔申请书(须签字);</w:t>
      </w:r>
    </w:p>
    <w:p w14:paraId="32B0F33F">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2、理赔委托书和受托人身份证明复印件(仅适用于委托理赔) ;</w:t>
      </w:r>
    </w:p>
    <w:p w14:paraId="31199FEB">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3、被保险人身份证复印件或户籍证明；</w:t>
      </w:r>
    </w:p>
    <w:p w14:paraId="1D9AB99C">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4、受益人、法定继承人身份证明原件及与被保险人关系证明(户籍管理部门或公证部门出具);</w:t>
      </w:r>
    </w:p>
    <w:p w14:paraId="2F2C4402">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5、医疗费用发票原件；</w:t>
      </w:r>
    </w:p>
    <w:p w14:paraId="76A74D5A">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6、住院费用清单(处方);</w:t>
      </w:r>
    </w:p>
    <w:p w14:paraId="038C0C2A">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7、病历全套；</w:t>
      </w:r>
    </w:p>
    <w:p w14:paraId="0EE7351C">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8、诊断证明；</w:t>
      </w:r>
    </w:p>
    <w:p w14:paraId="577C7943">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9、户籍死亡注销证明，或意外身故相关证明书和火化证明；</w:t>
      </w:r>
    </w:p>
    <w:p w14:paraId="0E6C6CA4">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10、申请人银行账户。</w:t>
      </w:r>
    </w:p>
    <w:p w14:paraId="01C55DAD">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意外伤害身故、伤残须提供1、2、3、4、7、9、10项资料；意外伤害医疗费须提供1、2、3、5、6、7、8、10项资料；意外伤害住院津贴须提供1、2、3、6、7、8、10项资料。</w:t>
      </w:r>
    </w:p>
    <w:p w14:paraId="572DC913">
      <w:pPr>
        <w:pStyle w:val="10"/>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b w:val="0"/>
          <w:bCs w:val="0"/>
          <w:sz w:val="24"/>
          <w:szCs w:val="24"/>
          <w:lang w:val="en-US" w:eastAsia="zh-CN"/>
        </w:rPr>
        <w:t>第八章管理服务</w:t>
      </w:r>
    </w:p>
    <w:p w14:paraId="7727EA90">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第十六条 甲、乙双方应相互配合开展老年人意外伤害保险的管理与服务工作。</w:t>
      </w:r>
    </w:p>
    <w:p w14:paraId="2A578B53">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第十七条 乙方每季度向甲方报送报表，总结理赔案件及理赔金额数字；汇报疑难和遗留问题并阐述理由，提出商议及解决问题的办法；年度末报送全年的工作总结报告和全年的理赔清单报表。</w:t>
      </w:r>
    </w:p>
    <w:p w14:paraId="2DEABBEF">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第九章其他</w:t>
      </w:r>
    </w:p>
    <w:p w14:paraId="11FDAAA7">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第十八条 本合同期限为一年，与本合同第五条约定时间一致 。</w:t>
      </w:r>
    </w:p>
    <w:p w14:paraId="62EC8405">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第十九条 本合同如因政策、法律、法规调整等因素必须修改或终止，应由双方共同协商，签订补充或终止合同。补充合同与本合同具有同等法律效力。</w:t>
      </w:r>
    </w:p>
    <w:p w14:paraId="65EE2DB0">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第二十条 本合同自双方授权代表签字并加盖单位公章之日起生效。</w:t>
      </w:r>
    </w:p>
    <w:p w14:paraId="6A225D45">
      <w:pPr>
        <w:pStyle w:val="10"/>
        <w:keepNext w:val="0"/>
        <w:keepLines w:val="0"/>
        <w:pageBreakBefore w:val="0"/>
        <w:numPr>
          <w:ilvl w:val="0"/>
          <w:numId w:val="0"/>
        </w:numPr>
        <w:kinsoku/>
        <w:wordWrap/>
        <w:overflowPunct/>
        <w:topLinePunct w:val="0"/>
        <w:autoSpaceDE/>
        <w:autoSpaceDN/>
        <w:bidi w:val="0"/>
        <w:adjustRightInd/>
        <w:snapToGrid/>
        <w:spacing w:line="480" w:lineRule="exact"/>
        <w:ind w:right="0" w:rightChars="0" w:firstLine="480" w:firstLineChars="200"/>
        <w:textAlignment w:val="auto"/>
        <w:rPr>
          <w:rFonts w:hint="eastAsia" w:ascii="仿宋" w:hAnsi="仿宋" w:eastAsia="仿宋" w:cs="仿宋"/>
          <w:sz w:val="24"/>
          <w:szCs w:val="24"/>
        </w:rPr>
      </w:pPr>
      <w:r>
        <w:rPr>
          <w:rFonts w:hint="eastAsia" w:ascii="仿宋" w:hAnsi="仿宋" w:eastAsia="仿宋" w:cs="仿宋"/>
          <w:kern w:val="2"/>
          <w:sz w:val="24"/>
          <w:szCs w:val="24"/>
          <w:lang w:val="en-US" w:eastAsia="zh-CN" w:bidi="ar-SA"/>
        </w:rPr>
        <w:t>第二十 一 条 本合同一式</w:t>
      </w:r>
      <w:r>
        <w:rPr>
          <w:rFonts w:hint="eastAsia" w:ascii="仿宋" w:hAnsi="仿宋" w:eastAsia="仿宋" w:cs="仿宋"/>
          <w:kern w:val="2"/>
          <w:sz w:val="24"/>
          <w:szCs w:val="24"/>
          <w:highlight w:val="none"/>
          <w:lang w:val="en-US" w:eastAsia="zh-CN" w:bidi="ar-SA"/>
        </w:rPr>
        <w:t>陆</w:t>
      </w:r>
      <w:r>
        <w:rPr>
          <w:rFonts w:hint="eastAsia" w:ascii="仿宋" w:hAnsi="仿宋" w:eastAsia="仿宋" w:cs="仿宋"/>
          <w:kern w:val="2"/>
          <w:sz w:val="24"/>
          <w:szCs w:val="24"/>
          <w:lang w:val="en-US" w:eastAsia="zh-CN" w:bidi="ar-SA"/>
        </w:rPr>
        <w:t>份，甲方执叁份，乙方执叁份，具有同等法律效力。</w:t>
      </w:r>
    </w:p>
    <w:p w14:paraId="361D2D3D">
      <w:pPr>
        <w:keepNext w:val="0"/>
        <w:keepLines w:val="0"/>
        <w:pageBreakBefore w:val="0"/>
        <w:widowControl w:val="0"/>
        <w:kinsoku/>
        <w:wordWrap/>
        <w:overflowPunct/>
        <w:topLinePunct w:val="0"/>
        <w:autoSpaceDE/>
        <w:autoSpaceDN/>
        <w:bidi w:val="0"/>
        <w:adjustRightInd/>
        <w:snapToGrid/>
        <w:spacing w:line="480" w:lineRule="auto"/>
        <w:ind w:left="4594" w:leftChars="114" w:hanging="4320" w:hangingChars="1800"/>
        <w:textAlignment w:val="auto"/>
        <w:rPr>
          <w:rFonts w:hint="eastAsia" w:ascii="仿宋" w:hAnsi="仿宋" w:eastAsia="仿宋" w:cs="仿宋"/>
          <w:sz w:val="24"/>
          <w:szCs w:val="24"/>
        </w:rPr>
      </w:pPr>
      <w:r>
        <w:rPr>
          <w:rFonts w:hint="eastAsia" w:ascii="仿宋" w:hAnsi="仿宋" w:eastAsia="仿宋" w:cs="仿宋"/>
          <w:sz w:val="24"/>
          <w:szCs w:val="24"/>
        </w:rPr>
        <w:t xml:space="preserve">甲方：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乙方：</w:t>
      </w:r>
    </w:p>
    <w:p w14:paraId="296F09D2">
      <w:pPr>
        <w:keepNext w:val="0"/>
        <w:keepLines w:val="0"/>
        <w:pageBreakBefore w:val="0"/>
        <w:widowControl w:val="0"/>
        <w:kinsoku/>
        <w:wordWrap/>
        <w:overflowPunct/>
        <w:topLinePunct w:val="0"/>
        <w:autoSpaceDE/>
        <w:autoSpaceDN/>
        <w:bidi w:val="0"/>
        <w:adjustRightInd/>
        <w:snapToGrid/>
        <w:spacing w:line="480" w:lineRule="auto"/>
        <w:ind w:left="6080" w:hanging="4560" w:hangingChars="19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（盖章）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（盖章）</w:t>
      </w:r>
    </w:p>
    <w:p w14:paraId="0E7676BA">
      <w:pPr>
        <w:keepNext w:val="0"/>
        <w:keepLines w:val="0"/>
        <w:pageBreakBefore w:val="0"/>
        <w:widowControl w:val="0"/>
        <w:kinsoku/>
        <w:wordWrap/>
        <w:overflowPunct/>
        <w:topLinePunct w:val="0"/>
        <w:autoSpaceDE/>
        <w:autoSpaceDN/>
        <w:bidi w:val="0"/>
        <w:adjustRightInd/>
        <w:snapToGrid/>
        <w:spacing w:line="480" w:lineRule="auto"/>
        <w:ind w:left="6080" w:hanging="4560" w:hangingChars="1900"/>
        <w:textAlignment w:val="auto"/>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lang w:val="en-US" w:eastAsia="zh-CN"/>
        </w:rPr>
        <w:t>或委托代理人</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法定代表人</w:t>
      </w:r>
      <w:r>
        <w:rPr>
          <w:rFonts w:hint="eastAsia" w:ascii="仿宋" w:hAnsi="仿宋" w:eastAsia="仿宋" w:cs="仿宋"/>
          <w:sz w:val="24"/>
          <w:szCs w:val="24"/>
          <w:lang w:val="en-US" w:eastAsia="zh-CN"/>
        </w:rPr>
        <w:t>或委托代理人</w:t>
      </w:r>
      <w:r>
        <w:rPr>
          <w:rFonts w:hint="eastAsia" w:ascii="仿宋" w:hAnsi="仿宋" w:eastAsia="仿宋" w:cs="仿宋"/>
          <w:sz w:val="24"/>
          <w:szCs w:val="24"/>
        </w:rPr>
        <w:t>：</w:t>
      </w:r>
    </w:p>
    <w:p w14:paraId="5F8858FC">
      <w:pPr>
        <w:keepNext w:val="0"/>
        <w:keepLines w:val="0"/>
        <w:pageBreakBefore w:val="0"/>
        <w:widowControl w:val="0"/>
        <w:kinsoku/>
        <w:wordWrap/>
        <w:overflowPunct/>
        <w:topLinePunct w:val="0"/>
        <w:autoSpaceDE/>
        <w:autoSpaceDN/>
        <w:bidi w:val="0"/>
        <w:adjustRightInd/>
        <w:snapToGrid/>
        <w:spacing w:line="480" w:lineRule="auto"/>
        <w:ind w:left="6080" w:hanging="4560" w:hangingChars="19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签字或盖章</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签字或盖章</w:t>
      </w:r>
      <w:r>
        <w:rPr>
          <w:rFonts w:hint="eastAsia" w:ascii="仿宋" w:hAnsi="仿宋" w:eastAsia="仿宋" w:cs="仿宋"/>
          <w:sz w:val="24"/>
          <w:szCs w:val="24"/>
        </w:rPr>
        <w:t>))</w:t>
      </w:r>
    </w:p>
    <w:p w14:paraId="35FFCEB1">
      <w:pPr>
        <w:keepNext w:val="0"/>
        <w:keepLines w:val="0"/>
        <w:pageBreakBefore w:val="0"/>
        <w:widowControl w:val="0"/>
        <w:kinsoku/>
        <w:wordWrap/>
        <w:overflowPunct/>
        <w:topLinePunct w:val="0"/>
        <w:autoSpaceDE/>
        <w:autoSpaceDN/>
        <w:bidi w:val="0"/>
        <w:adjustRightInd/>
        <w:snapToGrid/>
        <w:spacing w:line="480" w:lineRule="auto"/>
        <w:ind w:left="6080" w:hanging="4560" w:hangingChars="1900"/>
        <w:textAlignment w:val="auto"/>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日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月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0A0F1D"/>
    <w:rsid w:val="2A4D785F"/>
    <w:rsid w:val="3F0A0F1D"/>
    <w:rsid w:val="4DBB1321"/>
    <w:rsid w:val="79103F08"/>
    <w:rsid w:val="7A440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paragraph" w:styleId="4">
    <w:name w:val="heading 4"/>
    <w:basedOn w:val="1"/>
    <w:next w:val="1"/>
    <w:qFormat/>
    <w:uiPriority w:val="0"/>
    <w:pPr>
      <w:keepNext/>
      <w:keepLines/>
      <w:spacing w:line="372" w:lineRule="auto"/>
      <w:outlineLvl w:val="3"/>
    </w:pPr>
    <w:rPr>
      <w:rFonts w:eastAsia="黑体"/>
      <w:b/>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qFormat/>
    <w:uiPriority w:val="0"/>
    <w:pPr>
      <w:spacing w:after="120" w:afterLines="0"/>
    </w:pPr>
    <w:rPr>
      <w:rFonts w:ascii="Times New Roman"/>
      <w:kern w:val="2"/>
      <w:sz w:val="21"/>
    </w:rPr>
  </w:style>
  <w:style w:type="paragraph" w:styleId="7">
    <w:name w:val="Body Text Indent"/>
    <w:basedOn w:val="1"/>
    <w:next w:val="1"/>
    <w:qFormat/>
    <w:uiPriority w:val="0"/>
    <w:pPr>
      <w:spacing w:after="120"/>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6"/>
    <w:next w:val="10"/>
    <w:qFormat/>
    <w:uiPriority w:val="99"/>
    <w:pPr>
      <w:ind w:firstLine="420" w:firstLineChars="100"/>
    </w:pPr>
    <w:rPr>
      <w:rFonts w:ascii="宋体"/>
    </w:rPr>
  </w:style>
  <w:style w:type="paragraph" w:styleId="10">
    <w:name w:val="Body Text First Indent 2"/>
    <w:basedOn w:val="7"/>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13">
    <w:name w:val="Heading4"/>
    <w:basedOn w:val="1"/>
    <w:next w:val="1"/>
    <w:autoRedefine/>
    <w:qFormat/>
    <w:uiPriority w:val="0"/>
    <w:pPr>
      <w:keepNext/>
      <w:keepLines/>
      <w:spacing w:before="280" w:after="290" w:line="376" w:lineRule="atLeast"/>
      <w:jc w:val="both"/>
      <w:textAlignment w:val="baseline"/>
    </w:pPr>
    <w:rPr>
      <w:rFonts w:ascii="Arial" w:hAnsi="Arial"/>
      <w:b/>
      <w:spacing w:val="20"/>
      <w:kern w:val="2"/>
      <w:sz w:val="28"/>
      <w:szCs w:val="20"/>
      <w:lang w:val="en-US" w:eastAsia="zh-CN" w:bidi="ar-SA"/>
    </w:rPr>
  </w:style>
  <w:style w:type="paragraph" w:customStyle="1" w:styleId="14">
    <w:name w:val="Table Text"/>
    <w:basedOn w:val="1"/>
    <w:autoRedefine/>
    <w:semiHidden/>
    <w:qFormat/>
    <w:uiPriority w:val="0"/>
    <w:rPr>
      <w:rFonts w:ascii="宋体" w:hAnsi="宋体" w:eastAsia="宋体" w:cs="宋体"/>
      <w:sz w:val="24"/>
      <w:szCs w:val="24"/>
      <w:lang w:val="en-US" w:eastAsia="en-US" w:bidi="ar-SA"/>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2985</Words>
  <Characters>3093</Characters>
  <Lines>0</Lines>
  <Paragraphs>0</Paragraphs>
  <TotalTime>2</TotalTime>
  <ScaleCrop>false</ScaleCrop>
  <LinksUpToDate>false</LinksUpToDate>
  <CharactersWithSpaces>3414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2025-10-10T09:41:00Z</dcterms:created>
  <dc:creator>pc</dc:creator>
  <cp:lastModifiedBy>吐个泡泡</cp:lastModifiedBy>
  <dcterms:modified xsi:type="dcterms:W3CDTF">2026-09-09T01:15:52Z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D33424C1D9584A9495D07E4D13081D69_11</vt:lpwstr>
  </property>
  <property fmtid="{D5CDD505-2E9C-101B-9397-08002B2CF9AE}" pid="4" name="KSOTemplateDocerSaveRecord">
    <vt:lpwstr>eyJoZGlkIjoiYWRiMGUwZTc3MmEzMzI3YzdmZTNiOTI5MzdjMDExNzIiLCJ1c2VySWQiOiI3NjU4MjU5OTIifQ==</vt:lpwstr>
  </property>
</Properties>
</file>