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56804A">
      <w:pPr>
        <w:pStyle w:val="3"/>
        <w:shd w:val="clear"/>
        <w:adjustRightInd w:val="0"/>
        <w:spacing w:line="360" w:lineRule="auto"/>
        <w:jc w:val="center"/>
        <w:textAlignment w:val="baseline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磋商报价表</w:t>
      </w:r>
    </w:p>
    <w:tbl>
      <w:tblPr>
        <w:tblStyle w:val="8"/>
        <w:tblW w:w="4998" w:type="pct"/>
        <w:tblInd w:w="0" w:type="dxa"/>
        <w:tblBorders>
          <w:top w:val="double" w:color="auto" w:sz="6" w:space="0"/>
          <w:left w:val="double" w:color="auto" w:sz="6" w:space="0"/>
          <w:bottom w:val="double" w:color="auto" w:sz="6" w:space="0"/>
          <w:right w:val="doub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92"/>
        <w:gridCol w:w="5327"/>
      </w:tblGrid>
      <w:tr w14:paraId="6C0961D1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9" w:hRule="atLeast"/>
        </w:trPr>
        <w:tc>
          <w:tcPr>
            <w:tcW w:w="1873" w:type="pct"/>
            <w:tcBorders>
              <w:bottom w:val="single" w:color="auto" w:sz="4" w:space="0"/>
            </w:tcBorders>
            <w:noWrap w:val="0"/>
            <w:vAlign w:val="center"/>
          </w:tcPr>
          <w:p w14:paraId="35F8A69B">
            <w:pPr>
              <w:shd w:val="clear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highlight w:val="none"/>
                <w:lang w:eastAsia="zh-CN"/>
              </w:rPr>
            </w:pPr>
            <w:r>
              <w:rPr>
                <w:rFonts w:hint="eastAsia" w:ascii="仿宋" w:hAnsi="仿宋" w:cs="仿宋"/>
                <w:b/>
                <w:bCs/>
                <w:color w:val="auto"/>
                <w:highlight w:val="none"/>
                <w:lang w:val="en-US" w:eastAsia="zh-CN"/>
              </w:rPr>
              <w:t>采购</w:t>
            </w:r>
            <w:r>
              <w:rPr>
                <w:rFonts w:hint="eastAsia" w:ascii="仿宋" w:hAnsi="仿宋" w:cs="仿宋"/>
                <w:b/>
                <w:bCs/>
                <w:color w:val="auto"/>
                <w:highlight w:val="none"/>
                <w:lang w:eastAsia="zh-CN"/>
              </w:rPr>
              <w:t>项目名称</w:t>
            </w:r>
          </w:p>
        </w:tc>
        <w:tc>
          <w:tcPr>
            <w:tcW w:w="3126" w:type="pct"/>
            <w:noWrap w:val="0"/>
            <w:vAlign w:val="center"/>
          </w:tcPr>
          <w:p w14:paraId="53096079">
            <w:pPr>
              <w:shd w:val="clear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highlight w:val="none"/>
                <w:lang w:eastAsia="zh-CN"/>
              </w:rPr>
              <w:t>蓝田县民政局202</w:t>
            </w:r>
            <w:r>
              <w:rPr>
                <w:rFonts w:hint="eastAsia" w:ascii="仿宋" w:hAnsi="仿宋" w:cs="仿宋"/>
                <w:b/>
                <w:bCs/>
                <w:color w:val="auto"/>
                <w:highlight w:val="none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highlight w:val="none"/>
                <w:lang w:eastAsia="zh-CN"/>
              </w:rPr>
              <w:t>年度老年人意外伤害保险采购项目</w:t>
            </w:r>
            <w:r>
              <w:rPr>
                <w:rFonts w:hint="eastAsia" w:ascii="仿宋" w:hAnsi="仿宋" w:cs="仿宋"/>
                <w:b/>
                <w:bCs/>
                <w:color w:val="auto"/>
                <w:highlight w:val="none"/>
                <w:lang w:eastAsia="zh-CN"/>
              </w:rPr>
              <w:t>（</w:t>
            </w:r>
            <w:r>
              <w:rPr>
                <w:rFonts w:hint="eastAsia" w:ascii="仿宋" w:hAnsi="仿宋" w:cs="仿宋"/>
                <w:b/>
                <w:bCs/>
                <w:color w:val="auto"/>
                <w:highlight w:val="none"/>
                <w:lang w:val="en-US" w:eastAsia="zh-CN"/>
              </w:rPr>
              <w:t>二次</w:t>
            </w:r>
            <w:r>
              <w:rPr>
                <w:rFonts w:hint="eastAsia" w:ascii="仿宋" w:hAnsi="仿宋" w:cs="仿宋"/>
                <w:b/>
                <w:bCs/>
                <w:color w:val="auto"/>
                <w:highlight w:val="none"/>
                <w:lang w:eastAsia="zh-CN"/>
              </w:rPr>
              <w:t>）</w:t>
            </w:r>
          </w:p>
        </w:tc>
      </w:tr>
      <w:tr w14:paraId="5B17588A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8" w:hRule="atLeast"/>
        </w:trPr>
        <w:tc>
          <w:tcPr>
            <w:tcW w:w="1873" w:type="pct"/>
            <w:tcBorders>
              <w:bottom w:val="single" w:color="auto" w:sz="4" w:space="0"/>
            </w:tcBorders>
            <w:noWrap w:val="0"/>
            <w:vAlign w:val="center"/>
          </w:tcPr>
          <w:p w14:paraId="3882DE31">
            <w:pPr>
              <w:shd w:val="clear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highlight w:val="none"/>
                <w:lang w:eastAsia="zh-CN"/>
              </w:rPr>
            </w:pPr>
            <w:r>
              <w:rPr>
                <w:rFonts w:hint="eastAsia" w:ascii="仿宋" w:hAnsi="仿宋" w:cs="仿宋"/>
                <w:b/>
                <w:bCs/>
                <w:color w:val="auto"/>
                <w:highlight w:val="none"/>
                <w:lang w:val="en-US" w:eastAsia="zh-CN"/>
              </w:rPr>
              <w:t>采购</w:t>
            </w:r>
            <w:r>
              <w:rPr>
                <w:rFonts w:hint="eastAsia" w:ascii="仿宋" w:hAnsi="仿宋" w:cs="仿宋"/>
                <w:b/>
                <w:bCs/>
                <w:color w:val="auto"/>
                <w:highlight w:val="none"/>
                <w:lang w:eastAsia="zh-CN"/>
              </w:rPr>
              <w:t>项目编号</w:t>
            </w:r>
          </w:p>
        </w:tc>
        <w:tc>
          <w:tcPr>
            <w:tcW w:w="3126" w:type="pct"/>
            <w:tcBorders>
              <w:bottom w:val="single" w:color="auto" w:sz="4" w:space="0"/>
            </w:tcBorders>
            <w:noWrap w:val="0"/>
            <w:vAlign w:val="center"/>
          </w:tcPr>
          <w:p w14:paraId="5DBBFDD7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仿宋" w:hAnsi="仿宋" w:eastAsia="仿宋" w:cs="仿宋"/>
                <w:b/>
                <w:bCs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highlight w:val="none"/>
                <w:lang w:val="en-US" w:eastAsia="zh-CN"/>
              </w:rPr>
              <w:t>SXCC–[2026]-ZB120</w:t>
            </w:r>
            <w:r>
              <w:rPr>
                <w:rFonts w:hint="eastAsia" w:ascii="仿宋" w:hAnsi="仿宋" w:cs="仿宋"/>
                <w:b/>
                <w:bCs/>
                <w:color w:val="auto"/>
                <w:highlight w:val="none"/>
                <w:lang w:val="en-US" w:eastAsia="zh-CN"/>
              </w:rPr>
              <w:t>.1B1</w:t>
            </w:r>
          </w:p>
        </w:tc>
      </w:tr>
      <w:tr w14:paraId="1F07C047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6" w:hRule="atLeast"/>
        </w:trPr>
        <w:tc>
          <w:tcPr>
            <w:tcW w:w="1873" w:type="pct"/>
            <w:noWrap w:val="0"/>
            <w:vAlign w:val="center"/>
          </w:tcPr>
          <w:p w14:paraId="26D17B63">
            <w:pPr>
              <w:shd w:val="clear"/>
              <w:jc w:val="center"/>
              <w:rPr>
                <w:rFonts w:hint="eastAsia" w:ascii="仿宋" w:hAnsi="仿宋" w:cs="仿宋"/>
                <w:b/>
                <w:bCs/>
                <w:color w:val="auto"/>
                <w:highlight w:val="none"/>
              </w:rPr>
            </w:pPr>
            <w:r>
              <w:rPr>
                <w:rFonts w:hint="eastAsia" w:ascii="仿宋" w:hAnsi="仿宋" w:cs="仿宋"/>
                <w:b/>
                <w:bCs/>
                <w:color w:val="auto"/>
                <w:highlight w:val="none"/>
                <w:lang w:val="en-US" w:eastAsia="zh-CN"/>
              </w:rPr>
              <w:t>磋商总报价</w:t>
            </w:r>
          </w:p>
        </w:tc>
        <w:tc>
          <w:tcPr>
            <w:tcW w:w="3126" w:type="pct"/>
            <w:noWrap w:val="0"/>
            <w:vAlign w:val="center"/>
          </w:tcPr>
          <w:p w14:paraId="1280D85D">
            <w:pPr>
              <w:shd w:val="clear"/>
              <w:jc w:val="both"/>
              <w:rPr>
                <w:rFonts w:hint="eastAsia" w:ascii="仿宋" w:hAnsi="仿宋" w:cs="仿宋"/>
                <w:b/>
                <w:bCs/>
                <w:color w:val="auto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cs="仿宋"/>
                <w:b/>
                <w:bCs/>
                <w:color w:val="auto"/>
                <w:highlight w:val="none"/>
              </w:rPr>
              <w:t>大写：</w:t>
            </w:r>
            <w:r>
              <w:rPr>
                <w:rFonts w:hint="eastAsia" w:ascii="仿宋" w:hAnsi="仿宋" w:cs="仿宋"/>
                <w:b/>
                <w:bCs/>
                <w:color w:val="auto"/>
                <w:highlight w:val="none"/>
                <w:u w:val="single"/>
                <w:lang w:val="en-US" w:eastAsia="zh-CN"/>
              </w:rPr>
              <w:t xml:space="preserve">人民币伍拾玖万贰仟零贰拾元整 </w:t>
            </w:r>
          </w:p>
          <w:p w14:paraId="08BD869A">
            <w:pPr>
              <w:shd w:val="clear"/>
              <w:tabs>
                <w:tab w:val="left" w:pos="1625"/>
                <w:tab w:val="center" w:pos="2615"/>
              </w:tabs>
              <w:jc w:val="left"/>
              <w:rPr>
                <w:rFonts w:hint="eastAsia" w:ascii="仿宋" w:hAnsi="仿宋" w:cs="仿宋"/>
                <w:b/>
                <w:bCs/>
                <w:color w:val="auto"/>
                <w:highlight w:val="none"/>
              </w:rPr>
            </w:pPr>
            <w:r>
              <w:rPr>
                <w:rFonts w:hint="eastAsia" w:ascii="仿宋" w:hAnsi="仿宋" w:cs="仿宋"/>
                <w:b/>
                <w:bCs/>
                <w:color w:val="auto"/>
                <w:highlight w:val="none"/>
              </w:rPr>
              <w:t>小写：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highlight w:val="none"/>
                <w:u w:val="single"/>
              </w:rPr>
              <w:t>¥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highlight w:val="none"/>
                <w:u w:val="single"/>
                <w:lang w:val="en-US" w:eastAsia="zh-CN"/>
              </w:rPr>
              <w:t xml:space="preserve"> 585100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highlight w:val="none"/>
                <w:u w:val="single"/>
              </w:rPr>
              <w:t>.00</w:t>
            </w:r>
          </w:p>
        </w:tc>
      </w:tr>
      <w:tr w14:paraId="75C63476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6" w:hRule="atLeast"/>
        </w:trPr>
        <w:tc>
          <w:tcPr>
            <w:tcW w:w="1873" w:type="pct"/>
            <w:noWrap w:val="0"/>
            <w:vAlign w:val="center"/>
          </w:tcPr>
          <w:p w14:paraId="1798A9E1">
            <w:pPr>
              <w:shd w:val="clear"/>
              <w:jc w:val="center"/>
              <w:rPr>
                <w:rFonts w:hint="eastAsia" w:ascii="仿宋" w:hAnsi="仿宋" w:cs="仿宋"/>
                <w:b/>
                <w:bCs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仿宋" w:hAnsi="仿宋" w:cs="仿宋"/>
                <w:b/>
                <w:bCs/>
                <w:color w:val="auto"/>
                <w:highlight w:val="none"/>
                <w:lang w:val="en-US" w:eastAsia="zh-CN"/>
              </w:rPr>
              <w:t>综合单价报价</w:t>
            </w:r>
          </w:p>
        </w:tc>
        <w:tc>
          <w:tcPr>
            <w:tcW w:w="3126" w:type="pct"/>
            <w:noWrap w:val="0"/>
            <w:vAlign w:val="center"/>
          </w:tcPr>
          <w:p w14:paraId="02576F15">
            <w:pPr>
              <w:shd w:val="clear"/>
              <w:jc w:val="both"/>
              <w:rPr>
                <w:rFonts w:hint="eastAsia" w:ascii="仿宋" w:hAnsi="仿宋" w:cs="仿宋"/>
                <w:b/>
                <w:bCs/>
                <w:color w:val="auto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cs="仿宋"/>
                <w:b/>
                <w:bCs/>
                <w:color w:val="auto"/>
                <w:highlight w:val="none"/>
              </w:rPr>
              <w:t>大写：</w:t>
            </w:r>
            <w:r>
              <w:rPr>
                <w:rFonts w:hint="eastAsia" w:ascii="仿宋" w:hAnsi="仿宋" w:cs="仿宋"/>
                <w:b/>
                <w:bCs/>
                <w:color w:val="auto"/>
                <w:highlight w:val="none"/>
                <w:u w:val="single"/>
                <w:lang w:val="en-US" w:eastAsia="zh-CN"/>
              </w:rPr>
              <w:t xml:space="preserve">每人每年每份人民币贰拾元整 </w:t>
            </w:r>
          </w:p>
          <w:p w14:paraId="5B6D070C">
            <w:pPr>
              <w:shd w:val="clear"/>
              <w:tabs>
                <w:tab w:val="left" w:pos="1625"/>
                <w:tab w:val="center" w:pos="2615"/>
              </w:tabs>
              <w:jc w:val="left"/>
              <w:rPr>
                <w:rFonts w:hint="default" w:ascii="仿宋" w:hAnsi="仿宋" w:cs="仿宋"/>
                <w:b/>
                <w:bCs/>
                <w:color w:val="auto"/>
                <w:highlight w:val="none"/>
                <w:lang w:val="en-US"/>
              </w:rPr>
            </w:pPr>
            <w:r>
              <w:rPr>
                <w:rFonts w:hint="eastAsia" w:ascii="仿宋" w:hAnsi="仿宋" w:cs="仿宋"/>
                <w:b/>
                <w:bCs/>
                <w:color w:val="auto"/>
                <w:highlight w:val="none"/>
              </w:rPr>
              <w:t>小写：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highlight w:val="none"/>
                <w:u w:val="single"/>
              </w:rPr>
              <w:t>¥</w:t>
            </w:r>
            <w:r>
              <w:rPr>
                <w:rFonts w:hint="eastAsia" w:ascii="仿宋" w:hAnsi="仿宋" w:cs="仿宋"/>
                <w:b/>
                <w:bCs/>
                <w:color w:val="auto"/>
                <w:highlight w:val="none"/>
                <w:u w:val="single"/>
                <w:lang w:val="en-US" w:eastAsia="zh-CN"/>
              </w:rPr>
              <w:t>20.00元/份/年/人</w:t>
            </w:r>
          </w:p>
        </w:tc>
      </w:tr>
      <w:tr w14:paraId="63592914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6" w:hRule="atLeast"/>
        </w:trPr>
        <w:tc>
          <w:tcPr>
            <w:tcW w:w="1873" w:type="pct"/>
            <w:noWrap w:val="0"/>
            <w:vAlign w:val="center"/>
          </w:tcPr>
          <w:p w14:paraId="40DA3ACE">
            <w:pPr>
              <w:shd w:val="clear"/>
              <w:jc w:val="center"/>
              <w:rPr>
                <w:rFonts w:hint="eastAsia" w:ascii="仿宋" w:hAnsi="仿宋" w:cs="仿宋"/>
                <w:b/>
                <w:bCs/>
                <w:color w:val="auto"/>
                <w:highlight w:val="none"/>
              </w:rPr>
            </w:pPr>
            <w:r>
              <w:rPr>
                <w:rFonts w:hint="eastAsia" w:ascii="仿宋" w:hAnsi="仿宋" w:cs="仿宋"/>
                <w:b/>
                <w:bCs/>
                <w:color w:val="auto"/>
                <w:highlight w:val="none"/>
              </w:rPr>
              <w:t>服务期是否响应</w:t>
            </w:r>
          </w:p>
        </w:tc>
        <w:tc>
          <w:tcPr>
            <w:tcW w:w="3126" w:type="pct"/>
            <w:noWrap w:val="0"/>
            <w:vAlign w:val="center"/>
          </w:tcPr>
          <w:p w14:paraId="2B2EFC63">
            <w:pPr>
              <w:shd w:val="clear"/>
              <w:ind w:firstLine="893" w:firstLineChars="0"/>
              <w:rPr>
                <w:rFonts w:hint="eastAsia" w:ascii="仿宋" w:hAnsi="仿宋" w:cs="仿宋"/>
                <w:b/>
                <w:bCs/>
                <w:color w:val="auto"/>
                <w:highlight w:val="none"/>
              </w:rPr>
            </w:pPr>
          </w:p>
        </w:tc>
      </w:tr>
      <w:tr w14:paraId="5D3CA171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7" w:hRule="atLeast"/>
        </w:trPr>
        <w:tc>
          <w:tcPr>
            <w:tcW w:w="1873" w:type="pct"/>
            <w:noWrap w:val="0"/>
            <w:vAlign w:val="center"/>
          </w:tcPr>
          <w:p w14:paraId="23D63B90">
            <w:pPr>
              <w:shd w:val="clear"/>
              <w:jc w:val="center"/>
              <w:rPr>
                <w:rFonts w:hint="eastAsia" w:ascii="仿宋" w:hAnsi="仿宋" w:cs="仿宋"/>
                <w:b/>
                <w:bCs/>
                <w:color w:val="auto"/>
                <w:highlight w:val="none"/>
              </w:rPr>
            </w:pPr>
            <w:r>
              <w:rPr>
                <w:rFonts w:hint="eastAsia" w:ascii="仿宋" w:hAnsi="仿宋" w:cs="仿宋"/>
                <w:b/>
                <w:bCs/>
                <w:color w:val="auto"/>
                <w:highlight w:val="none"/>
              </w:rPr>
              <w:t>付款方式是否响应</w:t>
            </w:r>
          </w:p>
        </w:tc>
        <w:tc>
          <w:tcPr>
            <w:tcW w:w="3126" w:type="pct"/>
            <w:noWrap w:val="0"/>
            <w:vAlign w:val="center"/>
          </w:tcPr>
          <w:p w14:paraId="4E2520FB">
            <w:pPr>
              <w:shd w:val="clear"/>
              <w:ind w:firstLine="602" w:firstLineChars="250"/>
              <w:rPr>
                <w:rFonts w:hint="eastAsia" w:ascii="仿宋" w:hAnsi="仿宋" w:cs="仿宋"/>
                <w:b/>
                <w:bCs/>
                <w:color w:val="auto"/>
                <w:highlight w:val="none"/>
              </w:rPr>
            </w:pPr>
          </w:p>
        </w:tc>
      </w:tr>
    </w:tbl>
    <w:p w14:paraId="009B4455">
      <w:pPr>
        <w:numPr>
          <w:ilvl w:val="0"/>
          <w:numId w:val="0"/>
        </w:numPr>
        <w:shd w:val="clear"/>
        <w:rPr>
          <w:rFonts w:hint="eastAsia" w:ascii="仿宋" w:hAnsi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kern w:val="2"/>
          <w:sz w:val="24"/>
          <w:lang w:val="en-US" w:eastAsia="zh-CN" w:bidi="ar-SA"/>
        </w:rPr>
        <w:t>1、</w:t>
      </w:r>
      <w:r>
        <w:rPr>
          <w:rFonts w:hint="eastAsia" w:ascii="仿宋" w:hAnsi="仿宋" w:cs="仿宋"/>
          <w:color w:val="auto"/>
          <w:highlight w:val="none"/>
        </w:rPr>
        <w:t>备注：服务期是否响应、付款方式是否响应填写“是或否”。</w:t>
      </w:r>
    </w:p>
    <w:p w14:paraId="56330AC5">
      <w:pPr>
        <w:pStyle w:val="2"/>
        <w:numPr>
          <w:ilvl w:val="0"/>
          <w:numId w:val="0"/>
        </w:numPr>
        <w:rPr>
          <w:rFonts w:hint="eastAsia" w:ascii="仿宋" w:hAnsi="仿宋" w:eastAsia="仿宋" w:cs="仿宋"/>
          <w:color w:val="auto"/>
          <w:kern w:val="2"/>
          <w:sz w:val="24"/>
          <w:highlight w:val="none"/>
          <w:u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4"/>
          <w:highlight w:val="none"/>
          <w:u w:val="none"/>
          <w:lang w:val="en-US" w:eastAsia="zh-CN" w:bidi="ar-SA"/>
        </w:rPr>
        <w:t>2、</w:t>
      </w:r>
      <w:r>
        <w:rPr>
          <w:rFonts w:hint="eastAsia" w:ascii="仿宋" w:hAnsi="仿宋" w:cs="仿宋"/>
          <w:color w:val="auto"/>
          <w:kern w:val="2"/>
          <w:sz w:val="24"/>
          <w:highlight w:val="none"/>
          <w:u w:val="none"/>
          <w:lang w:val="en-US" w:eastAsia="zh-CN" w:bidi="ar-SA"/>
        </w:rPr>
        <w:t>结算：</w:t>
      </w:r>
      <w:r>
        <w:rPr>
          <w:rFonts w:hint="eastAsia" w:ascii="仿宋" w:hAnsi="仿宋" w:eastAsia="仿宋" w:cs="仿宋"/>
          <w:color w:val="auto"/>
          <w:kern w:val="2"/>
          <w:sz w:val="24"/>
          <w:highlight w:val="none"/>
          <w:u w:val="none"/>
          <w:lang w:val="en-US" w:eastAsia="zh-CN" w:bidi="ar-SA"/>
        </w:rPr>
        <w:t>根据实际参保人数据实结算，最终结算价格=实际参保总人数</w:t>
      </w:r>
      <w:r>
        <w:rPr>
          <w:rFonts w:hint="default" w:ascii="Arial" w:hAnsi="Arial" w:eastAsia="仿宋" w:cs="Arial"/>
          <w:color w:val="auto"/>
          <w:kern w:val="2"/>
          <w:sz w:val="24"/>
          <w:highlight w:val="none"/>
          <w:u w:val="none"/>
          <w:lang w:val="en-US" w:eastAsia="zh-CN" w:bidi="ar-SA"/>
        </w:rPr>
        <w:t>×</w:t>
      </w:r>
      <w:r>
        <w:rPr>
          <w:rFonts w:hint="eastAsia" w:ascii="仿宋" w:hAnsi="仿宋" w:eastAsia="仿宋" w:cs="仿宋"/>
          <w:color w:val="auto"/>
          <w:kern w:val="2"/>
          <w:sz w:val="24"/>
          <w:highlight w:val="none"/>
          <w:u w:val="none"/>
          <w:lang w:val="en-US" w:eastAsia="zh-CN" w:bidi="ar-SA"/>
        </w:rPr>
        <w:t>综合单价（20.00元/</w:t>
      </w:r>
      <w:r>
        <w:rPr>
          <w:rFonts w:hint="eastAsia" w:ascii="仿宋" w:hAnsi="仿宋" w:cs="仿宋"/>
          <w:color w:val="auto"/>
          <w:kern w:val="2"/>
          <w:sz w:val="24"/>
          <w:highlight w:val="none"/>
          <w:u w:val="none"/>
          <w:lang w:val="en-US" w:eastAsia="zh-CN" w:bidi="ar-SA"/>
        </w:rPr>
        <w:t>份</w:t>
      </w:r>
      <w:r>
        <w:rPr>
          <w:rFonts w:hint="eastAsia" w:ascii="仿宋" w:hAnsi="仿宋" w:eastAsia="仿宋" w:cs="仿宋"/>
          <w:color w:val="auto"/>
          <w:kern w:val="2"/>
          <w:sz w:val="24"/>
          <w:highlight w:val="none"/>
          <w:u w:val="none"/>
          <w:lang w:val="en-US" w:eastAsia="zh-CN" w:bidi="ar-SA"/>
        </w:rPr>
        <w:t>/</w:t>
      </w:r>
      <w:r>
        <w:rPr>
          <w:rFonts w:hint="eastAsia" w:ascii="仿宋" w:hAnsi="仿宋" w:cs="仿宋"/>
          <w:color w:val="auto"/>
          <w:kern w:val="2"/>
          <w:sz w:val="24"/>
          <w:highlight w:val="none"/>
          <w:u w:val="none"/>
          <w:lang w:val="en-US" w:eastAsia="zh-CN" w:bidi="ar-SA"/>
        </w:rPr>
        <w:t>年</w:t>
      </w:r>
      <w:r>
        <w:rPr>
          <w:rFonts w:hint="eastAsia" w:ascii="仿宋" w:hAnsi="仿宋" w:eastAsia="仿宋" w:cs="仿宋"/>
          <w:color w:val="auto"/>
          <w:kern w:val="2"/>
          <w:sz w:val="24"/>
          <w:highlight w:val="none"/>
          <w:u w:val="none"/>
          <w:lang w:val="en-US" w:eastAsia="zh-CN" w:bidi="ar-SA"/>
        </w:rPr>
        <w:t>/</w:t>
      </w:r>
      <w:r>
        <w:rPr>
          <w:rFonts w:hint="eastAsia" w:ascii="仿宋" w:hAnsi="仿宋" w:cs="仿宋"/>
          <w:color w:val="auto"/>
          <w:kern w:val="2"/>
          <w:sz w:val="24"/>
          <w:highlight w:val="none"/>
          <w:u w:val="none"/>
          <w:lang w:val="en-US" w:eastAsia="zh-CN" w:bidi="ar-SA"/>
        </w:rPr>
        <w:t>人</w:t>
      </w:r>
      <w:r>
        <w:rPr>
          <w:rFonts w:hint="eastAsia" w:ascii="仿宋" w:hAnsi="仿宋" w:eastAsia="仿宋" w:cs="仿宋"/>
          <w:color w:val="auto"/>
          <w:kern w:val="2"/>
          <w:sz w:val="24"/>
          <w:highlight w:val="none"/>
          <w:u w:val="none"/>
          <w:lang w:val="en-US" w:eastAsia="zh-CN" w:bidi="ar-SA"/>
        </w:rPr>
        <w:t>），结算总金额不高于采购总预算。</w:t>
      </w:r>
    </w:p>
    <w:p w14:paraId="45306422">
      <w:pPr>
        <w:rPr>
          <w:rFonts w:hint="eastAsia" w:ascii="仿宋" w:hAnsi="仿宋" w:cs="仿宋"/>
          <w:color w:val="auto"/>
          <w:kern w:val="2"/>
          <w:sz w:val="24"/>
          <w:highlight w:val="none"/>
          <w:u w:val="none"/>
          <w:lang w:val="en-US" w:eastAsia="zh-CN" w:bidi="ar-SA"/>
        </w:rPr>
      </w:pPr>
      <w:r>
        <w:rPr>
          <w:rFonts w:hint="eastAsia" w:ascii="仿宋" w:hAnsi="仿宋" w:cs="仿宋"/>
          <w:b/>
          <w:bCs/>
          <w:color w:val="auto"/>
          <w:kern w:val="2"/>
          <w:sz w:val="24"/>
          <w:highlight w:val="none"/>
          <w:u w:val="none"/>
          <w:lang w:val="en-US" w:eastAsia="zh-CN" w:bidi="ar-SA"/>
        </w:rPr>
        <w:t>3、本项目为固定综合单价合同，投标供应商不进行价格竞争，</w:t>
      </w:r>
      <w:r>
        <w:rPr>
          <w:rFonts w:hint="eastAsia" w:ascii="仿宋" w:hAnsi="仿宋" w:cs="仿宋"/>
          <w:color w:val="auto"/>
          <w:kern w:val="2"/>
          <w:sz w:val="24"/>
          <w:highlight w:val="none"/>
          <w:u w:val="none"/>
          <w:lang w:val="en-US" w:eastAsia="zh-CN" w:bidi="ar-SA"/>
        </w:rPr>
        <w:t>但因需满足电子化系统要求，故投标供应商报价时，磋商总报价在本磋商报价表中统一按照585100.00元进行填报，综合单价在本磋商报</w:t>
      </w:r>
      <w:bookmarkStart w:id="0" w:name="_GoBack"/>
      <w:bookmarkEnd w:id="0"/>
      <w:r>
        <w:rPr>
          <w:rFonts w:hint="eastAsia" w:ascii="仿宋" w:hAnsi="仿宋" w:cs="仿宋"/>
          <w:color w:val="auto"/>
          <w:kern w:val="2"/>
          <w:sz w:val="24"/>
          <w:highlight w:val="none"/>
          <w:u w:val="none"/>
          <w:lang w:val="en-US" w:eastAsia="zh-CN" w:bidi="ar-SA"/>
        </w:rPr>
        <w:t>价表中统一按照每人每年每份保险费为20元进行填报。</w:t>
      </w:r>
    </w:p>
    <w:p w14:paraId="4E70DE07">
      <w:pPr>
        <w:pStyle w:val="2"/>
        <w:rPr>
          <w:rFonts w:hint="default"/>
          <w:color w:val="auto"/>
          <w:highlight w:val="none"/>
          <w:lang w:val="en-US"/>
        </w:rPr>
      </w:pPr>
      <w:r>
        <w:rPr>
          <w:rFonts w:hint="eastAsia" w:ascii="仿宋" w:hAnsi="仿宋" w:cs="仿宋"/>
          <w:color w:val="auto"/>
          <w:kern w:val="2"/>
          <w:sz w:val="24"/>
          <w:highlight w:val="none"/>
          <w:u w:val="none"/>
          <w:lang w:val="en-US" w:eastAsia="zh-CN" w:bidi="ar-SA"/>
        </w:rPr>
        <w:t>4、在电子化投标系统中单价（包括首次报价及最终报价）按照585100.00元进行填写，数量1，总价为585100.00元。</w:t>
      </w:r>
    </w:p>
    <w:p w14:paraId="4B37C463">
      <w:pPr>
        <w:rPr>
          <w:rFonts w:hint="default"/>
          <w:lang w:val="en-US"/>
        </w:rPr>
      </w:pPr>
    </w:p>
    <w:p w14:paraId="0A50E0B3">
      <w:pPr>
        <w:shd w:val="clear"/>
        <w:spacing w:line="480" w:lineRule="auto"/>
        <w:ind w:right="-161" w:firstLine="2650" w:firstLineChars="1100"/>
        <w:rPr>
          <w:rFonts w:hint="eastAsia" w:ascii="仿宋" w:hAnsi="仿宋" w:cs="仿宋"/>
          <w:b/>
          <w:bCs/>
          <w:color w:val="auto"/>
          <w:highlight w:val="none"/>
          <w:u w:val="single"/>
        </w:rPr>
      </w:pPr>
      <w:r>
        <w:rPr>
          <w:rFonts w:hint="eastAsia" w:ascii="仿宋" w:hAnsi="仿宋" w:cs="仿宋"/>
          <w:b/>
          <w:bCs/>
          <w:color w:val="auto"/>
          <w:highlight w:val="none"/>
          <w:lang w:val="en-US" w:eastAsia="zh-CN"/>
        </w:rPr>
        <w:t>投标</w:t>
      </w:r>
      <w:r>
        <w:rPr>
          <w:rFonts w:hint="eastAsia" w:ascii="仿宋" w:hAnsi="仿宋" w:cs="仿宋"/>
          <w:b/>
          <w:bCs/>
          <w:color w:val="auto"/>
          <w:highlight w:val="none"/>
        </w:rPr>
        <w:t>供应商：</w:t>
      </w:r>
      <w:r>
        <w:rPr>
          <w:rFonts w:hint="eastAsia" w:ascii="仿宋" w:hAnsi="仿宋" w:cs="仿宋"/>
          <w:b/>
          <w:bCs/>
          <w:color w:val="auto"/>
          <w:highlight w:val="none"/>
          <w:u w:val="single"/>
        </w:rPr>
        <w:t xml:space="preserve">            （公章）      </w:t>
      </w:r>
      <w:r>
        <w:rPr>
          <w:rFonts w:hint="eastAsia" w:ascii="仿宋" w:hAnsi="仿宋" w:cs="仿宋"/>
          <w:b/>
          <w:bCs/>
          <w:color w:val="auto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cs="仿宋"/>
          <w:b/>
          <w:bCs/>
          <w:color w:val="auto"/>
          <w:highlight w:val="none"/>
          <w:u w:val="single"/>
        </w:rPr>
        <w:t xml:space="preserve">    </w:t>
      </w:r>
      <w:r>
        <w:rPr>
          <w:rFonts w:hint="eastAsia" w:ascii="仿宋" w:hAnsi="仿宋" w:cs="仿宋"/>
          <w:b/>
          <w:bCs/>
          <w:color w:val="auto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cs="仿宋"/>
          <w:b/>
          <w:bCs/>
          <w:color w:val="auto"/>
          <w:highlight w:val="none"/>
          <w:u w:val="single"/>
        </w:rPr>
        <w:t xml:space="preserve"> </w:t>
      </w:r>
    </w:p>
    <w:p w14:paraId="16207A77">
      <w:pPr>
        <w:shd w:val="clear"/>
        <w:spacing w:line="480" w:lineRule="auto"/>
        <w:ind w:right="-161" w:firstLine="2650" w:firstLineChars="1100"/>
        <w:rPr>
          <w:rFonts w:hint="eastAsia" w:ascii="仿宋" w:hAnsi="仿宋" w:cs="仿宋"/>
          <w:b/>
          <w:bCs/>
          <w:color w:val="auto"/>
          <w:highlight w:val="none"/>
        </w:rPr>
      </w:pPr>
      <w:r>
        <w:rPr>
          <w:rFonts w:hint="eastAsia" w:ascii="仿宋" w:hAnsi="仿宋" w:cs="仿宋"/>
          <w:b/>
          <w:bCs/>
          <w:color w:val="auto"/>
          <w:highlight w:val="none"/>
        </w:rPr>
        <w:t>法定代表人或负责人或被授权</w:t>
      </w:r>
      <w:r>
        <w:rPr>
          <w:rFonts w:hint="eastAsia" w:ascii="仿宋" w:hAnsi="仿宋" w:cs="仿宋"/>
          <w:b/>
          <w:bCs/>
          <w:color w:val="auto"/>
          <w:highlight w:val="none"/>
          <w:lang w:val="en-US" w:eastAsia="zh-CN"/>
        </w:rPr>
        <w:t>人</w:t>
      </w:r>
      <w:r>
        <w:rPr>
          <w:rFonts w:hint="eastAsia" w:ascii="仿宋" w:hAnsi="仿宋" w:cs="仿宋"/>
          <w:b/>
          <w:bCs/>
          <w:color w:val="auto"/>
          <w:highlight w:val="none"/>
        </w:rPr>
        <w:t>（签字或盖章）：</w:t>
      </w:r>
      <w:r>
        <w:rPr>
          <w:rFonts w:hint="eastAsia" w:ascii="仿宋" w:hAnsi="仿宋" w:cs="仿宋"/>
          <w:b/>
          <w:bCs/>
          <w:color w:val="auto"/>
          <w:highlight w:val="none"/>
          <w:u w:val="single"/>
        </w:rPr>
        <w:t xml:space="preserve">       </w:t>
      </w:r>
    </w:p>
    <w:p w14:paraId="5E2E8FE8">
      <w:pPr>
        <w:shd w:val="clear"/>
        <w:ind w:firstLine="2650" w:firstLineChars="1100"/>
        <w:rPr>
          <w:rFonts w:hint="eastAsia" w:ascii="仿宋" w:hAnsi="仿宋" w:cs="仿宋"/>
          <w:b/>
          <w:bCs/>
          <w:color w:val="auto"/>
          <w:highlight w:val="none"/>
          <w:u w:val="single"/>
        </w:rPr>
      </w:pPr>
      <w:r>
        <w:rPr>
          <w:rFonts w:hint="eastAsia" w:ascii="仿宋" w:hAnsi="仿宋" w:cs="仿宋"/>
          <w:b/>
          <w:bCs/>
          <w:color w:val="auto"/>
          <w:highlight w:val="none"/>
        </w:rPr>
        <w:t>日期：</w:t>
      </w:r>
      <w:r>
        <w:rPr>
          <w:rFonts w:hint="eastAsia" w:ascii="仿宋" w:hAnsi="仿宋" w:cs="仿宋"/>
          <w:b/>
          <w:bCs/>
          <w:color w:val="auto"/>
          <w:highlight w:val="none"/>
          <w:u w:val="single"/>
        </w:rPr>
        <w:t xml:space="preserve">                              </w:t>
      </w:r>
      <w:r>
        <w:rPr>
          <w:rFonts w:hint="eastAsia" w:ascii="仿宋" w:hAnsi="仿宋" w:cs="仿宋"/>
          <w:b/>
          <w:bCs/>
          <w:color w:val="auto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cs="仿宋"/>
          <w:b/>
          <w:bCs/>
          <w:color w:val="auto"/>
          <w:highlight w:val="none"/>
          <w:u w:val="single"/>
        </w:rPr>
        <w:t xml:space="preserve">         </w:t>
      </w:r>
    </w:p>
    <w:p w14:paraId="20FA5C39">
      <w:pPr>
        <w:shd w:val="clear"/>
        <w:rPr>
          <w:color w:val="auto"/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NlYWI1NDg2MGQ5YjdlMzliMmM1N2NkYjNlNjAxMjcifQ=="/>
  </w:docVars>
  <w:rsids>
    <w:rsidRoot w:val="5EC81A0D"/>
    <w:rsid w:val="01B85F94"/>
    <w:rsid w:val="027F2F56"/>
    <w:rsid w:val="037B54CB"/>
    <w:rsid w:val="04116A03"/>
    <w:rsid w:val="09137F54"/>
    <w:rsid w:val="0B352404"/>
    <w:rsid w:val="0D1D75F3"/>
    <w:rsid w:val="0D3D5EE8"/>
    <w:rsid w:val="0D494CD9"/>
    <w:rsid w:val="0DC07915"/>
    <w:rsid w:val="0E325320"/>
    <w:rsid w:val="0EC266A4"/>
    <w:rsid w:val="0F4658A8"/>
    <w:rsid w:val="0F713C26"/>
    <w:rsid w:val="10637A13"/>
    <w:rsid w:val="11F34DC7"/>
    <w:rsid w:val="128E2A6C"/>
    <w:rsid w:val="160238AB"/>
    <w:rsid w:val="16B70AB9"/>
    <w:rsid w:val="17321EED"/>
    <w:rsid w:val="17F66BD0"/>
    <w:rsid w:val="18393F11"/>
    <w:rsid w:val="1CFA525B"/>
    <w:rsid w:val="20C067BC"/>
    <w:rsid w:val="21BF4CC5"/>
    <w:rsid w:val="243F14D2"/>
    <w:rsid w:val="2500187D"/>
    <w:rsid w:val="257B658D"/>
    <w:rsid w:val="25956985"/>
    <w:rsid w:val="25A86B8C"/>
    <w:rsid w:val="26C54B2C"/>
    <w:rsid w:val="27E232A4"/>
    <w:rsid w:val="2E262354"/>
    <w:rsid w:val="2E496043"/>
    <w:rsid w:val="2FA379D4"/>
    <w:rsid w:val="30C6397A"/>
    <w:rsid w:val="30DC13F0"/>
    <w:rsid w:val="3112096E"/>
    <w:rsid w:val="31393110"/>
    <w:rsid w:val="31D066C5"/>
    <w:rsid w:val="32917D76"/>
    <w:rsid w:val="3431735D"/>
    <w:rsid w:val="36A71B58"/>
    <w:rsid w:val="36BE1FB3"/>
    <w:rsid w:val="38CC58A6"/>
    <w:rsid w:val="3AB900AC"/>
    <w:rsid w:val="3B4E4F49"/>
    <w:rsid w:val="3BE118B8"/>
    <w:rsid w:val="3D8C1AA8"/>
    <w:rsid w:val="3D915310"/>
    <w:rsid w:val="3EC84D62"/>
    <w:rsid w:val="3F43088C"/>
    <w:rsid w:val="3FD92F96"/>
    <w:rsid w:val="413761CE"/>
    <w:rsid w:val="425828A0"/>
    <w:rsid w:val="42E3660E"/>
    <w:rsid w:val="43E507D4"/>
    <w:rsid w:val="456D21BF"/>
    <w:rsid w:val="45B05808"/>
    <w:rsid w:val="468477C0"/>
    <w:rsid w:val="49AA39E1"/>
    <w:rsid w:val="4CB9218D"/>
    <w:rsid w:val="4CCA7EF7"/>
    <w:rsid w:val="4CEC2563"/>
    <w:rsid w:val="4CF260C5"/>
    <w:rsid w:val="4DA92202"/>
    <w:rsid w:val="4EDB463D"/>
    <w:rsid w:val="4FF27E90"/>
    <w:rsid w:val="53195734"/>
    <w:rsid w:val="5590774E"/>
    <w:rsid w:val="57BE3782"/>
    <w:rsid w:val="57F549C2"/>
    <w:rsid w:val="58DE7204"/>
    <w:rsid w:val="5B045469"/>
    <w:rsid w:val="5BEB3A6B"/>
    <w:rsid w:val="5EC81A0D"/>
    <w:rsid w:val="5EF7101F"/>
    <w:rsid w:val="5F7A1C50"/>
    <w:rsid w:val="5FE315A4"/>
    <w:rsid w:val="61D94A0C"/>
    <w:rsid w:val="61EB6480"/>
    <w:rsid w:val="62F4112C"/>
    <w:rsid w:val="63584057"/>
    <w:rsid w:val="63C11BFC"/>
    <w:rsid w:val="64623D7C"/>
    <w:rsid w:val="6609788A"/>
    <w:rsid w:val="68EB3277"/>
    <w:rsid w:val="6A152CA1"/>
    <w:rsid w:val="6A644372"/>
    <w:rsid w:val="6AB256A5"/>
    <w:rsid w:val="6B1E5B86"/>
    <w:rsid w:val="6E2C5401"/>
    <w:rsid w:val="6FEF7AF1"/>
    <w:rsid w:val="725F2BB7"/>
    <w:rsid w:val="72930C07"/>
    <w:rsid w:val="72A2709C"/>
    <w:rsid w:val="732A61AD"/>
    <w:rsid w:val="745B7503"/>
    <w:rsid w:val="74CC0400"/>
    <w:rsid w:val="753541F8"/>
    <w:rsid w:val="76651358"/>
    <w:rsid w:val="775070C7"/>
    <w:rsid w:val="77D71596"/>
    <w:rsid w:val="785E5813"/>
    <w:rsid w:val="78D520BE"/>
    <w:rsid w:val="7B143789"/>
    <w:rsid w:val="7B6E2211"/>
    <w:rsid w:val="7CC55E61"/>
    <w:rsid w:val="7D060228"/>
    <w:rsid w:val="7D1C7A4B"/>
    <w:rsid w:val="7D741635"/>
    <w:rsid w:val="7E154BC6"/>
    <w:rsid w:val="7F5E113B"/>
    <w:rsid w:val="7FD64829"/>
    <w:rsid w:val="7FFA1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360" w:lineRule="auto"/>
    </w:pPr>
    <w:rPr>
      <w:rFonts w:ascii="Calibri" w:hAnsi="Calibri" w:eastAsia="仿宋" w:cs="Times New Roman"/>
      <w:kern w:val="2"/>
      <w:sz w:val="24"/>
      <w:lang w:val="en-US" w:eastAsia="zh-CN" w:bidi="ar-SA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widowControl w:val="0"/>
      <w:spacing w:before="260" w:after="260" w:line="415" w:lineRule="auto"/>
      <w:ind w:left="0" w:right="0"/>
      <w:jc w:val="both"/>
      <w:outlineLvl w:val="1"/>
    </w:pPr>
    <w:rPr>
      <w:rFonts w:ascii="Arial" w:hAnsi="Arial" w:eastAsia="黑体" w:cs="Times New Roman"/>
      <w:b/>
      <w:bCs/>
      <w:kern w:val="2"/>
      <w:sz w:val="32"/>
      <w:lang w:val="en-US" w:eastAsia="zh-CN" w:bidi="ar-SA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9">
    <w:name w:val="Default Paragraph Font"/>
    <w:autoRedefine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Heading4"/>
    <w:basedOn w:val="1"/>
    <w:next w:val="1"/>
    <w:autoRedefine/>
    <w:qFormat/>
    <w:uiPriority w:val="0"/>
    <w:pPr>
      <w:keepNext/>
      <w:jc w:val="both"/>
      <w:textAlignment w:val="baseline"/>
    </w:pPr>
    <w:rPr>
      <w:color w:val="FF0000"/>
      <w:kern w:val="2"/>
      <w:sz w:val="28"/>
      <w:u w:val="single"/>
      <w:lang w:val="en-US" w:eastAsia="zh-CN" w:bidi="ar-SA"/>
    </w:rPr>
  </w:style>
  <w:style w:type="paragraph" w:styleId="5">
    <w:name w:val="Body Text"/>
    <w:basedOn w:val="1"/>
    <w:next w:val="1"/>
    <w:autoRedefine/>
    <w:qFormat/>
    <w:uiPriority w:val="0"/>
    <w:pPr>
      <w:widowControl w:val="0"/>
      <w:spacing w:after="0"/>
      <w:jc w:val="both"/>
    </w:pPr>
    <w:rPr>
      <w:rFonts w:ascii="Times New Roman" w:hAnsi="Times New Roman" w:eastAsia="宋体" w:cs="Times New Roman"/>
      <w:b/>
      <w:bCs/>
      <w:kern w:val="2"/>
      <w:sz w:val="28"/>
      <w:lang w:val="en-US" w:eastAsia="zh-CN" w:bidi="ar-SA"/>
    </w:rPr>
  </w:style>
  <w:style w:type="paragraph" w:styleId="6">
    <w:name w:val="toc 1"/>
    <w:basedOn w:val="1"/>
    <w:next w:val="1"/>
    <w:autoRedefine/>
    <w:qFormat/>
    <w:uiPriority w:val="0"/>
    <w:pPr>
      <w:widowControl w:val="0"/>
      <w:spacing w:before="120" w:after="120"/>
      <w:ind w:left="0" w:right="0"/>
      <w:jc w:val="left"/>
    </w:pPr>
    <w:rPr>
      <w:rFonts w:ascii="Times New Roman" w:hAnsi="Times New Roman" w:eastAsia="宋体" w:cs="Times New Roman"/>
      <w:b/>
      <w:bCs/>
      <w:caps/>
      <w:kern w:val="2"/>
      <w:sz w:val="20"/>
      <w:lang w:val="en-US" w:eastAsia="zh-CN" w:bidi="ar-SA"/>
    </w:rPr>
  </w:style>
  <w:style w:type="paragraph" w:styleId="7">
    <w:name w:val="Body Text First Indent"/>
    <w:basedOn w:val="5"/>
    <w:autoRedefine/>
    <w:qFormat/>
    <w:uiPriority w:val="0"/>
    <w:pPr>
      <w:spacing w:after="120"/>
      <w:ind w:firstLine="420" w:firstLineChars="100"/>
    </w:pPr>
    <w:rPr>
      <w:rFonts w:ascii="Calibri" w:hAnsi="Calibri"/>
      <w:sz w:val="18"/>
      <w:szCs w:val="18"/>
    </w:rPr>
  </w:style>
  <w:style w:type="paragraph" w:customStyle="1" w:styleId="10">
    <w:name w:val="Table Text"/>
    <w:basedOn w:val="1"/>
    <w:autoRedefine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table" w:customStyle="1" w:styleId="11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392</Words>
  <Characters>447</Characters>
  <Lines>0</Lines>
  <Paragraphs>0</Paragraphs>
  <TotalTime>3</TotalTime>
  <ScaleCrop>false</ScaleCrop>
  <LinksUpToDate>false</LinksUpToDate>
  <CharactersWithSpaces>530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2022-12-12T11:13:00Z</dcterms:created>
  <dc:creator>陕西中技招标有限公司</dc:creator>
  <cp:lastModifiedBy>吐个泡泡</cp:lastModifiedBy>
  <dcterms:modified xsi:type="dcterms:W3CDTF">2026-09-10T07:50:02Z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97EEEFDC54C84F229AF6E2B761B8F334_13</vt:lpwstr>
  </property>
  <property fmtid="{D5CDD505-2E9C-101B-9397-08002B2CF9AE}" pid="4" name="KSOTemplateDocerSaveRecord">
    <vt:lpwstr>eyJoZGlkIjoiYWRiMGUwZTc3MmEzMzI3YzdmZTNiOTI5MzdjMDExNzIiLCJ1c2VySWQiOiI3NjU4MjU5OTIifQ==</vt:lpwstr>
  </property>
</Properties>
</file>