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版本号：FDZB-2026-016Z20260529001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陕西省疾控领域高质量数据集建设试点项目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FDZB-2026-016Z</w:t>
      </w:r>
      <w:r>
        <w:br/>
      </w:r>
      <w:r>
        <w:br/>
      </w:r>
      <w:r>
        <w:br/>
      </w:r>
    </w:p>
    <w:p>
      <w:pPr>
        <w:pStyle w:val="null3"/>
        <w:jc w:val="center"/>
        <w:outlineLvl w:val="2"/>
      </w:pPr>
      <w:r>
        <w:rPr>
          <w:rFonts w:ascii="仿宋_GB2312" w:hAnsi="仿宋_GB2312" w:cs="仿宋_GB2312" w:eastAsia="仿宋_GB2312"/>
          <w:sz w:val="28"/>
          <w:b/>
        </w:rPr>
        <w:t>陕西省疾病预防控制中心</w:t>
      </w:r>
    </w:p>
    <w:p>
      <w:pPr>
        <w:pStyle w:val="null3"/>
        <w:jc w:val="center"/>
        <w:outlineLvl w:val="2"/>
      </w:pPr>
      <w:r>
        <w:rPr>
          <w:rFonts w:ascii="仿宋_GB2312" w:hAnsi="仿宋_GB2312" w:cs="仿宋_GB2312" w:eastAsia="仿宋_GB2312"/>
          <w:sz w:val="28"/>
          <w:b/>
        </w:rPr>
        <w:t>陕西丰德项目管理有限公司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陕西丰德项目管理有限公司</w:t>
      </w:r>
      <w:r>
        <w:rPr>
          <w:rFonts w:ascii="仿宋_GB2312" w:hAnsi="仿宋_GB2312" w:cs="仿宋_GB2312" w:eastAsia="仿宋_GB2312"/>
        </w:rPr>
        <w:t>（以下简称“代理机构”）受</w:t>
      </w:r>
      <w:r>
        <w:rPr>
          <w:rFonts w:ascii="仿宋_GB2312" w:hAnsi="仿宋_GB2312" w:cs="仿宋_GB2312" w:eastAsia="仿宋_GB2312"/>
        </w:rPr>
        <w:t>陕西省疾病预防控制中心</w:t>
      </w:r>
      <w:r>
        <w:rPr>
          <w:rFonts w:ascii="仿宋_GB2312" w:hAnsi="仿宋_GB2312" w:cs="仿宋_GB2312" w:eastAsia="仿宋_GB2312"/>
        </w:rPr>
        <w:t>委托，拟对</w:t>
      </w:r>
      <w:r>
        <w:rPr>
          <w:rFonts w:ascii="仿宋_GB2312" w:hAnsi="仿宋_GB2312" w:cs="仿宋_GB2312" w:eastAsia="仿宋_GB2312"/>
        </w:rPr>
        <w:t>陕西省疾控领域高质量数据集建设试点项目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FDZB-2026-016Z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陕西省疾控领域高质量数据集建设试点项目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国家疾控相关工作要求，统筹负责陕西省完成疾控人工智能高质量数据集建设任务。重点提升全省疾控系统在数据采集、清洗、归类、标注等关键环节的标准化、规范化能力，构建源头可溯、质量可控、安全可信的核心数据资源库。在此基础上，负责开展基于高质量数据集的人工智能应用探索，聚焦陕西疾控行业可信数据空间、传染病风险等级评价高质量数据集、陕西省结核病患者治疗依从性的智能化场景，依托可信数据空间实现疾控数据可信流通、安全共享，推动全省疾控业务数字化转型与效能提升，全面增强全省疾控信息化支撑水平，服务“健康中国”公共卫生事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法定代表人授权委托书：供应商应授权合法的人员参加磋商全过程，其中法定代表人直接参加磋商的，须出具法定代表人身份证明，并与营业执照上信息一致。法定代表人授权代表参加磋商的，须出具法定代表人授权委托书及授权代表身份证（被授权人须提供磋商截止时间前近三个月内任意一个月社保缴纳证明材料）。</w:t>
      </w:r>
    </w:p>
    <w:p>
      <w:pPr>
        <w:pStyle w:val="null3"/>
      </w:pPr>
      <w:r>
        <w:rPr>
          <w:rFonts w:ascii="仿宋_GB2312" w:hAnsi="仿宋_GB2312" w:cs="仿宋_GB2312" w:eastAsia="仿宋_GB2312"/>
        </w:rPr>
        <w:t>3、社会保障资金缴纳证明：提供磋商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4、税收缴纳证明：提供磋商响应文件递交截止时间前一年内至少一个月的纳税证明或完税证明，纳税证明或完税证明上应有代收机构或税务机关的公章或业务专用章。依法免税的单位应提供相关证明材料。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5、履行合同的承诺函：供应商在人员、设备等方面具有相应的服务能力并提供承诺函。</w:t>
      </w:r>
    </w:p>
    <w:p>
      <w:pPr>
        <w:pStyle w:val="null3"/>
      </w:pPr>
      <w:r>
        <w:rPr>
          <w:rFonts w:ascii="仿宋_GB2312" w:hAnsi="仿宋_GB2312" w:cs="仿宋_GB2312" w:eastAsia="仿宋_GB2312"/>
        </w:rPr>
        <w:t>6、书面声明：提供参加本次政府采购活动前三年内在经营活动中没有重大违法记录的书面声明。</w:t>
      </w:r>
    </w:p>
    <w:p>
      <w:pPr>
        <w:pStyle w:val="null3"/>
      </w:pPr>
      <w:r>
        <w:rPr>
          <w:rFonts w:ascii="仿宋_GB2312" w:hAnsi="仿宋_GB2312" w:cs="仿宋_GB2312" w:eastAsia="仿宋_GB2312"/>
        </w:rPr>
        <w:t>7、企业信誉：供应商不得为“信用中国”网站（www.creditchina.gov.cn）列入失信被执行人、重大税收违法失信主体，不得为“中国政府采购网”（www.ccgp.gov.cn）政府采购严重违法失信行为记录中的供应商。</w:t>
      </w:r>
    </w:p>
    <w:p>
      <w:pPr>
        <w:pStyle w:val="null3"/>
      </w:pPr>
      <w:r>
        <w:rPr>
          <w:rFonts w:ascii="仿宋_GB2312" w:hAnsi="仿宋_GB2312" w:cs="仿宋_GB2312" w:eastAsia="仿宋_GB2312"/>
        </w:rPr>
        <w:t>8、联合体：本项目不允许联合体(提供非联合体声明函)。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陕西省碑林区和平门外建东街3号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029-82476605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陕西丰德项目管理有限公司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陕西省西安市雁塔区天地源悦熙广场2号楼19层11901室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王明珠、史莉君、孙轩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029-88813539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代理服务费收费标准：以招标项目各标段中标金额为基数，参照国家计委关于《招标代理服务收费管理暂行办法》的通知(计价格[2002]1980号)及发改办价格[2003]857号规定的标准收取招标代理服务费。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陕西省疾病预防控制中心</w:t>
      </w:r>
      <w:r>
        <w:rPr>
          <w:rFonts w:ascii="仿宋_GB2312" w:hAnsi="仿宋_GB2312" w:cs="仿宋_GB2312" w:eastAsia="仿宋_GB2312"/>
        </w:rPr>
        <w:t>和</w:t>
      </w:r>
      <w:r>
        <w:rPr>
          <w:rFonts w:ascii="仿宋_GB2312" w:hAnsi="仿宋_GB2312" w:cs="仿宋_GB2312" w:eastAsia="仿宋_GB2312"/>
        </w:rPr>
        <w:t>陕西丰德项目管理有限公司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陕西丰德项目管理有限公司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陕西丰德项目管理有限公司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规范，严格遵循《可信数据空间发展行动计划（2024—2028年）》、《高质量数据集建设指引》及疾控领域专项标准，确保成果的规范性、可落地性与实用性，数据集质量达到人工智能模型训练核心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陕西丰德项目管理有限公司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联系人：孙轩</w:t>
      </w:r>
    </w:p>
    <w:p>
      <w:pPr>
        <w:pStyle w:val="null3"/>
      </w:pPr>
      <w:r>
        <w:rPr>
          <w:rFonts w:ascii="仿宋_GB2312" w:hAnsi="仿宋_GB2312" w:cs="仿宋_GB2312" w:eastAsia="仿宋_GB2312"/>
        </w:rPr>
        <w:t>联系电话：029-88813539</w:t>
      </w:r>
    </w:p>
    <w:p>
      <w:pPr>
        <w:pStyle w:val="null3"/>
      </w:pPr>
      <w:r>
        <w:rPr>
          <w:rFonts w:ascii="仿宋_GB2312" w:hAnsi="仿宋_GB2312" w:cs="仿宋_GB2312" w:eastAsia="仿宋_GB2312"/>
        </w:rPr>
        <w:t>地址：陕西省西安市雁塔区天地源悦熙广场2号楼19层11901室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国家疾控相关工作要求，统筹负责陕西省完成疾控人工智能高质量数据集建设任务。重点提升全省疾控系统在数据采集、清洗、归类、标注等关键环节的标准化、规范化能力，构建源头可溯、质量可控、安全可信的核心数据资源库。在此基础上，负责开展基于高质量数据集的人工智能应用探索，聚焦陕西疾控行业可信数据空间、传染病风险等级评价高质量数据集、陕西省结核病患者治疗依从性的智能化场景，依托可信数据空间实现疾控数据可信流通、安全共享，推动全省疾控业务数字化转型与效能提升，全面增强全省疾控信息化支撑水平，服务“健康中国”公共卫生事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陕西省疾控领域高质量数据集建设试点项目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标的名称：陕西省疾控领域高质量数据集建设试点项目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FF"/>
              </w:rPr>
              <w:t>1</w:t>
            </w:r>
            <w:r>
              <w:rPr>
                <w:rFonts w:ascii="仿宋_GB2312" w:hAnsi="仿宋_GB2312" w:cs="仿宋_GB2312" w:eastAsia="仿宋_GB2312"/>
                <w:sz w:val="22"/>
                <w:b/>
                <w:color w:val="0000FF"/>
              </w:rPr>
              <w:t>、</w:t>
            </w:r>
            <w:r>
              <w:rPr>
                <w:rFonts w:ascii="仿宋_GB2312" w:hAnsi="仿宋_GB2312" w:cs="仿宋_GB2312" w:eastAsia="仿宋_GB2312"/>
                <w:sz w:val="22"/>
                <w:b/>
                <w:color w:val="0000FF"/>
              </w:rPr>
              <w:t>建设背景</w:t>
            </w:r>
          </w:p>
          <w:p>
            <w:pPr>
              <w:pStyle w:val="null3"/>
              <w:ind w:firstLine="560"/>
              <w:jc w:val="left"/>
            </w:pPr>
            <w:r>
              <w:rPr>
                <w:rFonts w:ascii="仿宋_GB2312" w:hAnsi="仿宋_GB2312" w:cs="仿宋_GB2312" w:eastAsia="仿宋_GB2312"/>
                <w:sz w:val="22"/>
                <w:color w:val="0000FF"/>
              </w:rPr>
              <w:t>国家高度重视人工智能应用及高质量数据集建设，先后发布了《国家疾控局综合司关于印发疾病预防控制领域</w:t>
            </w:r>
            <w:r>
              <w:rPr>
                <w:rFonts w:ascii="仿宋_GB2312" w:hAnsi="仿宋_GB2312" w:cs="仿宋_GB2312" w:eastAsia="仿宋_GB2312"/>
                <w:sz w:val="22"/>
                <w:color w:val="0000FF"/>
              </w:rPr>
              <w:t>“人工智能+”三年实施方案（2025—2027年）的通知》（国疾控综规财发〔2024〕117号）、《国家疾控局综合司关于印发疾病预防控制领域“人工智能+”典型应用场景指引的通知》（国疾控综规财发〔2024〕15号）、《国家疾控局综合司关于印发推进疾病预防控制领域新一代“人工智能＋”行动三年工作方案(2025-2027年)等文件的通知》(国疾控综规财发〔2025〕14号)、《国家疾控局综合司关于做好疾控领域人工智能高质量数据集建设的通知》（国疾控综规财发〔2025〕16号）文件及要求。结合《可信数据空间发展行动计划（2024—2028年）》、《高质量数据集建设指引》等国家层面相关建设标准，明确疾控领域可信数据空间与高质量数据集建设的核心导向。</w:t>
            </w:r>
          </w:p>
          <w:p>
            <w:pPr>
              <w:pStyle w:val="null3"/>
              <w:ind w:firstLine="560"/>
              <w:jc w:val="left"/>
            </w:pPr>
            <w:r>
              <w:rPr>
                <w:rFonts w:ascii="仿宋_GB2312" w:hAnsi="仿宋_GB2312" w:cs="仿宋_GB2312" w:eastAsia="仿宋_GB2312"/>
                <w:sz w:val="22"/>
                <w:color w:val="0000FF"/>
              </w:rPr>
              <w:t>按照国家及省级的统一部署，陕西省负责参与陕西疾控行业可信数据空间、</w:t>
            </w:r>
            <w:r>
              <w:rPr>
                <w:rFonts w:ascii="仿宋_GB2312" w:hAnsi="仿宋_GB2312" w:cs="仿宋_GB2312" w:eastAsia="仿宋_GB2312"/>
                <w:sz w:val="22"/>
                <w:color w:val="0000FF"/>
              </w:rPr>
              <w:t>传染病风险等级评价高质量数据集</w:t>
            </w:r>
            <w:r>
              <w:rPr>
                <w:rFonts w:ascii="仿宋_GB2312" w:hAnsi="仿宋_GB2312" w:cs="仿宋_GB2312" w:eastAsia="仿宋_GB2312"/>
                <w:sz w:val="22"/>
                <w:color w:val="0000FF"/>
              </w:rPr>
              <w:t>、陕西省结核病患者治疗依从性数据集的建设工作，从而有效推进陕西省疾控领域人工智能高质量数据集建设，完善疾控数据治理体系，推进人工智能应用能力提升，助力公共卫生治理体系和治理能力现代化。</w:t>
            </w:r>
          </w:p>
          <w:p>
            <w:pPr>
              <w:pStyle w:val="null3"/>
            </w:pPr>
            <w:r>
              <w:rPr>
                <w:rFonts w:ascii="仿宋_GB2312" w:hAnsi="仿宋_GB2312" w:cs="仿宋_GB2312" w:eastAsia="仿宋_GB2312"/>
                <w:sz w:val="22"/>
                <w:b/>
                <w:color w:val="0000FF"/>
              </w:rPr>
              <w:t>2、</w:t>
            </w:r>
            <w:r>
              <w:rPr>
                <w:rFonts w:ascii="仿宋_GB2312" w:hAnsi="仿宋_GB2312" w:cs="仿宋_GB2312" w:eastAsia="仿宋_GB2312"/>
                <w:sz w:val="22"/>
                <w:b/>
                <w:color w:val="0000FF"/>
              </w:rPr>
              <w:t>服务目标</w:t>
            </w:r>
          </w:p>
          <w:p>
            <w:pPr>
              <w:pStyle w:val="null3"/>
              <w:ind w:firstLine="560"/>
              <w:jc w:val="left"/>
            </w:pPr>
            <w:r>
              <w:rPr>
                <w:rFonts w:ascii="仿宋_GB2312" w:hAnsi="仿宋_GB2312" w:cs="仿宋_GB2312" w:eastAsia="仿宋_GB2312"/>
                <w:sz w:val="22"/>
                <w:color w:val="0000FF"/>
              </w:rPr>
              <w:t>按照国家疾控相关工作要求，统筹负责陕西省完成疾控人工智能高质量数据集建设任务。重点提升全省疾控系统在数据采集、清洗、归类、标注等关键环节的标准化、规范化能力，构建源头可溯、质量可控、安全可信的核心数据资源库。在此基础上，负责开展基于高质量数据集的人工智能应用探索，聚焦陕西疾控行业可信数据空间、</w:t>
            </w:r>
            <w:r>
              <w:rPr>
                <w:rFonts w:ascii="仿宋_GB2312" w:hAnsi="仿宋_GB2312" w:cs="仿宋_GB2312" w:eastAsia="仿宋_GB2312"/>
                <w:sz w:val="22"/>
                <w:color w:val="0000FF"/>
              </w:rPr>
              <w:t>传染病风险等级评价高质量数据集</w:t>
            </w:r>
            <w:r>
              <w:rPr>
                <w:rFonts w:ascii="仿宋_GB2312" w:hAnsi="仿宋_GB2312" w:cs="仿宋_GB2312" w:eastAsia="仿宋_GB2312"/>
                <w:sz w:val="22"/>
                <w:color w:val="0000FF"/>
              </w:rPr>
              <w:t>、陕西省结核病患者治疗依从性的智能化场景，依托可信数据空间实现疾控数据可信流通、安全共享，推动全省疾控业务数字化转型与效能提升，全面增强全省疾控信息化支撑水平，服务</w:t>
            </w:r>
            <w:r>
              <w:rPr>
                <w:rFonts w:ascii="仿宋_GB2312" w:hAnsi="仿宋_GB2312" w:cs="仿宋_GB2312" w:eastAsia="仿宋_GB2312"/>
                <w:sz w:val="22"/>
                <w:color w:val="0000FF"/>
              </w:rPr>
              <w:t>“健康中国”公共卫生事业高质量发展。</w:t>
            </w:r>
          </w:p>
          <w:p>
            <w:pPr>
              <w:pStyle w:val="null3"/>
            </w:pPr>
            <w:r>
              <w:rPr>
                <w:rFonts w:ascii="仿宋_GB2312" w:hAnsi="仿宋_GB2312" w:cs="仿宋_GB2312" w:eastAsia="仿宋_GB2312"/>
                <w:sz w:val="22"/>
                <w:b/>
                <w:color w:val="0000FF"/>
              </w:rPr>
              <w:t>3、</w:t>
            </w:r>
            <w:r>
              <w:rPr>
                <w:rFonts w:ascii="仿宋_GB2312" w:hAnsi="仿宋_GB2312" w:cs="仿宋_GB2312" w:eastAsia="仿宋_GB2312"/>
                <w:sz w:val="22"/>
                <w:b/>
                <w:color w:val="0000FF"/>
              </w:rPr>
              <w:t>服务内容</w:t>
            </w:r>
          </w:p>
          <w:p>
            <w:pPr>
              <w:pStyle w:val="null3"/>
              <w:ind w:firstLine="560"/>
              <w:jc w:val="left"/>
            </w:pPr>
            <w:r>
              <w:rPr>
                <w:rFonts w:ascii="仿宋_GB2312" w:hAnsi="仿宋_GB2312" w:cs="仿宋_GB2312" w:eastAsia="仿宋_GB2312"/>
                <w:sz w:val="22"/>
                <w:color w:val="0000FF"/>
              </w:rPr>
              <w:t>项目负责人可自行组建团队，但建议核心技术骨干具备公共卫生与预防医学、临床医学、统计学等领域的</w:t>
            </w:r>
            <w:r>
              <w:rPr>
                <w:rFonts w:ascii="仿宋_GB2312" w:hAnsi="仿宋_GB2312" w:cs="仿宋_GB2312" w:eastAsia="仿宋_GB2312"/>
                <w:sz w:val="22"/>
                <w:color w:val="0000FF"/>
              </w:rPr>
              <w:t>博士学位或高级职称人才</w:t>
            </w:r>
            <w:r>
              <w:rPr>
                <w:rFonts w:ascii="仿宋_GB2312" w:hAnsi="仿宋_GB2312" w:cs="仿宋_GB2312" w:eastAsia="仿宋_GB2312"/>
                <w:sz w:val="22"/>
                <w:color w:val="0000FF"/>
              </w:rPr>
              <w:t>，熟悉传染病等纵向队列数据的建设，以及前期有将人工智能技术应用于医疗卫生事业的成功经验。项目团队需要完成下述服务内容：</w:t>
            </w:r>
          </w:p>
          <w:p>
            <w:pPr>
              <w:pStyle w:val="null3"/>
              <w:jc w:val="left"/>
            </w:pPr>
            <w:r>
              <w:rPr>
                <w:rFonts w:ascii="仿宋_GB2312" w:hAnsi="仿宋_GB2312" w:cs="仿宋_GB2312" w:eastAsia="仿宋_GB2312"/>
                <w:sz w:val="22"/>
                <w:b/>
                <w:color w:val="0000FF"/>
              </w:rPr>
              <w:t>3.1.</w:t>
            </w:r>
            <w:r>
              <w:rPr>
                <w:rFonts w:ascii="仿宋_GB2312" w:hAnsi="仿宋_GB2312" w:cs="仿宋_GB2312" w:eastAsia="仿宋_GB2312"/>
                <w:sz w:val="22"/>
                <w:b/>
                <w:color w:val="0000FF"/>
              </w:rPr>
              <w:t>陕西省疾控行业可信数据空间研究</w:t>
            </w:r>
          </w:p>
          <w:p>
            <w:pPr>
              <w:pStyle w:val="null3"/>
              <w:ind w:firstLine="560"/>
              <w:jc w:val="left"/>
            </w:pPr>
            <w:r>
              <w:rPr>
                <w:rFonts w:ascii="仿宋_GB2312" w:hAnsi="仿宋_GB2312" w:cs="仿宋_GB2312" w:eastAsia="仿宋_GB2312"/>
                <w:sz w:val="22"/>
                <w:color w:val="0000FF"/>
                <w:shd w:fill="FFFFFF" w:val="clear"/>
              </w:rPr>
              <w:t>以支撑陕西省疾控行业数据安全共享与高效应用为核心目标，系统研究可信数据空间国家标准、行业规范与前沿发展趋势，对标《可信数据空间发展行动计划（</w:t>
            </w:r>
            <w:r>
              <w:rPr>
                <w:rFonts w:ascii="仿宋_GB2312" w:hAnsi="仿宋_GB2312" w:cs="仿宋_GB2312" w:eastAsia="仿宋_GB2312"/>
                <w:sz w:val="22"/>
                <w:color w:val="0000FF"/>
                <w:shd w:fill="FFFFFF" w:val="clear"/>
              </w:rPr>
              <w:t>2024—2028年）》中可信管控、资源交互、价值共创三大核心能力要求，结合陕西省疾控行业数据资源现状与发展基础，制定符合本省实际的疾控行业可信数据空间数据标准及技术实施方案，最终形成可落地、可推广的陕西省传染病监测数据可信数据空间标准规范，为全省疾控数据治理体系建设提供技术支撑。</w:t>
            </w:r>
          </w:p>
          <w:p>
            <w:pPr>
              <w:pStyle w:val="null3"/>
              <w:jc w:val="left"/>
            </w:pPr>
            <w:r>
              <w:rPr>
                <w:rFonts w:ascii="仿宋_GB2312" w:hAnsi="仿宋_GB2312" w:cs="仿宋_GB2312" w:eastAsia="仿宋_GB2312"/>
                <w:sz w:val="22"/>
                <w:b/>
                <w:color w:val="0000FF"/>
              </w:rPr>
              <w:t>3.1.1.</w:t>
            </w:r>
            <w:r>
              <w:rPr>
                <w:rFonts w:ascii="仿宋_GB2312" w:hAnsi="仿宋_GB2312" w:cs="仿宋_GB2312" w:eastAsia="仿宋_GB2312"/>
                <w:sz w:val="22"/>
                <w:b/>
                <w:color w:val="0000FF"/>
              </w:rPr>
              <w:t>数据资源盘点及标准规范制定</w:t>
            </w:r>
          </w:p>
          <w:p>
            <w:pPr>
              <w:pStyle w:val="null3"/>
              <w:ind w:firstLine="560"/>
              <w:jc w:val="left"/>
            </w:pPr>
            <w:r>
              <w:rPr>
                <w:rFonts w:ascii="仿宋_GB2312" w:hAnsi="仿宋_GB2312" w:cs="仿宋_GB2312" w:eastAsia="仿宋_GB2312"/>
                <w:sz w:val="22"/>
                <w:color w:val="0000FF"/>
                <w:shd w:fill="FFFFFF" w:val="clear"/>
              </w:rPr>
              <w:t>1、</w:t>
            </w:r>
            <w:r>
              <w:rPr>
                <w:rFonts w:ascii="仿宋_GB2312" w:hAnsi="仿宋_GB2312" w:cs="仿宋_GB2312" w:eastAsia="仿宋_GB2312"/>
                <w:sz w:val="22"/>
                <w:color w:val="0000FF"/>
                <w:shd w:fill="FFFFFF" w:val="clear"/>
              </w:rPr>
              <w:t>资料收集：以国家疾控局、陕西省疾控中心、相关行业协会权威数据库为核心来源，全面收集国内外可信数据空间领域的国家标准、行业规范、技术白皮书及最新研究报告，预计完成</w:t>
            </w:r>
            <w:r>
              <w:rPr>
                <w:rFonts w:ascii="仿宋_GB2312" w:hAnsi="仿宋_GB2312" w:cs="仿宋_GB2312" w:eastAsia="仿宋_GB2312"/>
                <w:sz w:val="22"/>
                <w:color w:val="0000FF"/>
                <w:shd w:fill="FFFFFF" w:val="clear"/>
              </w:rPr>
              <w:t>50-80 份核心资料的归集与整理，确保资料的权威性与时效性。</w:t>
            </w:r>
          </w:p>
          <w:p>
            <w:pPr>
              <w:pStyle w:val="null3"/>
              <w:ind w:firstLine="560"/>
              <w:jc w:val="left"/>
            </w:pPr>
            <w:r>
              <w:rPr>
                <w:rFonts w:ascii="仿宋_GB2312" w:hAnsi="仿宋_GB2312" w:cs="仿宋_GB2312" w:eastAsia="仿宋_GB2312"/>
                <w:sz w:val="22"/>
                <w:color w:val="0000FF"/>
                <w:shd w:fill="FFFFFF" w:val="clear"/>
              </w:rPr>
              <w:t>2、</w:t>
            </w:r>
            <w:r>
              <w:rPr>
                <w:rFonts w:ascii="仿宋_GB2312" w:hAnsi="仿宋_GB2312" w:cs="仿宋_GB2312" w:eastAsia="仿宋_GB2312"/>
                <w:sz w:val="22"/>
                <w:color w:val="0000FF"/>
                <w:shd w:fill="FFFFFF" w:val="clear"/>
              </w:rPr>
              <w:t>深入研读：组建不少于</w:t>
            </w:r>
            <w:r>
              <w:rPr>
                <w:rFonts w:ascii="仿宋_GB2312" w:hAnsi="仿宋_GB2312" w:cs="仿宋_GB2312" w:eastAsia="仿宋_GB2312"/>
                <w:sz w:val="22"/>
                <w:color w:val="0000FF"/>
                <w:shd w:fill="FFFFFF" w:val="clear"/>
              </w:rPr>
              <w:t>5 人的专业研究团队，对收集的资料开展系统性研读与分析，重点梳理可信数据空间的关键技术路径、典型应用模式及产业发展脉络，结合疾控行业数据敏感、隐私保护要求高的特点，形成一套适用于疾控领域的可信数据空间技术规范（含数据接入标准、数据质量评价标准、数据流通安全标准）。</w:t>
            </w:r>
          </w:p>
          <w:p>
            <w:pPr>
              <w:pStyle w:val="null3"/>
              <w:ind w:firstLine="560"/>
              <w:jc w:val="left"/>
            </w:pPr>
            <w:r>
              <w:rPr>
                <w:rFonts w:ascii="仿宋_GB2312" w:hAnsi="仿宋_GB2312" w:cs="仿宋_GB2312" w:eastAsia="仿宋_GB2312"/>
                <w:sz w:val="22"/>
                <w:color w:val="0000FF"/>
                <w:shd w:fill="FFFFFF" w:val="clear"/>
              </w:rPr>
              <w:t>3、</w:t>
            </w:r>
            <w:r>
              <w:rPr>
                <w:rFonts w:ascii="仿宋_GB2312" w:hAnsi="仿宋_GB2312" w:cs="仿宋_GB2312" w:eastAsia="仿宋_GB2312"/>
                <w:sz w:val="22"/>
                <w:color w:val="0000FF"/>
                <w:shd w:fill="FFFFFF" w:val="clear"/>
              </w:rPr>
              <w:t>大数据领域专家、公共卫生专家、疾控业务骨干参与，结合资料研读成果与行业实践经验，分析可信数据空间在公共卫生领域的重点方向与应用趋势，，聚焦疾控数据共享安全、隐私保护核心需求，形成《陕西省疾控可信数据空间数据分级分类指南》、《跨机构数据共享交换协议模板》等标准规范，明确数据分级分类管控要求、跨机构共享机制。</w:t>
            </w:r>
          </w:p>
          <w:p>
            <w:pPr>
              <w:pStyle w:val="null3"/>
              <w:jc w:val="left"/>
            </w:pPr>
            <w:r>
              <w:rPr>
                <w:rFonts w:ascii="仿宋_GB2312" w:hAnsi="仿宋_GB2312" w:cs="仿宋_GB2312" w:eastAsia="仿宋_GB2312"/>
                <w:sz w:val="22"/>
                <w:b/>
                <w:color w:val="0000FF"/>
              </w:rPr>
              <w:t>3.1.2.</w:t>
            </w:r>
            <w:r>
              <w:rPr>
                <w:rFonts w:ascii="仿宋_GB2312" w:hAnsi="仿宋_GB2312" w:cs="仿宋_GB2312" w:eastAsia="仿宋_GB2312"/>
                <w:sz w:val="22"/>
                <w:b/>
                <w:color w:val="0000FF"/>
              </w:rPr>
              <w:t>陕西疾控行业基础调研</w:t>
            </w:r>
          </w:p>
          <w:p>
            <w:pPr>
              <w:pStyle w:val="null3"/>
              <w:ind w:firstLine="560"/>
              <w:jc w:val="left"/>
            </w:pPr>
            <w:r>
              <w:rPr>
                <w:rFonts w:ascii="仿宋_GB2312" w:hAnsi="仿宋_GB2312" w:cs="仿宋_GB2312" w:eastAsia="仿宋_GB2312"/>
                <w:sz w:val="22"/>
                <w:color w:val="0000FF"/>
                <w:shd w:fill="FFFFFF" w:val="clear"/>
              </w:rPr>
              <w:t>1、</w:t>
            </w:r>
            <w:r>
              <w:rPr>
                <w:rFonts w:ascii="仿宋_GB2312" w:hAnsi="仿宋_GB2312" w:cs="仿宋_GB2312" w:eastAsia="仿宋_GB2312"/>
                <w:sz w:val="22"/>
                <w:color w:val="0000FF"/>
                <w:shd w:fill="FFFFFF" w:val="clear"/>
              </w:rPr>
              <w:t>数据资源梳理：依据国家及陕西省数据资源管理相关文件要求，对陕西省疾控行业现有监测数据及待纳入管理的潜在数据资源的采集、存储、交换及共享机制开展全面梳理，覆盖基础信息资源及核心业务资源，具体包含人口健康档案、传染病监测、免疫规划、外部门共享交换数据等关键数据项，明确各数据细目的数据量、来源渠道、更新频率、数据质量及存储方式，最终形成《陕西省疾控行业数据资源清单》。</w:t>
            </w:r>
          </w:p>
          <w:p>
            <w:pPr>
              <w:pStyle w:val="null3"/>
              <w:ind w:firstLine="560"/>
              <w:jc w:val="left"/>
            </w:pPr>
            <w:r>
              <w:rPr>
                <w:rFonts w:ascii="仿宋_GB2312" w:hAnsi="仿宋_GB2312" w:cs="仿宋_GB2312" w:eastAsia="仿宋_GB2312"/>
                <w:sz w:val="22"/>
                <w:color w:val="0000FF"/>
                <w:shd w:fill="FFFFFF" w:val="clear"/>
              </w:rPr>
              <w:t>2、</w:t>
            </w:r>
            <w:r>
              <w:rPr>
                <w:rFonts w:ascii="仿宋_GB2312" w:hAnsi="仿宋_GB2312" w:cs="仿宋_GB2312" w:eastAsia="仿宋_GB2312"/>
                <w:sz w:val="22"/>
                <w:color w:val="0000FF"/>
                <w:shd w:fill="FFFFFF" w:val="clear"/>
              </w:rPr>
              <w:t>行业现状调研：采用</w:t>
            </w:r>
            <w:r>
              <w:rPr>
                <w:rFonts w:ascii="仿宋_GB2312" w:hAnsi="仿宋_GB2312" w:cs="仿宋_GB2312" w:eastAsia="仿宋_GB2312"/>
                <w:sz w:val="22"/>
                <w:color w:val="0000FF"/>
                <w:shd w:fill="FFFFFF" w:val="clear"/>
              </w:rPr>
              <w:t>“实地走访 + 线上问卷”相结合的方式，选取省内不少于 10 家不同层级（省级、市级、县级）的疾控机构及医疗机构开展调研。重点了解其业务流程痛点、数据应用需求及数据共享安全瓶颈，综合数据资源梳理与行业现状调研结果，从数据基础、技术能力、应用需求、安全管控四个维度，分析陕西省疾控行业建设可信数据空间的优势条件与短板不足，为后续标准制定与方案设计提供精准依据，形成《陕西省疾控行业可信数据空间建设现状调研报告》。</w:t>
            </w:r>
          </w:p>
          <w:p>
            <w:pPr>
              <w:pStyle w:val="null3"/>
              <w:jc w:val="left"/>
            </w:pPr>
            <w:r>
              <w:rPr>
                <w:rFonts w:ascii="仿宋_GB2312" w:hAnsi="仿宋_GB2312" w:cs="仿宋_GB2312" w:eastAsia="仿宋_GB2312"/>
                <w:sz w:val="22"/>
                <w:b/>
                <w:color w:val="0000FF"/>
              </w:rPr>
              <w:t>3.1.3.</w:t>
            </w:r>
            <w:r>
              <w:rPr>
                <w:rFonts w:ascii="仿宋_GB2312" w:hAnsi="仿宋_GB2312" w:cs="仿宋_GB2312" w:eastAsia="仿宋_GB2312"/>
                <w:sz w:val="22"/>
                <w:b/>
                <w:color w:val="0000FF"/>
              </w:rPr>
              <w:t>制定数据标准及技术方案</w:t>
            </w:r>
          </w:p>
          <w:p>
            <w:pPr>
              <w:pStyle w:val="null3"/>
              <w:ind w:firstLine="560"/>
              <w:jc w:val="left"/>
            </w:pPr>
            <w:r>
              <w:rPr>
                <w:rFonts w:ascii="仿宋_GB2312" w:hAnsi="仿宋_GB2312" w:cs="仿宋_GB2312" w:eastAsia="仿宋_GB2312"/>
                <w:sz w:val="22"/>
                <w:color w:val="0000FF"/>
                <w:shd w:fill="FFFFFF" w:val="clear"/>
              </w:rPr>
              <w:t>1、</w:t>
            </w:r>
            <w:r>
              <w:rPr>
                <w:rFonts w:ascii="仿宋_GB2312" w:hAnsi="仿宋_GB2312" w:cs="仿宋_GB2312" w:eastAsia="仿宋_GB2312"/>
                <w:sz w:val="22"/>
                <w:color w:val="0000FF"/>
                <w:shd w:fill="FFFFFF" w:val="clear"/>
              </w:rPr>
              <w:t>标准框架搭建：依据前期研究成果与调研结论，搭建陕西省疾控行业可信数据空间数据标准框架；框架需涵盖数据定义规范、数据模型、术语体系、分类编码规则、质量评价指标、安全管理要求等核心内容。</w:t>
            </w:r>
          </w:p>
          <w:p>
            <w:pPr>
              <w:pStyle w:val="null3"/>
              <w:ind w:firstLine="560"/>
              <w:jc w:val="left"/>
            </w:pPr>
            <w:r>
              <w:rPr>
                <w:rFonts w:ascii="仿宋_GB2312" w:hAnsi="仿宋_GB2312" w:cs="仿宋_GB2312" w:eastAsia="仿宋_GB2312"/>
                <w:sz w:val="22"/>
                <w:color w:val="0000FF"/>
                <w:shd w:fill="FFFFFF" w:val="clear"/>
              </w:rPr>
              <w:t>2、</w:t>
            </w:r>
            <w:r>
              <w:rPr>
                <w:rFonts w:ascii="仿宋_GB2312" w:hAnsi="仿宋_GB2312" w:cs="仿宋_GB2312" w:eastAsia="仿宋_GB2312"/>
                <w:sz w:val="22"/>
                <w:color w:val="0000FF"/>
                <w:shd w:fill="FFFFFF" w:val="clear"/>
              </w:rPr>
              <w:t>制定标准规范：结合数据标准框架与行业实际应用场景，撰写可信数据空间建设的数据标准规范。方案需明确系统架构设计、数据交换接口规范、隐私安全防护策略等关键内容，输出《陕西省疾控可信数据空间建设数据标准规范》。</w:t>
            </w:r>
          </w:p>
          <w:p>
            <w:pPr>
              <w:pStyle w:val="null3"/>
              <w:jc w:val="left"/>
            </w:pPr>
            <w:r>
              <w:rPr>
                <w:rFonts w:ascii="仿宋_GB2312" w:hAnsi="仿宋_GB2312" w:cs="仿宋_GB2312" w:eastAsia="仿宋_GB2312"/>
                <w:sz w:val="22"/>
                <w:b/>
                <w:color w:val="0000FF"/>
              </w:rPr>
              <w:t>3.2.</w:t>
            </w:r>
            <w:r>
              <w:rPr>
                <w:rFonts w:ascii="仿宋_GB2312" w:hAnsi="仿宋_GB2312" w:cs="仿宋_GB2312" w:eastAsia="仿宋_GB2312"/>
                <w:sz w:val="22"/>
                <w:b/>
                <w:color w:val="0000FF"/>
              </w:rPr>
              <w:t>陕西省疾控行业人工智能高质量数据集服务</w:t>
            </w:r>
          </w:p>
          <w:p>
            <w:pPr>
              <w:pStyle w:val="null3"/>
              <w:ind w:firstLine="560"/>
              <w:jc w:val="left"/>
            </w:pPr>
            <w:r>
              <w:rPr>
                <w:rFonts w:ascii="仿宋_GB2312" w:hAnsi="仿宋_GB2312" w:cs="仿宋_GB2312" w:eastAsia="仿宋_GB2312"/>
                <w:sz w:val="22"/>
                <w:color w:val="0000FF"/>
              </w:rPr>
              <w:t>按照国家疾控局及项目牵头单位相关工作部署及要求，</w:t>
            </w:r>
            <w:r>
              <w:rPr>
                <w:rFonts w:ascii="仿宋_GB2312" w:hAnsi="仿宋_GB2312" w:cs="仿宋_GB2312" w:eastAsia="仿宋_GB2312"/>
                <w:sz w:val="22"/>
                <w:color w:val="0000FF"/>
                <w:shd w:fill="FFFFFF" w:val="clear"/>
              </w:rPr>
              <w:t>聚焦陕西省疾控行业数据治理与智能化应用需求，提供陕西省疾控行业高质量数据集建设方案、陕西省疾控行业高质量数据集验收标准，统筹推进并负责完成《</w:t>
            </w:r>
            <w:r>
              <w:rPr>
                <w:rFonts w:ascii="仿宋_GB2312" w:hAnsi="仿宋_GB2312" w:cs="仿宋_GB2312" w:eastAsia="仿宋_GB2312"/>
                <w:sz w:val="22"/>
                <w:color w:val="0000FF"/>
                <w:shd w:fill="FFFFFF" w:val="clear"/>
              </w:rPr>
              <w:t>陕西省传染病风险等级评价高质量数据集</w:t>
            </w:r>
            <w:r>
              <w:rPr>
                <w:rFonts w:ascii="仿宋_GB2312" w:hAnsi="仿宋_GB2312" w:cs="仿宋_GB2312" w:eastAsia="仿宋_GB2312"/>
                <w:sz w:val="22"/>
                <w:color w:val="0000FF"/>
                <w:shd w:fill="FFFFFF" w:val="clear"/>
              </w:rPr>
              <w:t>》、《</w:t>
            </w:r>
            <w:r>
              <w:rPr>
                <w:rFonts w:ascii="仿宋_GB2312" w:hAnsi="仿宋_GB2312" w:cs="仿宋_GB2312" w:eastAsia="仿宋_GB2312"/>
                <w:sz w:val="22"/>
                <w:color w:val="0000FF"/>
                <w:shd w:fill="FFFFFF" w:val="clear"/>
              </w:rPr>
              <w:t>陕西省结核病患者治疗依从性数据集</w:t>
            </w:r>
            <w:r>
              <w:rPr>
                <w:rFonts w:ascii="仿宋_GB2312" w:hAnsi="仿宋_GB2312" w:cs="仿宋_GB2312" w:eastAsia="仿宋_GB2312"/>
                <w:sz w:val="22"/>
                <w:color w:val="0000FF"/>
                <w:shd w:fill="FFFFFF" w:val="clear"/>
              </w:rPr>
              <w:t>》两大核心数据集的建设，确保数据集符合规模</w:t>
            </w:r>
            <w:r>
              <w:rPr>
                <w:rFonts w:ascii="仿宋_GB2312" w:hAnsi="仿宋_GB2312" w:cs="仿宋_GB2312" w:eastAsia="仿宋_GB2312"/>
                <w:sz w:val="22"/>
                <w:color w:val="0000FF"/>
                <w:shd w:fill="FFFFFF" w:val="clear"/>
              </w:rPr>
              <w:t>“大”、安全“牢”、观点“正”、效果“好”、应用“广”的核心要求。</w:t>
            </w:r>
          </w:p>
          <w:p>
            <w:pPr>
              <w:pStyle w:val="null3"/>
              <w:jc w:val="left"/>
            </w:pPr>
            <w:r>
              <w:rPr>
                <w:rFonts w:ascii="仿宋_GB2312" w:hAnsi="仿宋_GB2312" w:cs="仿宋_GB2312" w:eastAsia="仿宋_GB2312"/>
                <w:sz w:val="22"/>
                <w:b/>
                <w:color w:val="0000FF"/>
              </w:rPr>
              <w:t>3.2.1.</w:t>
            </w:r>
            <w:r>
              <w:rPr>
                <w:rFonts w:ascii="仿宋_GB2312" w:hAnsi="仿宋_GB2312" w:cs="仿宋_GB2312" w:eastAsia="仿宋_GB2312"/>
                <w:sz w:val="22"/>
                <w:b/>
                <w:color w:val="0000FF"/>
              </w:rPr>
              <w:t>方案制定</w:t>
            </w:r>
          </w:p>
          <w:p>
            <w:pPr>
              <w:pStyle w:val="null3"/>
              <w:ind w:firstLine="560"/>
              <w:jc w:val="left"/>
            </w:pPr>
            <w:r>
              <w:rPr>
                <w:rFonts w:ascii="仿宋_GB2312" w:hAnsi="仿宋_GB2312" w:cs="仿宋_GB2312" w:eastAsia="仿宋_GB2312"/>
                <w:sz w:val="22"/>
                <w:color w:val="0000FF"/>
                <w:shd w:fill="FFFFFF" w:val="clear"/>
              </w:rPr>
              <w:t>系统研读国家疾控局、陕西省疾控系统专项工作规划及要求，同步收集国内外疾控行业高质量数据建设的典型案例、技术规范及经验报告，重点归集核心资料，确保方案制定的政策符合性与实践参考性。结合陕西省疾控行业数据资源现状、业务痛点及发展需求，制定兼具针对性与可操作性的《陕西省疾控行业高质量数据集建设方案》，明确建设目标、重点任务、实施步骤及保障措施。</w:t>
            </w:r>
          </w:p>
          <w:p>
            <w:pPr>
              <w:pStyle w:val="null3"/>
              <w:jc w:val="left"/>
            </w:pPr>
            <w:r>
              <w:rPr>
                <w:rFonts w:ascii="仿宋_GB2312" w:hAnsi="仿宋_GB2312" w:cs="仿宋_GB2312" w:eastAsia="仿宋_GB2312"/>
                <w:sz w:val="22"/>
                <w:b/>
                <w:color w:val="0000FF"/>
              </w:rPr>
              <w:t>3.2.2.</w:t>
            </w:r>
            <w:r>
              <w:rPr>
                <w:rFonts w:ascii="仿宋_GB2312" w:hAnsi="仿宋_GB2312" w:cs="仿宋_GB2312" w:eastAsia="仿宋_GB2312"/>
                <w:sz w:val="22"/>
                <w:b/>
                <w:color w:val="0000FF"/>
              </w:rPr>
              <w:t>提出数据集建设工作方案</w:t>
            </w:r>
          </w:p>
          <w:p>
            <w:pPr>
              <w:pStyle w:val="null3"/>
              <w:ind w:firstLine="560"/>
              <w:jc w:val="left"/>
            </w:pPr>
            <w:r>
              <w:rPr>
                <w:rFonts w:ascii="仿宋_GB2312" w:hAnsi="仿宋_GB2312" w:cs="仿宋_GB2312" w:eastAsia="仿宋_GB2312"/>
                <w:sz w:val="22"/>
                <w:color w:val="0000FF"/>
                <w:shd w:fill="FFFFFF" w:val="clear"/>
              </w:rPr>
              <w:t>《</w:t>
            </w:r>
            <w:r>
              <w:rPr>
                <w:rFonts w:ascii="仿宋_GB2312" w:hAnsi="仿宋_GB2312" w:cs="仿宋_GB2312" w:eastAsia="仿宋_GB2312"/>
                <w:sz w:val="22"/>
                <w:color w:val="0000FF"/>
                <w:shd w:fill="FFFFFF" w:val="clear"/>
              </w:rPr>
              <w:t>陕西省传染病风险等级评价高质量数据集</w:t>
            </w:r>
            <w:r>
              <w:rPr>
                <w:rFonts w:ascii="仿宋_GB2312" w:hAnsi="仿宋_GB2312" w:cs="仿宋_GB2312" w:eastAsia="仿宋_GB2312"/>
                <w:sz w:val="22"/>
                <w:color w:val="0000FF"/>
                <w:shd w:fill="FFFFFF" w:val="clear"/>
              </w:rPr>
              <w:t>》建设：依据前述方案与指南，对全省近</w:t>
            </w:r>
            <w:r>
              <w:rPr>
                <w:rFonts w:ascii="仿宋_GB2312" w:hAnsi="仿宋_GB2312" w:cs="仿宋_GB2312" w:eastAsia="仿宋_GB2312"/>
                <w:sz w:val="22"/>
                <w:color w:val="0000FF"/>
                <w:shd w:fill="FFFFFF" w:val="clear"/>
              </w:rPr>
              <w:t>4000 万条传染病监测相关数据（含病例报告、流行病学调查、实验室检测、国家及省级相关规范性文件等）开展数据采集、数据转换，以及全量数据治理与标准化清洗，综合运用自动化规则引擎与专家人工标注相结合的方式，系统性剔除重复、矛盾及逻辑错误数据，强化数据真实性、多样性、合规性，过程中每两周形成 1 份数据处理进度与质量报告，预计累计产出 10 份报告，确保数据集完整性、准确性</w:t>
            </w:r>
            <w:r>
              <w:rPr>
                <w:rFonts w:ascii="仿宋_GB2312" w:hAnsi="仿宋_GB2312" w:cs="仿宋_GB2312" w:eastAsia="仿宋_GB2312"/>
                <w:sz w:val="22"/>
                <w:color w:val="0000FF"/>
              </w:rPr>
              <w:t>、一致性、时效性</w:t>
            </w:r>
            <w:r>
              <w:rPr>
                <w:rFonts w:ascii="仿宋_GB2312" w:hAnsi="仿宋_GB2312" w:cs="仿宋_GB2312" w:eastAsia="仿宋_GB2312"/>
                <w:sz w:val="22"/>
                <w:color w:val="0000FF"/>
                <w:shd w:fill="FFFFFF" w:val="clear"/>
              </w:rPr>
              <w:t>达标。构建的高质量数据集需能有效支撑目标人工智能模型（如预测模型、大语言模型）的开发和训练，</w:t>
            </w:r>
            <w:r>
              <w:rPr>
                <w:rFonts w:ascii="仿宋_GB2312" w:hAnsi="仿宋_GB2312" w:cs="仿宋_GB2312" w:eastAsia="仿宋_GB2312"/>
                <w:sz w:val="22"/>
                <w:color w:val="0000FF"/>
                <w:shd w:fill="FFFFFF" w:val="clear"/>
              </w:rPr>
              <w:t>并</w:t>
            </w:r>
            <w:r>
              <w:rPr>
                <w:rFonts w:ascii="仿宋_GB2312" w:hAnsi="仿宋_GB2312" w:cs="仿宋_GB2312" w:eastAsia="仿宋_GB2312"/>
                <w:sz w:val="22"/>
                <w:color w:val="0000FF"/>
                <w:shd w:fill="FFFFFF" w:val="clear"/>
              </w:rPr>
              <w:t>形成</w:t>
            </w:r>
            <w:r>
              <w:rPr>
                <w:rFonts w:ascii="仿宋_GB2312" w:hAnsi="仿宋_GB2312" w:cs="仿宋_GB2312" w:eastAsia="仿宋_GB2312"/>
                <w:sz w:val="22"/>
                <w:color w:val="0000FF"/>
                <w:shd w:fill="FFFFFF" w:val="clear"/>
              </w:rPr>
              <w:t>“数据-模型”</w:t>
            </w:r>
            <w:r>
              <w:rPr>
                <w:rFonts w:ascii="仿宋_GB2312" w:hAnsi="仿宋_GB2312" w:cs="仿宋_GB2312" w:eastAsia="仿宋_GB2312"/>
                <w:sz w:val="22"/>
                <w:color w:val="0000FF"/>
                <w:shd w:fill="FFFFFF" w:val="clear"/>
              </w:rPr>
              <w:t>验证、</w:t>
            </w:r>
            <w:r>
              <w:rPr>
                <w:rFonts w:ascii="仿宋_GB2312" w:hAnsi="仿宋_GB2312" w:cs="仿宋_GB2312" w:eastAsia="仿宋_GB2312"/>
                <w:sz w:val="22"/>
                <w:color w:val="0000FF"/>
                <w:shd w:fill="FFFFFF" w:val="clear"/>
              </w:rPr>
              <w:t>优化</w:t>
            </w:r>
            <w:r>
              <w:rPr>
                <w:rFonts w:ascii="仿宋_GB2312" w:hAnsi="仿宋_GB2312" w:cs="仿宋_GB2312" w:eastAsia="仿宋_GB2312"/>
                <w:sz w:val="22"/>
                <w:color w:val="0000FF"/>
                <w:shd w:fill="FFFFFF" w:val="clear"/>
              </w:rPr>
              <w:t>、</w:t>
            </w:r>
            <w:r>
              <w:rPr>
                <w:rFonts w:ascii="仿宋_GB2312" w:hAnsi="仿宋_GB2312" w:cs="仿宋_GB2312" w:eastAsia="仿宋_GB2312"/>
                <w:sz w:val="22"/>
                <w:color w:val="0000FF"/>
                <w:shd w:fill="FFFFFF" w:val="clear"/>
              </w:rPr>
              <w:t>评估</w:t>
            </w:r>
            <w:r>
              <w:rPr>
                <w:rFonts w:ascii="仿宋_GB2312" w:hAnsi="仿宋_GB2312" w:cs="仿宋_GB2312" w:eastAsia="仿宋_GB2312"/>
                <w:sz w:val="22"/>
                <w:color w:val="0000FF"/>
                <w:shd w:fill="FFFFFF" w:val="clear"/>
              </w:rPr>
              <w:t>的闭环</w:t>
            </w:r>
            <w:r>
              <w:rPr>
                <w:rFonts w:ascii="仿宋_GB2312" w:hAnsi="仿宋_GB2312" w:cs="仿宋_GB2312" w:eastAsia="仿宋_GB2312"/>
                <w:sz w:val="22"/>
                <w:color w:val="0000FF"/>
                <w:shd w:fill="FFFFFF" w:val="clear"/>
              </w:rPr>
              <w:t>。该数据集须符合国家传染病监测数据交换标准及《高质量数据集建设指引》中行业专识数据集建设要求，并交付《</w:t>
            </w:r>
            <w:r>
              <w:rPr>
                <w:rFonts w:ascii="仿宋_GB2312" w:hAnsi="仿宋_GB2312" w:cs="仿宋_GB2312" w:eastAsia="仿宋_GB2312"/>
                <w:sz w:val="22"/>
                <w:color w:val="0000FF"/>
                <w:shd w:fill="FFFFFF" w:val="clear"/>
              </w:rPr>
              <w:t>陕西省传染病风险等级评价高质量数据集</w:t>
            </w:r>
            <w:r>
              <w:rPr>
                <w:rFonts w:ascii="仿宋_GB2312" w:hAnsi="仿宋_GB2312" w:cs="仿宋_GB2312" w:eastAsia="仿宋_GB2312"/>
                <w:sz w:val="22"/>
                <w:color w:val="0000FF"/>
                <w:shd w:fill="FFFFFF" w:val="clear"/>
              </w:rPr>
              <w:t>》。</w:t>
            </w:r>
          </w:p>
          <w:p>
            <w:pPr>
              <w:pStyle w:val="null3"/>
              <w:ind w:firstLine="560"/>
              <w:jc w:val="left"/>
            </w:pPr>
            <w:r>
              <w:rPr>
                <w:rFonts w:ascii="仿宋_GB2312" w:hAnsi="仿宋_GB2312" w:cs="仿宋_GB2312" w:eastAsia="仿宋_GB2312"/>
                <w:sz w:val="22"/>
                <w:color w:val="0000FF"/>
                <w:shd w:fill="FFFFFF" w:val="clear"/>
              </w:rPr>
              <w:t>《陕西省结核病患者治疗依从性高质量数据集》建设：开展基于陕西省各级疾控机构、定点医疗机构和基层医疗机构现有的结核病患者管理数据，梳理和参与国际主流的医学术语体系（如</w:t>
            </w:r>
            <w:r>
              <w:rPr>
                <w:rFonts w:ascii="仿宋_GB2312" w:hAnsi="仿宋_GB2312" w:cs="仿宋_GB2312" w:eastAsia="仿宋_GB2312"/>
                <w:sz w:val="22"/>
                <w:color w:val="0000FF"/>
                <w:shd w:fill="FFFFFF" w:val="clear"/>
              </w:rPr>
              <w:t>Snomed CT等)与数据模型体系(如OHDSI OMOP CDM等），开展全量数据治理与标准化清洗，综合运用自动化规则引擎与专家人工标注相结合的方式，系统性剔除重复、矛盾及逻辑错误数据，包括患者基本信息、地理信息、临床诊断信息、实验室检测数据、影像学数据、病原基因组数据、治疗相关数据、流行病学与接触史数据、预防与公卫管理数据、随访与疗效数据以及国家、省级相关规范性文件等，建立结核病患者治疗依从性高质量数据集</w:t>
            </w:r>
            <w:r>
              <w:rPr>
                <w:rFonts w:ascii="仿宋_GB2312" w:hAnsi="仿宋_GB2312" w:cs="仿宋_GB2312" w:eastAsia="仿宋_GB2312"/>
                <w:sz w:val="22"/>
                <w:color w:val="0000FF"/>
                <w:shd w:fill="FFFFFF" w:val="clear"/>
              </w:rPr>
              <w:t>，</w:t>
            </w:r>
            <w:r>
              <w:rPr>
                <w:rFonts w:ascii="仿宋_GB2312" w:hAnsi="仿宋_GB2312" w:cs="仿宋_GB2312" w:eastAsia="仿宋_GB2312"/>
                <w:sz w:val="22"/>
                <w:color w:val="0000FF"/>
                <w:shd w:fill="FFFFFF" w:val="clear"/>
              </w:rPr>
              <w:t>构建的高质量数据集需能有效支撑目标人工智能模型的开发和训练，</w:t>
            </w:r>
            <w:r>
              <w:rPr>
                <w:rFonts w:ascii="仿宋_GB2312" w:hAnsi="仿宋_GB2312" w:cs="仿宋_GB2312" w:eastAsia="仿宋_GB2312"/>
                <w:sz w:val="22"/>
                <w:color w:val="0000FF"/>
                <w:shd w:fill="FFFFFF" w:val="clear"/>
              </w:rPr>
              <w:t>并</w:t>
            </w:r>
            <w:r>
              <w:rPr>
                <w:rFonts w:ascii="仿宋_GB2312" w:hAnsi="仿宋_GB2312" w:cs="仿宋_GB2312" w:eastAsia="仿宋_GB2312"/>
                <w:sz w:val="22"/>
                <w:color w:val="0000FF"/>
                <w:shd w:fill="FFFFFF" w:val="clear"/>
              </w:rPr>
              <w:t>形成</w:t>
            </w:r>
            <w:r>
              <w:rPr>
                <w:rFonts w:ascii="仿宋_GB2312" w:hAnsi="仿宋_GB2312" w:cs="仿宋_GB2312" w:eastAsia="仿宋_GB2312"/>
                <w:sz w:val="22"/>
                <w:color w:val="0000FF"/>
                <w:shd w:fill="FFFFFF" w:val="clear"/>
              </w:rPr>
              <w:t>“数据-模型”</w:t>
            </w:r>
            <w:r>
              <w:rPr>
                <w:rFonts w:ascii="仿宋_GB2312" w:hAnsi="仿宋_GB2312" w:cs="仿宋_GB2312" w:eastAsia="仿宋_GB2312"/>
                <w:sz w:val="22"/>
                <w:color w:val="0000FF"/>
                <w:shd w:fill="FFFFFF" w:val="clear"/>
              </w:rPr>
              <w:t>验证、</w:t>
            </w:r>
            <w:r>
              <w:rPr>
                <w:rFonts w:ascii="仿宋_GB2312" w:hAnsi="仿宋_GB2312" w:cs="仿宋_GB2312" w:eastAsia="仿宋_GB2312"/>
                <w:sz w:val="22"/>
                <w:color w:val="0000FF"/>
                <w:shd w:fill="FFFFFF" w:val="clear"/>
              </w:rPr>
              <w:t>优化</w:t>
            </w:r>
            <w:r>
              <w:rPr>
                <w:rFonts w:ascii="仿宋_GB2312" w:hAnsi="仿宋_GB2312" w:cs="仿宋_GB2312" w:eastAsia="仿宋_GB2312"/>
                <w:sz w:val="22"/>
                <w:color w:val="0000FF"/>
                <w:shd w:fill="FFFFFF" w:val="clear"/>
              </w:rPr>
              <w:t>、</w:t>
            </w:r>
            <w:r>
              <w:rPr>
                <w:rFonts w:ascii="仿宋_GB2312" w:hAnsi="仿宋_GB2312" w:cs="仿宋_GB2312" w:eastAsia="仿宋_GB2312"/>
                <w:sz w:val="22"/>
                <w:color w:val="0000FF"/>
                <w:shd w:fill="FFFFFF" w:val="clear"/>
              </w:rPr>
              <w:t>评估</w:t>
            </w:r>
            <w:r>
              <w:rPr>
                <w:rFonts w:ascii="仿宋_GB2312" w:hAnsi="仿宋_GB2312" w:cs="仿宋_GB2312" w:eastAsia="仿宋_GB2312"/>
                <w:sz w:val="22"/>
                <w:color w:val="0000FF"/>
                <w:shd w:fill="FFFFFF" w:val="clear"/>
              </w:rPr>
              <w:t>的闭环</w:t>
            </w:r>
            <w:r>
              <w:rPr>
                <w:rFonts w:ascii="仿宋_GB2312" w:hAnsi="仿宋_GB2312" w:cs="仿宋_GB2312" w:eastAsia="仿宋_GB2312"/>
                <w:sz w:val="22"/>
                <w:color w:val="0000FF"/>
                <w:shd w:fill="FFFFFF" w:val="clear"/>
              </w:rPr>
              <w:t>。该数据集须符合国家传染病监测数据交换标准及《高质量数据集建设指引》中行业专识数据集建设要求，支持多维统计分析与时空分布可视化展示，并提供不少于</w:t>
            </w:r>
            <w:r>
              <w:rPr>
                <w:rFonts w:ascii="仿宋_GB2312" w:hAnsi="仿宋_GB2312" w:cs="仿宋_GB2312" w:eastAsia="仿宋_GB2312"/>
                <w:sz w:val="22"/>
                <w:color w:val="0000FF"/>
                <w:shd w:fill="FFFFFF" w:val="clear"/>
              </w:rPr>
              <w:t>3年的历史数据回溯治理，并交付《陕西省结核病患者治疗依从性建设标准规范》。</w:t>
            </w:r>
          </w:p>
          <w:p>
            <w:pPr>
              <w:pStyle w:val="null3"/>
              <w:jc w:val="left"/>
            </w:pPr>
            <w:r>
              <w:rPr>
                <w:rFonts w:ascii="仿宋_GB2312" w:hAnsi="仿宋_GB2312" w:cs="仿宋_GB2312" w:eastAsia="仿宋_GB2312"/>
                <w:sz w:val="22"/>
                <w:b/>
                <w:color w:val="0000FF"/>
              </w:rPr>
              <w:t>3.3.</w:t>
            </w:r>
            <w:r>
              <w:rPr>
                <w:rFonts w:ascii="仿宋_GB2312" w:hAnsi="仿宋_GB2312" w:cs="仿宋_GB2312" w:eastAsia="仿宋_GB2312"/>
                <w:sz w:val="22"/>
                <w:b/>
                <w:color w:val="0000FF"/>
              </w:rPr>
              <w:t>提供人工智能高质量数据集专家咨询服务</w:t>
            </w:r>
          </w:p>
          <w:p>
            <w:pPr>
              <w:pStyle w:val="null3"/>
              <w:ind w:firstLine="560"/>
              <w:jc w:val="left"/>
            </w:pPr>
            <w:r>
              <w:rPr>
                <w:rFonts w:ascii="仿宋_GB2312" w:hAnsi="仿宋_GB2312" w:cs="仿宋_GB2312" w:eastAsia="仿宋_GB2312"/>
                <w:sz w:val="22"/>
                <w:color w:val="0000FF"/>
              </w:rPr>
              <w:t>根据高质量数据集建设内容及要求，提供全过程数据治理专家咨询服务，提供陕西省疾控人工智能高质量数据集支撑能力提升建议，垂类</w:t>
            </w:r>
            <w:r>
              <w:rPr>
                <w:rFonts w:ascii="仿宋_GB2312" w:hAnsi="仿宋_GB2312" w:cs="仿宋_GB2312" w:eastAsia="仿宋_GB2312"/>
                <w:sz w:val="22"/>
                <w:color w:val="0000FF"/>
              </w:rPr>
              <w:t>AI Agent建议等；形成陕西省疾控行业应用大模型及本地知识库建设技术方案，并负责推动落实，助力构建“数据-算法-应用”良性生态；结合国家疾控、陕西省疾控人工智能应用、高质量数据建设等要求，按需提供人工智能高质量数据集建设培训、政策咨询、行业实践分享等服务，提升疾控系统相关人员数据治理与应用能力。</w:t>
            </w:r>
          </w:p>
          <w:p>
            <w:pPr>
              <w:pStyle w:val="null3"/>
            </w:pPr>
            <w:r>
              <w:rPr>
                <w:rFonts w:ascii="仿宋_GB2312" w:hAnsi="仿宋_GB2312" w:cs="仿宋_GB2312" w:eastAsia="仿宋_GB2312"/>
                <w:sz w:val="22"/>
                <w:b/>
                <w:color w:val="0000FF"/>
              </w:rPr>
              <w:t>4、</w:t>
            </w:r>
            <w:r>
              <w:rPr>
                <w:rFonts w:ascii="仿宋_GB2312" w:hAnsi="仿宋_GB2312" w:cs="仿宋_GB2312" w:eastAsia="仿宋_GB2312"/>
                <w:sz w:val="22"/>
                <w:b/>
                <w:color w:val="0000FF"/>
              </w:rPr>
              <w:t>交付产出</w:t>
            </w:r>
          </w:p>
          <w:p>
            <w:pPr>
              <w:pStyle w:val="null3"/>
              <w:ind w:firstLine="560"/>
              <w:jc w:val="left"/>
            </w:pPr>
            <w:r>
              <w:rPr>
                <w:rFonts w:ascii="仿宋_GB2312" w:hAnsi="仿宋_GB2312" w:cs="仿宋_GB2312" w:eastAsia="仿宋_GB2312"/>
                <w:sz w:val="22"/>
                <w:color w:val="0000FF"/>
              </w:rPr>
              <w:t>服务方</w:t>
            </w:r>
            <w:r>
              <w:rPr>
                <w:rFonts w:ascii="仿宋_GB2312" w:hAnsi="仿宋_GB2312" w:cs="仿宋_GB2312" w:eastAsia="仿宋_GB2312"/>
                <w:sz w:val="22"/>
                <w:color w:val="0000FF"/>
              </w:rPr>
              <w:t>提供的</w:t>
            </w:r>
            <w:r>
              <w:rPr>
                <w:rFonts w:ascii="仿宋_GB2312" w:hAnsi="仿宋_GB2312" w:cs="仿宋_GB2312" w:eastAsia="仿宋_GB2312"/>
                <w:sz w:val="22"/>
                <w:color w:val="0000FF"/>
              </w:rPr>
              <w:t>交付成果包括不限于如下</w:t>
            </w:r>
            <w:r>
              <w:rPr>
                <w:rFonts w:ascii="仿宋_GB2312" w:hAnsi="仿宋_GB2312" w:cs="仿宋_GB2312" w:eastAsia="仿宋_GB2312"/>
                <w:sz w:val="22"/>
                <w:color w:val="0000FF"/>
              </w:rPr>
              <w:t>：</w:t>
            </w:r>
          </w:p>
          <w:p>
            <w:pPr>
              <w:pStyle w:val="null3"/>
              <w:ind w:firstLine="440"/>
              <w:jc w:val="left"/>
            </w:pPr>
            <w:r>
              <w:rPr>
                <w:rFonts w:ascii="仿宋_GB2312" w:hAnsi="仿宋_GB2312" w:cs="仿宋_GB2312" w:eastAsia="仿宋_GB2312"/>
                <w:sz w:val="22"/>
                <w:color w:val="0000FF"/>
                <w:shd w:fill="FFFFFF" w:val="clear"/>
              </w:rPr>
              <w:t>1、</w:t>
            </w:r>
            <w:r>
              <w:rPr>
                <w:rFonts w:ascii="仿宋_GB2312" w:hAnsi="仿宋_GB2312" w:cs="仿宋_GB2312" w:eastAsia="仿宋_GB2312"/>
                <w:sz w:val="22"/>
                <w:color w:val="0000FF"/>
                <w:shd w:fill="FFFFFF" w:val="clear"/>
              </w:rPr>
              <w:t>《</w:t>
            </w:r>
            <w:r>
              <w:rPr>
                <w:rFonts w:ascii="仿宋_GB2312" w:hAnsi="仿宋_GB2312" w:cs="仿宋_GB2312" w:eastAsia="仿宋_GB2312"/>
                <w:sz w:val="22"/>
                <w:color w:val="0000FF"/>
              </w:rPr>
              <w:t>陕西省疾控可信数据空间数据分级分类指南</w:t>
            </w:r>
            <w:r>
              <w:rPr>
                <w:rFonts w:ascii="仿宋_GB2312" w:hAnsi="仿宋_GB2312" w:cs="仿宋_GB2312" w:eastAsia="仿宋_GB2312"/>
                <w:sz w:val="22"/>
                <w:color w:val="0000FF"/>
                <w:shd w:fill="FFFFFF" w:val="clear"/>
              </w:rPr>
              <w:t>》</w:t>
            </w:r>
            <w:r>
              <w:rPr>
                <w:rFonts w:ascii="仿宋_GB2312" w:hAnsi="仿宋_GB2312" w:cs="仿宋_GB2312" w:eastAsia="仿宋_GB2312"/>
                <w:sz w:val="22"/>
                <w:color w:val="0000FF"/>
                <w:shd w:fill="FFFFFF" w:val="clear"/>
              </w:rPr>
              <w:t>；</w:t>
            </w:r>
          </w:p>
          <w:p>
            <w:pPr>
              <w:pStyle w:val="null3"/>
              <w:ind w:firstLine="440"/>
              <w:jc w:val="left"/>
            </w:pPr>
            <w:r>
              <w:rPr>
                <w:rFonts w:ascii="仿宋_GB2312" w:hAnsi="仿宋_GB2312" w:cs="仿宋_GB2312" w:eastAsia="仿宋_GB2312"/>
                <w:sz w:val="22"/>
                <w:color w:val="0000FF"/>
                <w:shd w:fill="FFFFFF" w:val="clear"/>
              </w:rPr>
              <w:t>2、</w:t>
            </w:r>
            <w:r>
              <w:rPr>
                <w:rFonts w:ascii="仿宋_GB2312" w:hAnsi="仿宋_GB2312" w:cs="仿宋_GB2312" w:eastAsia="仿宋_GB2312"/>
                <w:sz w:val="22"/>
                <w:color w:val="0000FF"/>
                <w:shd w:fill="FFFFFF" w:val="clear"/>
              </w:rPr>
              <w:t>《</w:t>
            </w:r>
            <w:r>
              <w:rPr>
                <w:rFonts w:ascii="仿宋_GB2312" w:hAnsi="仿宋_GB2312" w:cs="仿宋_GB2312" w:eastAsia="仿宋_GB2312"/>
                <w:sz w:val="22"/>
                <w:color w:val="0000FF"/>
              </w:rPr>
              <w:t>跨机构数据共享交换协议模板</w:t>
            </w:r>
            <w:r>
              <w:rPr>
                <w:rFonts w:ascii="仿宋_GB2312" w:hAnsi="仿宋_GB2312" w:cs="仿宋_GB2312" w:eastAsia="仿宋_GB2312"/>
                <w:sz w:val="22"/>
                <w:color w:val="0000FF"/>
                <w:shd w:fill="FFFFFF" w:val="clear"/>
              </w:rPr>
              <w:t>》</w:t>
            </w:r>
            <w:r>
              <w:rPr>
                <w:rFonts w:ascii="仿宋_GB2312" w:hAnsi="仿宋_GB2312" w:cs="仿宋_GB2312" w:eastAsia="仿宋_GB2312"/>
                <w:sz w:val="22"/>
                <w:color w:val="0000FF"/>
                <w:shd w:fill="FFFFFF" w:val="clear"/>
              </w:rPr>
              <w:t>；</w:t>
            </w:r>
          </w:p>
          <w:p>
            <w:pPr>
              <w:pStyle w:val="null3"/>
              <w:ind w:firstLine="440"/>
              <w:jc w:val="left"/>
            </w:pPr>
            <w:r>
              <w:rPr>
                <w:rFonts w:ascii="仿宋_GB2312" w:hAnsi="仿宋_GB2312" w:cs="仿宋_GB2312" w:eastAsia="仿宋_GB2312"/>
                <w:sz w:val="22"/>
                <w:color w:val="0000FF"/>
                <w:shd w:fill="FFFFFF" w:val="clear"/>
              </w:rPr>
              <w:t>3、</w:t>
            </w:r>
            <w:r>
              <w:rPr>
                <w:rFonts w:ascii="仿宋_GB2312" w:hAnsi="仿宋_GB2312" w:cs="仿宋_GB2312" w:eastAsia="仿宋_GB2312"/>
                <w:sz w:val="22"/>
                <w:color w:val="0000FF"/>
                <w:shd w:fill="FFFFFF" w:val="clear"/>
              </w:rPr>
              <w:t>《陕西省疾控行业数据资源清单》</w:t>
            </w:r>
            <w:r>
              <w:rPr>
                <w:rFonts w:ascii="仿宋_GB2312" w:hAnsi="仿宋_GB2312" w:cs="仿宋_GB2312" w:eastAsia="仿宋_GB2312"/>
                <w:sz w:val="22"/>
                <w:color w:val="0000FF"/>
                <w:shd w:fill="FFFFFF" w:val="clear"/>
              </w:rPr>
              <w:t>；</w:t>
            </w:r>
          </w:p>
          <w:p>
            <w:pPr>
              <w:pStyle w:val="null3"/>
              <w:ind w:firstLine="440"/>
              <w:jc w:val="left"/>
            </w:pPr>
            <w:r>
              <w:rPr>
                <w:rFonts w:ascii="仿宋_GB2312" w:hAnsi="仿宋_GB2312" w:cs="仿宋_GB2312" w:eastAsia="仿宋_GB2312"/>
                <w:sz w:val="22"/>
                <w:color w:val="0000FF"/>
                <w:shd w:fill="FFFFFF" w:val="clear"/>
              </w:rPr>
              <w:t>4、</w:t>
            </w:r>
            <w:r>
              <w:rPr>
                <w:rFonts w:ascii="仿宋_GB2312" w:hAnsi="仿宋_GB2312" w:cs="仿宋_GB2312" w:eastAsia="仿宋_GB2312"/>
                <w:sz w:val="22"/>
                <w:color w:val="0000FF"/>
                <w:shd w:fill="FFFFFF" w:val="clear"/>
              </w:rPr>
              <w:t>《陕西省疾控行业可信数据空间建设现状调研报告》</w:t>
            </w:r>
            <w:r>
              <w:rPr>
                <w:rFonts w:ascii="仿宋_GB2312" w:hAnsi="仿宋_GB2312" w:cs="仿宋_GB2312" w:eastAsia="仿宋_GB2312"/>
                <w:sz w:val="22"/>
                <w:color w:val="0000FF"/>
                <w:shd w:fill="FFFFFF" w:val="clear"/>
              </w:rPr>
              <w:t>；</w:t>
            </w:r>
          </w:p>
          <w:p>
            <w:pPr>
              <w:pStyle w:val="null3"/>
              <w:ind w:firstLine="440"/>
              <w:jc w:val="left"/>
            </w:pPr>
            <w:r>
              <w:rPr>
                <w:rFonts w:ascii="仿宋_GB2312" w:hAnsi="仿宋_GB2312" w:cs="仿宋_GB2312" w:eastAsia="仿宋_GB2312"/>
                <w:sz w:val="22"/>
                <w:color w:val="0000FF"/>
              </w:rPr>
              <w:t>5、</w:t>
            </w:r>
            <w:r>
              <w:rPr>
                <w:rFonts w:ascii="仿宋_GB2312" w:hAnsi="仿宋_GB2312" w:cs="仿宋_GB2312" w:eastAsia="仿宋_GB2312"/>
                <w:sz w:val="22"/>
                <w:color w:val="0000FF"/>
              </w:rPr>
              <w:t>《陕西省疾控可信数据空间建设标准规范》；</w:t>
            </w:r>
          </w:p>
          <w:p>
            <w:pPr>
              <w:pStyle w:val="null3"/>
              <w:ind w:firstLine="440"/>
              <w:jc w:val="left"/>
            </w:pPr>
            <w:r>
              <w:rPr>
                <w:rFonts w:ascii="仿宋_GB2312" w:hAnsi="仿宋_GB2312" w:cs="仿宋_GB2312" w:eastAsia="仿宋_GB2312"/>
                <w:sz w:val="22"/>
                <w:color w:val="0000FF"/>
              </w:rPr>
              <w:t>6、</w:t>
            </w:r>
            <w:r>
              <w:rPr>
                <w:rFonts w:ascii="仿宋_GB2312" w:hAnsi="仿宋_GB2312" w:cs="仿宋_GB2312" w:eastAsia="仿宋_GB2312"/>
                <w:sz w:val="22"/>
                <w:color w:val="0000FF"/>
              </w:rPr>
              <w:t>《陕西省疾控行业高质量数据集建设方案》</w:t>
            </w:r>
            <w:r>
              <w:rPr>
                <w:rFonts w:ascii="仿宋_GB2312" w:hAnsi="仿宋_GB2312" w:cs="仿宋_GB2312" w:eastAsia="仿宋_GB2312"/>
                <w:sz w:val="22"/>
                <w:color w:val="0000FF"/>
              </w:rPr>
              <w:t>；</w:t>
            </w:r>
          </w:p>
          <w:p>
            <w:pPr>
              <w:pStyle w:val="null3"/>
              <w:ind w:firstLine="440"/>
              <w:jc w:val="left"/>
            </w:pPr>
            <w:r>
              <w:rPr>
                <w:rFonts w:ascii="仿宋_GB2312" w:hAnsi="仿宋_GB2312" w:cs="仿宋_GB2312" w:eastAsia="仿宋_GB2312"/>
                <w:sz w:val="22"/>
                <w:color w:val="0000FF"/>
              </w:rPr>
              <w:t>7、</w:t>
            </w:r>
            <w:r>
              <w:rPr>
                <w:rFonts w:ascii="仿宋_GB2312" w:hAnsi="仿宋_GB2312" w:cs="仿宋_GB2312" w:eastAsia="仿宋_GB2312"/>
                <w:sz w:val="22"/>
                <w:color w:val="0000FF"/>
              </w:rPr>
              <w:t>负责完成《</w:t>
            </w:r>
            <w:r>
              <w:rPr>
                <w:rFonts w:ascii="仿宋_GB2312" w:hAnsi="仿宋_GB2312" w:cs="仿宋_GB2312" w:eastAsia="仿宋_GB2312"/>
                <w:sz w:val="22"/>
                <w:color w:val="0000FF"/>
              </w:rPr>
              <w:t>陕西省传染病风险等级评价高质量数据集</w:t>
            </w:r>
            <w:r>
              <w:rPr>
                <w:rFonts w:ascii="仿宋_GB2312" w:hAnsi="仿宋_GB2312" w:cs="仿宋_GB2312" w:eastAsia="仿宋_GB2312"/>
                <w:sz w:val="22"/>
                <w:color w:val="0000FF"/>
              </w:rPr>
              <w:t>》、《陕西省</w:t>
            </w:r>
            <w:r>
              <w:rPr>
                <w:rFonts w:ascii="仿宋_GB2312" w:hAnsi="仿宋_GB2312" w:cs="仿宋_GB2312" w:eastAsia="仿宋_GB2312"/>
                <w:sz w:val="22"/>
                <w:color w:val="0000FF"/>
                <w:shd w:fill="FFFFFF" w:val="clear"/>
              </w:rPr>
              <w:t>结核病患者治疗依从性</w:t>
            </w:r>
            <w:r>
              <w:rPr>
                <w:rFonts w:ascii="仿宋_GB2312" w:hAnsi="仿宋_GB2312" w:cs="仿宋_GB2312" w:eastAsia="仿宋_GB2312"/>
                <w:sz w:val="22"/>
                <w:color w:val="0000FF"/>
              </w:rPr>
              <w:t>高质量数据集》建设。</w:t>
            </w:r>
          </w:p>
          <w:p>
            <w:pPr>
              <w:pStyle w:val="null3"/>
            </w:pPr>
            <w:r>
              <w:rPr>
                <w:rFonts w:ascii="仿宋_GB2312" w:hAnsi="仿宋_GB2312" w:cs="仿宋_GB2312" w:eastAsia="仿宋_GB2312"/>
                <w:sz w:val="22"/>
                <w:b/>
                <w:color w:val="0000FF"/>
              </w:rPr>
              <w:t>5、</w:t>
            </w:r>
            <w:r>
              <w:rPr>
                <w:rFonts w:ascii="仿宋_GB2312" w:hAnsi="仿宋_GB2312" w:cs="仿宋_GB2312" w:eastAsia="仿宋_GB2312"/>
                <w:sz w:val="22"/>
                <w:b/>
                <w:color w:val="0000FF"/>
              </w:rPr>
              <w:t>服务周期</w:t>
            </w:r>
          </w:p>
          <w:p>
            <w:pPr>
              <w:pStyle w:val="null3"/>
              <w:ind w:firstLine="440"/>
            </w:pPr>
            <w:r>
              <w:rPr>
                <w:rFonts w:ascii="仿宋_GB2312" w:hAnsi="仿宋_GB2312" w:cs="仿宋_GB2312" w:eastAsia="仿宋_GB2312"/>
                <w:sz w:val="22"/>
                <w:color w:val="0000FF"/>
              </w:rPr>
              <w:t>服务周期</w:t>
            </w:r>
            <w:r>
              <w:rPr>
                <w:rFonts w:ascii="仿宋_GB2312" w:hAnsi="仿宋_GB2312" w:cs="仿宋_GB2312" w:eastAsia="仿宋_GB2312"/>
                <w:sz w:val="22"/>
                <w:color w:val="0000FF"/>
              </w:rPr>
              <w:t>：自合同签订之日起一</w:t>
            </w:r>
            <w:r>
              <w:rPr>
                <w:rFonts w:ascii="仿宋_GB2312" w:hAnsi="仿宋_GB2312" w:cs="仿宋_GB2312" w:eastAsia="仿宋_GB2312"/>
                <w:sz w:val="22"/>
                <w:color w:val="0000FF"/>
              </w:rPr>
              <w:t>年半。</w:t>
            </w:r>
          </w:p>
          <w:p>
            <w:pPr>
              <w:pStyle w:val="null3"/>
            </w:pPr>
            <w:r>
              <w:rPr>
                <w:rFonts w:ascii="仿宋_GB2312" w:hAnsi="仿宋_GB2312" w:cs="仿宋_GB2312" w:eastAsia="仿宋_GB2312"/>
                <w:sz w:val="22"/>
                <w:b/>
                <w:color w:val="0000FF"/>
              </w:rPr>
              <w:t>6、</w:t>
            </w:r>
            <w:r>
              <w:rPr>
                <w:rFonts w:ascii="仿宋_GB2312" w:hAnsi="仿宋_GB2312" w:cs="仿宋_GB2312" w:eastAsia="仿宋_GB2312"/>
                <w:sz w:val="22"/>
                <w:b/>
                <w:color w:val="0000FF"/>
              </w:rPr>
              <w:t>服务要求</w:t>
            </w:r>
          </w:p>
          <w:p>
            <w:pPr>
              <w:pStyle w:val="null3"/>
              <w:ind w:firstLine="560"/>
            </w:pPr>
            <w:r>
              <w:rPr>
                <w:rFonts w:ascii="仿宋_GB2312" w:hAnsi="仿宋_GB2312" w:cs="仿宋_GB2312" w:eastAsia="仿宋_GB2312"/>
                <w:sz w:val="22"/>
                <w:color w:val="0000FF"/>
                <w:shd w:fill="FFFFFF" w:val="clear"/>
              </w:rPr>
              <w:t>6.1进度要求</w:t>
            </w:r>
          </w:p>
          <w:p>
            <w:pPr>
              <w:pStyle w:val="null3"/>
              <w:ind w:firstLine="560"/>
            </w:pPr>
            <w:r>
              <w:rPr>
                <w:rFonts w:ascii="仿宋_GB2312" w:hAnsi="仿宋_GB2312" w:cs="仿宋_GB2312" w:eastAsia="仿宋_GB2312"/>
                <w:sz w:val="22"/>
                <w:color w:val="0000FF"/>
                <w:shd w:fill="FFFFFF" w:val="clear"/>
              </w:rPr>
              <w:t>2026年12月底</w:t>
            </w:r>
            <w:r>
              <w:rPr>
                <w:rFonts w:ascii="仿宋_GB2312" w:hAnsi="仿宋_GB2312" w:cs="仿宋_GB2312" w:eastAsia="仿宋_GB2312"/>
                <w:sz w:val="22"/>
                <w:color w:val="0000FF"/>
                <w:shd w:fill="FFFFFF" w:val="clear"/>
              </w:rPr>
              <w:t>完成</w:t>
            </w:r>
            <w:r>
              <w:rPr>
                <w:rFonts w:ascii="仿宋_GB2312" w:hAnsi="仿宋_GB2312" w:cs="仿宋_GB2312" w:eastAsia="仿宋_GB2312"/>
                <w:sz w:val="22"/>
                <w:color w:val="0000FF"/>
              </w:rPr>
              <w:t>《</w:t>
            </w:r>
            <w:r>
              <w:rPr>
                <w:rFonts w:ascii="仿宋_GB2312" w:hAnsi="仿宋_GB2312" w:cs="仿宋_GB2312" w:eastAsia="仿宋_GB2312"/>
                <w:sz w:val="22"/>
                <w:color w:val="0000FF"/>
              </w:rPr>
              <w:t>陕西省传染病风险等级评价高质量数据集</w:t>
            </w:r>
            <w:r>
              <w:rPr>
                <w:rFonts w:ascii="仿宋_GB2312" w:hAnsi="仿宋_GB2312" w:cs="仿宋_GB2312" w:eastAsia="仿宋_GB2312"/>
                <w:sz w:val="22"/>
                <w:color w:val="0000FF"/>
              </w:rPr>
              <w:t>》建设，</w:t>
            </w:r>
            <w:r>
              <w:rPr>
                <w:rFonts w:ascii="仿宋_GB2312" w:hAnsi="仿宋_GB2312" w:cs="仿宋_GB2312" w:eastAsia="仿宋_GB2312"/>
                <w:sz w:val="22"/>
                <w:color w:val="0000FF"/>
                <w:shd w:fill="FFFFFF" w:val="clear"/>
              </w:rPr>
              <w:t>相关成果通过甲方组织的专家组验收</w:t>
            </w:r>
            <w:r>
              <w:rPr>
                <w:rFonts w:ascii="仿宋_GB2312" w:hAnsi="仿宋_GB2312" w:cs="仿宋_GB2312" w:eastAsia="仿宋_GB2312"/>
                <w:sz w:val="22"/>
                <w:color w:val="0000FF"/>
              </w:rPr>
              <w:t>。</w:t>
            </w:r>
          </w:p>
          <w:p>
            <w:pPr>
              <w:pStyle w:val="null3"/>
              <w:ind w:firstLine="560"/>
            </w:pPr>
            <w:r>
              <w:rPr>
                <w:rFonts w:ascii="仿宋_GB2312" w:hAnsi="仿宋_GB2312" w:cs="仿宋_GB2312" w:eastAsia="仿宋_GB2312"/>
                <w:sz w:val="22"/>
                <w:color w:val="0000FF"/>
                <w:shd w:fill="FFFFFF" w:val="clear"/>
              </w:rPr>
              <w:t>2027年12月</w:t>
            </w:r>
            <w:r>
              <w:rPr>
                <w:rFonts w:ascii="仿宋_GB2312" w:hAnsi="仿宋_GB2312" w:cs="仿宋_GB2312" w:eastAsia="仿宋_GB2312"/>
                <w:sz w:val="22"/>
                <w:color w:val="0000FF"/>
              </w:rPr>
              <w:t>底</w:t>
            </w:r>
            <w:r>
              <w:rPr>
                <w:rFonts w:ascii="仿宋_GB2312" w:hAnsi="仿宋_GB2312" w:cs="仿宋_GB2312" w:eastAsia="仿宋_GB2312"/>
                <w:sz w:val="22"/>
                <w:color w:val="0000FF"/>
                <w:shd w:fill="FFFFFF" w:val="clear"/>
              </w:rPr>
              <w:t>完成</w:t>
            </w:r>
            <w:r>
              <w:rPr>
                <w:rFonts w:ascii="仿宋_GB2312" w:hAnsi="仿宋_GB2312" w:cs="仿宋_GB2312" w:eastAsia="仿宋_GB2312"/>
                <w:sz w:val="22"/>
                <w:color w:val="0000FF"/>
              </w:rPr>
              <w:t>《陕西省</w:t>
            </w:r>
            <w:r>
              <w:rPr>
                <w:rFonts w:ascii="仿宋_GB2312" w:hAnsi="仿宋_GB2312" w:cs="仿宋_GB2312" w:eastAsia="仿宋_GB2312"/>
                <w:sz w:val="22"/>
                <w:color w:val="0000FF"/>
                <w:shd w:fill="FFFFFF" w:val="clear"/>
              </w:rPr>
              <w:t>结核病患者治疗依从性</w:t>
            </w:r>
            <w:r>
              <w:rPr>
                <w:rFonts w:ascii="仿宋_GB2312" w:hAnsi="仿宋_GB2312" w:cs="仿宋_GB2312" w:eastAsia="仿宋_GB2312"/>
                <w:sz w:val="22"/>
                <w:color w:val="0000FF"/>
              </w:rPr>
              <w:t>高质量数据集》、</w:t>
            </w:r>
            <w:r>
              <w:rPr>
                <w:rFonts w:ascii="仿宋_GB2312" w:hAnsi="仿宋_GB2312" w:cs="仿宋_GB2312" w:eastAsia="仿宋_GB2312"/>
                <w:sz w:val="22"/>
                <w:color w:val="0000FF"/>
                <w:shd w:fill="FFFFFF" w:val="clear"/>
              </w:rPr>
              <w:t>陕西省疾控行业可信数据空间相关研究工作，相关成果通过甲方组织的专家组验收。</w:t>
            </w:r>
          </w:p>
          <w:p>
            <w:pPr>
              <w:pStyle w:val="null3"/>
              <w:ind w:firstLine="560"/>
            </w:pPr>
            <w:r>
              <w:rPr>
                <w:rFonts w:ascii="仿宋_GB2312" w:hAnsi="仿宋_GB2312" w:cs="仿宋_GB2312" w:eastAsia="仿宋_GB2312"/>
                <w:sz w:val="22"/>
                <w:color w:val="0000FF"/>
              </w:rPr>
              <w:t>6.2质量要求</w:t>
            </w:r>
          </w:p>
          <w:p>
            <w:pPr>
              <w:pStyle w:val="null3"/>
              <w:ind w:firstLine="560"/>
            </w:pPr>
            <w:r>
              <w:rPr>
                <w:rFonts w:ascii="仿宋_GB2312" w:hAnsi="仿宋_GB2312" w:cs="仿宋_GB2312" w:eastAsia="仿宋_GB2312"/>
                <w:sz w:val="22"/>
                <w:color w:val="0000FF"/>
              </w:rPr>
              <w:t>交付成果符合国家、行业相关标准规范，严格遵循《可信数据空间发展行动计划（</w:t>
            </w:r>
            <w:r>
              <w:rPr>
                <w:rFonts w:ascii="仿宋_GB2312" w:hAnsi="仿宋_GB2312" w:cs="仿宋_GB2312" w:eastAsia="仿宋_GB2312"/>
                <w:sz w:val="22"/>
                <w:color w:val="0000FF"/>
              </w:rPr>
              <w:t>2024—2028年）》、《高质量数据集建设指引》及疾控领域专项标准，确保成果的规范性、可落地性与实用性，数据集质量达到人工智能模型训练核心要求。</w:t>
            </w:r>
          </w:p>
          <w:p>
            <w:pPr>
              <w:pStyle w:val="null3"/>
              <w:ind w:firstLine="560"/>
            </w:pPr>
            <w:r>
              <w:rPr>
                <w:rFonts w:ascii="仿宋_GB2312" w:hAnsi="仿宋_GB2312" w:cs="仿宋_GB2312" w:eastAsia="仿宋_GB2312"/>
                <w:sz w:val="22"/>
                <w:color w:val="0000FF"/>
              </w:rPr>
              <w:t>6.3安全要求</w:t>
            </w:r>
          </w:p>
          <w:p>
            <w:pPr>
              <w:pStyle w:val="null3"/>
              <w:ind w:firstLine="560"/>
            </w:pPr>
            <w:r>
              <w:rPr>
                <w:rFonts w:ascii="仿宋_GB2312" w:hAnsi="仿宋_GB2312" w:cs="仿宋_GB2312" w:eastAsia="仿宋_GB2312"/>
                <w:sz w:val="22"/>
                <w:color w:val="0000FF"/>
              </w:rPr>
              <w:t>在项目实施期间，要求服务单位对本项目所涉及的业务数据、内部文件等信息负有保密责任，严格落实数据分类分级保护要求。服务单位不得将甲方提供的有关资料及工作成果通过任何方式向第三方透露，应对审查有关的技术和商业资料进行保密，未经同意，不得向第三方透露，确保数据采集、处理、存储、流通、使用全程安全可控，服务单位实施项目的一切程序都应符合国家安全、保密的有关规定和标准。</w:t>
            </w:r>
          </w:p>
          <w:p>
            <w:pPr>
              <w:pStyle w:val="null3"/>
              <w:ind w:firstLine="560"/>
            </w:pPr>
            <w:r>
              <w:rPr>
                <w:rFonts w:ascii="仿宋_GB2312" w:hAnsi="仿宋_GB2312" w:cs="仿宋_GB2312" w:eastAsia="仿宋_GB2312"/>
                <w:sz w:val="22"/>
                <w:color w:val="0000FF"/>
              </w:rPr>
              <w:t>6.4知识产权要求</w:t>
            </w:r>
          </w:p>
          <w:p>
            <w:pPr>
              <w:pStyle w:val="null3"/>
            </w:pPr>
            <w:r>
              <w:rPr>
                <w:rFonts w:ascii="仿宋_GB2312" w:hAnsi="仿宋_GB2312" w:cs="仿宋_GB2312" w:eastAsia="仿宋_GB2312"/>
                <w:sz w:val="22"/>
                <w:color w:val="0000FF"/>
              </w:rPr>
              <w:t>服务单位应保证其提供的服务不受任何第三方提出的侵犯其著作权、商标权、专利权等知识产权方面的起诉。在本项目中，服务单位所交付的所有产出，包括著作权、商标权、专利权等在内的知识产权，均归属陕西省疾控中心所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根据本项目采购需求提供。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根据本项目采购需求提供。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规范，严格遵循《可信数据空间发展行动计划（2024—2028年）》、《高质量数据集建设指引》及疾控领域专项标准，确保成果的规范性、可落地性与实用性，数据集质量达到人工智能模型训练核心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预付款，服务合同签订后，达到付款条件起30个工作日内，支付合同总金额的50.0%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进度款，所有服务内容完成后，经采购人验收合格后，达到付款条件起30个工作日内，支付合同总金额的50.0%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供应商应提交的资格相关证明材料.docx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审计报告（包括“四表一注”，即资产负债表、利润表、现金流量表、所有者权益变动表及其附注，成立时间至提交响应文件递交截止时间不足一年的可提供成立后任意时段的财务报表）或磋商截止时间前三个月内其基本存款账户开户银行出具的资信证明（附基本存款账户证明材料）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并与营业执照上信息一致。法定代表人授权代表参加磋商的，须出具法定代表人授权委托书及授权代表身份证（被授权人须提供磋商截止时间前近三个月内任意一个月社保缴纳证明材料）。</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提供磋商响应文件递交截止时间前一年内至少一个月的纳税证明或完税证明，纳税证明或完税证明上应有代收机构或税务机关的公章或业务专用章。依法免税的单位应提供相关证明材料。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履行合同的承诺函</w:t>
            </w:r>
          </w:p>
        </w:tc>
        <w:tc>
          <w:tcPr>
            <w:tcW w:type="dxa" w:w="3322"/>
          </w:tcPr>
          <w:p>
            <w:pPr>
              <w:pStyle w:val="null3"/>
            </w:pPr>
            <w:r>
              <w:rPr>
                <w:rFonts w:ascii="仿宋_GB2312" w:hAnsi="仿宋_GB2312" w:cs="仿宋_GB2312" w:eastAsia="仿宋_GB2312"/>
              </w:rPr>
              <w:t>供应商在人员、设备等方面具有相应的服务能力并提供承诺函。</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供应商不得为“信用中国”网站（www.creditchina.gov.cn）列入失信被执行人、重大税收违法失信主体，不得为“中国政府采购网”（www.ccgp.gov.cn）政府采购严重违法失信行为记录中的供应商。</w:t>
            </w:r>
          </w:p>
        </w:tc>
        <w:tc>
          <w:tcPr>
            <w:tcW w:type="dxa" w:w="1661"/>
          </w:tcPr>
          <w:p>
            <w:pPr>
              <w:pStyle w:val="null3"/>
            </w:pPr>
            <w:r>
              <w:rPr>
                <w:rFonts w:ascii="仿宋_GB2312" w:hAnsi="仿宋_GB2312" w:cs="仿宋_GB2312" w:eastAsia="仿宋_GB2312"/>
              </w:rPr>
              <w:t>供应商应提交的资格相关证明材料.docx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本项目不允许联合体(提供非联合体声明函)。</w:t>
            </w:r>
          </w:p>
        </w:tc>
        <w:tc>
          <w:tcPr>
            <w:tcW w:type="dxa" w:w="1661"/>
          </w:tcPr>
          <w:p>
            <w:pPr>
              <w:pStyle w:val="null3"/>
            </w:pPr>
            <w:r>
              <w:rPr>
                <w:rFonts w:ascii="仿宋_GB2312" w:hAnsi="仿宋_GB2312" w:cs="仿宋_GB2312" w:eastAsia="仿宋_GB2312"/>
              </w:rPr>
              <w:t>供应商应提交的资格相关证明材料.docx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出现下列情形之一的，评审委员会应当启动异常低价投标(响应)审查程序:1.投标报价低于全部通过符合性审查供应商投标报价平均值50%的，即投标报价&lt;全部通过符合性审查供应商投标报价平均值x50%:2.投标报价低于通过符合性审查的次低报价供应商投标报价50%的，即投标报价&lt;通过符合性审查的次低报价供应商投标(响应)报价x50%:3.投标报价低于采购项目最高限价45%的，即投标报价〈采购项目最高限价x45%:4.评审委员会基于专业判断，认为供应商报价过低，有可能影响产品质量或者不能诚信履约的其他情形。 (二)评审委员会启动异常低价投标审查后，属于前述第1项至第4项情形的，相关供应商在30分钟内通过项目电子化交易系统进行提交，对投标价格作出解释，提供项目具体成本测算等与报价合理性相关的书面说明及必要的证明材料，包括但不限于原材料成本、人工成本、制造费用等。评审委员会依据专业经验，参考同类项目中标(成交)价格、类似产品市场价格水平、行业人工费用标准、国家有关部门指导行业协会发布的行业平均成本等情况，对报价合理性进行判断。 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磋商响应文件是否符合签署和盖章要求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是否符合法律、法规和磋商文件规定，无其他无效投标情形的。</w:t>
            </w:r>
          </w:p>
        </w:tc>
        <w:tc>
          <w:tcPr>
            <w:tcW w:type="dxa" w:w="1661"/>
          </w:tcPr>
          <w:p>
            <w:pPr>
              <w:pStyle w:val="null3"/>
            </w:pPr>
            <w:r>
              <w:rPr>
                <w:rFonts w:ascii="仿宋_GB2312" w:hAnsi="仿宋_GB2312" w:cs="仿宋_GB2312" w:eastAsia="仿宋_GB2312"/>
              </w:rPr>
              <w:t>服务方案 服务内容及服务要求应答表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资质认证①</w:t>
            </w:r>
          </w:p>
        </w:tc>
        <w:tc>
          <w:tcPr>
            <w:tcW w:type="dxa" w:w="2492"/>
          </w:tcPr>
          <w:p>
            <w:pPr>
              <w:pStyle w:val="null3"/>
            </w:pPr>
            <w:r>
              <w:rPr>
                <w:rFonts w:ascii="仿宋_GB2312" w:hAnsi="仿宋_GB2312" w:cs="仿宋_GB2312" w:eastAsia="仿宋_GB2312"/>
              </w:rPr>
              <w:t>供应商提供有效的管理体系证书： （1）ISO9001质量管理体系认证证书； （2）ISO/IEC20000-1信息技术服务管理体系认证证书。 需同时提供证书复印件和在全国认证认可信息公共服务平台上http://cx.cnca.cn查询结果的截图，证书状态必须为“有效”，不提供或不符合不得分。 每个提供一个证书得2分，最多得4分，不提供不得分（需提供相关证书复印件，并加盖供应商公章）。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资质认证.docx</w:t>
            </w:r>
          </w:p>
        </w:tc>
      </w:tr>
      <w:tr>
        <w:tc>
          <w:tcPr>
            <w:tcW w:type="dxa" w:w="831"/>
            <w:vMerge/>
          </w:tcPr>
          <w:p/>
        </w:tc>
        <w:tc>
          <w:tcPr>
            <w:tcW w:type="dxa" w:w="1661"/>
          </w:tcPr>
          <w:p>
            <w:pPr>
              <w:pStyle w:val="null3"/>
            </w:pPr>
            <w:r>
              <w:rPr>
                <w:rFonts w:ascii="仿宋_GB2312" w:hAnsi="仿宋_GB2312" w:cs="仿宋_GB2312" w:eastAsia="仿宋_GB2312"/>
              </w:rPr>
              <w:t>资质认证②</w:t>
            </w:r>
          </w:p>
        </w:tc>
        <w:tc>
          <w:tcPr>
            <w:tcW w:type="dxa" w:w="2492"/>
          </w:tcPr>
          <w:p>
            <w:pPr>
              <w:pStyle w:val="null3"/>
            </w:pPr>
            <w:r>
              <w:rPr>
                <w:rFonts w:ascii="仿宋_GB2312" w:hAnsi="仿宋_GB2312" w:cs="仿宋_GB2312" w:eastAsia="仿宋_GB2312"/>
              </w:rPr>
              <w:t>供应商需具备有效的信息安全管理体系认证和隐私信息管理体系认证。需同时提供证书复印件和在全国认证认可信息公共服务平台上http://cx.cnca.cn查询结果的截图，证书状态必须为“有效”，不提供或不符合不得分。 每提供一项有效认证得3分，最多得6分。未提供不得分（需提供相关证书复印件，并加盖供应商公章）。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资质认证.docx</w:t>
            </w:r>
          </w:p>
        </w:tc>
      </w:tr>
      <w:tr>
        <w:tc>
          <w:tcPr>
            <w:tcW w:type="dxa" w:w="831"/>
            <w:vMerge/>
          </w:tcPr>
          <w:p/>
        </w:tc>
        <w:tc>
          <w:tcPr>
            <w:tcW w:type="dxa" w:w="1661"/>
          </w:tcPr>
          <w:p>
            <w:pPr>
              <w:pStyle w:val="null3"/>
            </w:pPr>
            <w:r>
              <w:rPr>
                <w:rFonts w:ascii="仿宋_GB2312" w:hAnsi="仿宋_GB2312" w:cs="仿宋_GB2312" w:eastAsia="仿宋_GB2312"/>
              </w:rPr>
              <w:t>供应商项目实施经验与能力①</w:t>
            </w:r>
          </w:p>
        </w:tc>
        <w:tc>
          <w:tcPr>
            <w:tcW w:type="dxa" w:w="2492"/>
          </w:tcPr>
          <w:p>
            <w:pPr>
              <w:pStyle w:val="null3"/>
            </w:pPr>
            <w:r>
              <w:rPr>
                <w:rFonts w:ascii="仿宋_GB2312" w:hAnsi="仿宋_GB2312" w:cs="仿宋_GB2312" w:eastAsia="仿宋_GB2312"/>
              </w:rPr>
              <w:t>供应商自2022年1月以来（以合同签订时间为准）具有医疗类：大数据、数据治理、医疗人工智能等相关项目业绩，每提供一个得2分，最多得6分。 供应商提供合同首页、关键页、双方签章页材料复印件并加盖供应商公章，未提供或提供不符合要求的不得分。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供应商项目实施经验与能力.docx</w:t>
            </w:r>
          </w:p>
        </w:tc>
      </w:tr>
      <w:tr>
        <w:tc>
          <w:tcPr>
            <w:tcW w:type="dxa" w:w="831"/>
            <w:vMerge/>
          </w:tcPr>
          <w:p/>
        </w:tc>
        <w:tc>
          <w:tcPr>
            <w:tcW w:type="dxa" w:w="1661"/>
          </w:tcPr>
          <w:p>
            <w:pPr>
              <w:pStyle w:val="null3"/>
            </w:pPr>
            <w:r>
              <w:rPr>
                <w:rFonts w:ascii="仿宋_GB2312" w:hAnsi="仿宋_GB2312" w:cs="仿宋_GB2312" w:eastAsia="仿宋_GB2312"/>
              </w:rPr>
              <w:t>供应商项目实施经验与能力②</w:t>
            </w:r>
          </w:p>
        </w:tc>
        <w:tc>
          <w:tcPr>
            <w:tcW w:type="dxa" w:w="2492"/>
          </w:tcPr>
          <w:p>
            <w:pPr>
              <w:pStyle w:val="null3"/>
            </w:pPr>
            <w:r>
              <w:rPr>
                <w:rFonts w:ascii="仿宋_GB2312" w:hAnsi="仿宋_GB2312" w:cs="仿宋_GB2312" w:eastAsia="仿宋_GB2312"/>
              </w:rPr>
              <w:t>供应商具有数据治理能力，具有医疗领域数据集、数据处理、术语体系等技术能力，每提供一项得3分，最多得6分。须提供出版物、奖项等相关官方证明材料并加盖供应商公章。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供应商项目实施经验与能力.docx</w:t>
            </w:r>
          </w:p>
        </w:tc>
      </w:tr>
      <w:tr>
        <w:tc>
          <w:tcPr>
            <w:tcW w:type="dxa" w:w="831"/>
            <w:vMerge/>
          </w:tcPr>
          <w:p/>
        </w:tc>
        <w:tc>
          <w:tcPr>
            <w:tcW w:type="dxa" w:w="1661"/>
          </w:tcPr>
          <w:p>
            <w:pPr>
              <w:pStyle w:val="null3"/>
            </w:pPr>
            <w:r>
              <w:rPr>
                <w:rFonts w:ascii="仿宋_GB2312" w:hAnsi="仿宋_GB2312" w:cs="仿宋_GB2312" w:eastAsia="仿宋_GB2312"/>
              </w:rPr>
              <w:t>供应商技术实力①</w:t>
            </w:r>
          </w:p>
        </w:tc>
        <w:tc>
          <w:tcPr>
            <w:tcW w:type="dxa" w:w="2492"/>
          </w:tcPr>
          <w:p>
            <w:pPr>
              <w:pStyle w:val="null3"/>
            </w:pPr>
            <w:r>
              <w:rPr>
                <w:rFonts w:ascii="仿宋_GB2312" w:hAnsi="仿宋_GB2312" w:cs="仿宋_GB2312" w:eastAsia="仿宋_GB2312"/>
              </w:rPr>
              <w:t>供应商具有与本项目相关的系统，如医疗多模态数据采集、多模态医疗大数据治理、知识图谱、多模态医疗数据标注、大数据建模、多模态AI分析、医学多模态数据脱敏、数据隐私安全等。 须提供相关系统或软件的计算机软件著作权登记证书复印件，每个提供一个证书得1分，最多得8分，不提供不得分（需提供相关证书复印件，并加盖供应商公章）。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供应商技术实力.docx</w:t>
            </w:r>
          </w:p>
        </w:tc>
      </w:tr>
      <w:tr>
        <w:tc>
          <w:tcPr>
            <w:tcW w:type="dxa" w:w="831"/>
            <w:vMerge/>
          </w:tcPr>
          <w:p/>
        </w:tc>
        <w:tc>
          <w:tcPr>
            <w:tcW w:type="dxa" w:w="1661"/>
          </w:tcPr>
          <w:p>
            <w:pPr>
              <w:pStyle w:val="null3"/>
            </w:pPr>
            <w:r>
              <w:rPr>
                <w:rFonts w:ascii="仿宋_GB2312" w:hAnsi="仿宋_GB2312" w:cs="仿宋_GB2312" w:eastAsia="仿宋_GB2312"/>
              </w:rPr>
              <w:t>供应商技术实力②</w:t>
            </w:r>
          </w:p>
        </w:tc>
        <w:tc>
          <w:tcPr>
            <w:tcW w:type="dxa" w:w="2492"/>
          </w:tcPr>
          <w:p>
            <w:pPr>
              <w:pStyle w:val="null3"/>
            </w:pPr>
            <w:r>
              <w:rPr>
                <w:rFonts w:ascii="仿宋_GB2312" w:hAnsi="仿宋_GB2312" w:cs="仿宋_GB2312" w:eastAsia="仿宋_GB2312"/>
              </w:rPr>
              <w:t>供应商近5年承担或参与过科技部医疗大数据、医疗人工智能、医疗跨模态等相关重点研发计划项目，每提供一项得1分，最多得3分。 提供项目申报成功的项目任务书或合同（协议）关键页扫描件并加盖供应商公章，否则不得分。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供应商技术实力.docx</w:t>
            </w:r>
          </w:p>
        </w:tc>
      </w:tr>
      <w:tr>
        <w:tc>
          <w:tcPr>
            <w:tcW w:type="dxa" w:w="831"/>
            <w:vMerge/>
          </w:tcPr>
          <w:p/>
        </w:tc>
        <w:tc>
          <w:tcPr>
            <w:tcW w:type="dxa" w:w="1661"/>
          </w:tcPr>
          <w:p>
            <w:pPr>
              <w:pStyle w:val="null3"/>
            </w:pPr>
            <w:r>
              <w:rPr>
                <w:rFonts w:ascii="仿宋_GB2312" w:hAnsi="仿宋_GB2312" w:cs="仿宋_GB2312" w:eastAsia="仿宋_GB2312"/>
              </w:rPr>
              <w:t>供应商技术实力③</w:t>
            </w:r>
          </w:p>
        </w:tc>
        <w:tc>
          <w:tcPr>
            <w:tcW w:type="dxa" w:w="2492"/>
          </w:tcPr>
          <w:p>
            <w:pPr>
              <w:pStyle w:val="null3"/>
            </w:pPr>
            <w:r>
              <w:rPr>
                <w:rFonts w:ascii="仿宋_GB2312" w:hAnsi="仿宋_GB2312" w:cs="仿宋_GB2312" w:eastAsia="仿宋_GB2312"/>
              </w:rPr>
              <w:t>供应商具有国际先进医学术语体系的使用经验，确保知识产权合法使用，采用国际标准术语体系，建设维护中文术语本体，为项目建设提供扎实的医学术语体系基础。 提供国际先进医学术语标准的使用授权证明材料复印件并加盖供应商公章得3分,最多得3分，不提供不得分。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供应商技术实力.docx</w:t>
            </w:r>
          </w:p>
        </w:tc>
      </w:tr>
      <w:tr>
        <w:tc>
          <w:tcPr>
            <w:tcW w:type="dxa" w:w="831"/>
            <w:vMerge/>
          </w:tcPr>
          <w:p/>
        </w:tc>
        <w:tc>
          <w:tcPr>
            <w:tcW w:type="dxa" w:w="1661"/>
          </w:tcPr>
          <w:p>
            <w:pPr>
              <w:pStyle w:val="null3"/>
            </w:pPr>
            <w:r>
              <w:rPr>
                <w:rFonts w:ascii="仿宋_GB2312" w:hAnsi="仿宋_GB2312" w:cs="仿宋_GB2312" w:eastAsia="仿宋_GB2312"/>
              </w:rPr>
              <w:t>供应商技术实力④</w:t>
            </w:r>
          </w:p>
        </w:tc>
        <w:tc>
          <w:tcPr>
            <w:tcW w:type="dxa" w:w="2492"/>
          </w:tcPr>
          <w:p>
            <w:pPr>
              <w:pStyle w:val="null3"/>
            </w:pPr>
            <w:r>
              <w:rPr>
                <w:rFonts w:ascii="仿宋_GB2312" w:hAnsi="仿宋_GB2312" w:cs="仿宋_GB2312" w:eastAsia="仿宋_GB2312"/>
              </w:rPr>
              <w:t>供应商具有国际通用数据模型OMOP CDM（OMOP通用数据模型）等的项目建设经验，提供合同首页、关键页、双方签章页材料扫描件（合同内容包含以上关键字）。每提供1个得2分，最多得4分，不提供不得分。 以上资料均要求提供扫描件，并加盖供应商公章。评分中出现无证明资料或专家无法凭所提供资料判断是否得分的情况，一律作不得分处理。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供应商技术实力.docx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1、项目负责人须具备以下资质： （1）具有计算机相关专业的本科或以上学历； （2）具有由人力资源和社会保障部门（含原人事部门）或工业和信息化部门（含原信息产业部门）颁发的信息系统项目管理师证书或PMP； （3）公共卫生与预防医学专业领域高级职称。 以上每满足一项得1分，满分3分。 2、项目团队应配置高学历人才，具备博士学历人员，所研究专业方向包括：流行病与卫生统计学、基础数学2个专业。 ①其中流行病与卫生统计学专业人员至少配备3人得3分，满分3分，少1人扣1分，扣完为止。 ②其中基础数学专业人员至少配备2人得2分，满分2分，少1人扣1分，扣完为止。 3、项目主要团队成员在此基础上： （1）具有由中国信息安全测评中心颁发的注册信息安全专业人员（CISP）证书1人； （2）具有由人力资源和社会保障部门（含原人事部门）或工业和信息化部门（含原信息产业部门）颁发的“系统集成项目管理工程师”中级及以上证书1人； （3）具有由人力资源和社会保障部门（含原人事部门）或工业和信息化部门（含原信息产业部门）颁发的“软件设计师”证书1人； 以上3项全部满足得3分，满分3分，少1项扣1分，扣完为止。 证明材料要求： ①证书资料均要求提供扫描件，并加盖供应商公章。评分中出现无证明资料或专家无法凭所提供资料判断是否得分的情况，一律作不得分处理。 ②学历证明需提供学历证书扫描件。</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各标人对本项目的建设需求理解情况，包括但不限于：项目建设的理解、需求分析、服务内容及目标等，由评委进行评分：理解透彻，表述完整、内容详实且能够适用于本项目的得6-8分；内容理解不够透彻，表述存在瑕疵、部分内容详实但能够适用于本项目的得4-5分；方案内容理解不到位，表述简短或无实质内容的得1-3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咨询服务方案</w:t>
            </w:r>
          </w:p>
        </w:tc>
        <w:tc>
          <w:tcPr>
            <w:tcW w:type="dxa" w:w="2492"/>
          </w:tcPr>
          <w:p>
            <w:pPr>
              <w:pStyle w:val="null3"/>
            </w:pPr>
            <w:r>
              <w:rPr>
                <w:rFonts w:ascii="仿宋_GB2312" w:hAnsi="仿宋_GB2312" w:cs="仿宋_GB2312" w:eastAsia="仿宋_GB2312"/>
              </w:rPr>
              <w:t>根据招标要求和供应商响应情况，对供应商提供的咨询服务工作方案进行综合评价，其中包括但不限于项目整体咨询服务建设设计、合理化建议、项目重难点分析。 咨询服务工作内容全面具体，有详尽的咨询服务流程，可操作性强，完全满足采购需求，得6-8分；咨询服务工作内容较全面，咨询服务流程较详尽，基本满足采购需求，得4-5分；咨询服务工作内容有欠缺，咨询服务流程不够详尽，较难满足容采购需求，得1-3分；未提供方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数据建设方案</w:t>
            </w:r>
          </w:p>
        </w:tc>
        <w:tc>
          <w:tcPr>
            <w:tcW w:type="dxa" w:w="2492"/>
          </w:tcPr>
          <w:p>
            <w:pPr>
              <w:pStyle w:val="null3"/>
            </w:pPr>
            <w:r>
              <w:rPr>
                <w:rFonts w:ascii="仿宋_GB2312" w:hAnsi="仿宋_GB2312" w:cs="仿宋_GB2312" w:eastAsia="仿宋_GB2312"/>
              </w:rPr>
              <w:t>根据招标要求和供应商技术响应情况，对供应商提供的数据建设工作方案进行综合评价，其中：数据建设方案包括不限于数据规划、数据采集、数据预处理、数据标注、数据管理、数据质量保障等。 数据建设工作内容完整全面，思路清晰，完全满足采购要求，得6-8分；服务工作内容基本完整，思路较清晰，基本满足采购需求，得4-5分；服务工作内容完整性有所欠缺，思路不够清晰，较难满足采购需求，得1-3分；未提供方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服周期</w:t>
            </w:r>
          </w:p>
        </w:tc>
        <w:tc>
          <w:tcPr>
            <w:tcW w:type="dxa" w:w="2492"/>
          </w:tcPr>
          <w:p>
            <w:pPr>
              <w:pStyle w:val="null3"/>
            </w:pPr>
            <w:r>
              <w:rPr>
                <w:rFonts w:ascii="仿宋_GB2312" w:hAnsi="仿宋_GB2312" w:cs="仿宋_GB2312" w:eastAsia="仿宋_GB2312"/>
              </w:rPr>
              <w:t>根据供应商提供的咨询进度、组织等计划进行综合评价，其中：包括不限于项目整体阶段划分与任务安排、资源配置计划、风险评估与应对、验收与交付、运维服务等。 进度计划合理，对各阶段预期的交付成果、里程碑能准确把握，得6-8分；进度计划基本合理，对各阶段预期的交付成果、里程碑能描述简单，得4-5分；进度计划描述不清晰，对各阶段预期的交付成果、里程碑能描述模糊，得1-3分；未提供方案，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标人提供的服务承诺进行综合评价：保障服务质量、保障数据安全，满足知识产权要求，完全满足采购需求的，得3分；基本满足采购需求的，得2分；对采购需求不能完全满足得的，得1分；未提供或不合理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供应商需提供售后服务方案和相关承诺： 1、售后服务方案完整、详细、合理，评审为优，得4分； 2、售后服务方案较完整、较详细、较合理，评审为良，得2分； 3、售后服务方案不完整、简单、不合理，评审为差，得0分。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磋商文件要求且最后报价最低的供应商的价格为磋商基准价，其价格分为满分10分。其他供应商的价格分统一按照下列公式计算：磋商报价得分=（磋商基准价/最后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详见附件：供应商应提交的资格相关证明材料.docx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详见附件：资质认证.docx</w:t>
      </w:r>
    </w:p>
    <w:p>
      <w:pPr>
        <w:pStyle w:val="null3"/>
        <w:ind w:firstLine="960"/>
      </w:pPr>
      <w:r>
        <w:rPr>
          <w:rFonts w:ascii="仿宋_GB2312" w:hAnsi="仿宋_GB2312" w:cs="仿宋_GB2312" w:eastAsia="仿宋_GB2312"/>
        </w:rPr>
        <w:t>详见附件：供应商项目实施经验与能力.docx</w:t>
      </w:r>
    </w:p>
    <w:p>
      <w:pPr>
        <w:pStyle w:val="null3"/>
        <w:ind w:firstLine="960"/>
      </w:pPr>
      <w:r>
        <w:rPr>
          <w:rFonts w:ascii="仿宋_GB2312" w:hAnsi="仿宋_GB2312" w:cs="仿宋_GB2312" w:eastAsia="仿宋_GB2312"/>
        </w:rPr>
        <w:t>详见附件：供应商技术实力.docx</w:t>
      </w:r>
    </w:p>
    <w:p>
      <w:pPr>
        <w:pStyle w:val="null3"/>
        <w:ind w:firstLine="960"/>
      </w:pPr>
      <w:r>
        <w:rPr>
          <w:rFonts w:ascii="仿宋_GB2312" w:hAnsi="仿宋_GB2312" w:cs="仿宋_GB2312" w:eastAsia="仿宋_GB2312"/>
        </w:rPr>
        <w:t>详见附件：人员配置.docx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