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版本号：YWXH-2026-052920260626002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西乡县国土空间详细规划编制项目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YWXH-2026-0529</w:t>
      </w:r>
      <w:r>
        <w:br/>
      </w:r>
      <w:r>
        <w:br/>
      </w:r>
      <w:r>
        <w:br/>
      </w:r>
    </w:p>
    <w:p>
      <w:pPr>
        <w:pStyle w:val="null3"/>
        <w:jc w:val="center"/>
        <w:outlineLvl w:val="2"/>
      </w:pPr>
      <w:r>
        <w:rPr>
          <w:rFonts w:ascii="仿宋_GB2312" w:hAnsi="仿宋_GB2312" w:cs="仿宋_GB2312" w:eastAsia="仿宋_GB2312"/>
          <w:sz w:val="28"/>
          <w:b/>
        </w:rPr>
        <w:t>西乡县自然资源局(不动产登记局)</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西乡县自然资源局(不动产登记局)</w:t>
      </w:r>
      <w:r>
        <w:rPr>
          <w:rFonts w:ascii="仿宋_GB2312" w:hAnsi="仿宋_GB2312" w:cs="仿宋_GB2312" w:eastAsia="仿宋_GB2312"/>
        </w:rPr>
        <w:t>委托，拟对</w:t>
      </w:r>
      <w:r>
        <w:rPr>
          <w:rFonts w:ascii="仿宋_GB2312" w:hAnsi="仿宋_GB2312" w:cs="仿宋_GB2312" w:eastAsia="仿宋_GB2312"/>
        </w:rPr>
        <w:t>西乡县国土空间详细规划编制项目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YWXH-2026-0529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西乡县国土空间详细规划编制项目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详细规划，科学编制西乡县城镇开发边界内详细规划。</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采购包1（前期服务）：属于专门面向中小企业采购。</w:t>
      </w:r>
    </w:p>
    <w:p>
      <w:pPr>
        <w:pStyle w:val="null3"/>
      </w:pPr>
      <w:r>
        <w:rPr>
          <w:rFonts w:ascii="仿宋_GB2312" w:hAnsi="仿宋_GB2312" w:cs="仿宋_GB2312" w:eastAsia="仿宋_GB2312"/>
        </w:rPr>
        <w:t>采购包2（中心城区详细规划）：属于专门面向中小企业采购。</w:t>
      </w:r>
    </w:p>
    <w:p>
      <w:pPr>
        <w:pStyle w:val="null3"/>
      </w:pPr>
      <w:r>
        <w:rPr>
          <w:rFonts w:ascii="仿宋_GB2312" w:hAnsi="仿宋_GB2312" w:cs="仿宋_GB2312" w:eastAsia="仿宋_GB2312"/>
        </w:rPr>
        <w:t>采购包3（15个乡镇详细规划）：属于专门面向中小企业采购。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西乡县自然资源局(不动产登记局)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西乡县金牛路北段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13571674605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15384661070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p>
          <w:p>
            <w:pPr>
              <w:pStyle w:val="null3"/>
            </w:pPr>
            <w:r>
              <w:rPr>
                <w:rFonts w:ascii="仿宋_GB2312" w:hAnsi="仿宋_GB2312" w:cs="仿宋_GB2312" w:eastAsia="仿宋_GB2312"/>
              </w:rPr>
              <w:t>采购包2：3,620,000.00元</w:t>
            </w:r>
          </w:p>
          <w:p>
            <w:pPr>
              <w:pStyle w:val="null3"/>
            </w:pPr>
            <w:r>
              <w:rPr>
                <w:rFonts w:ascii="仿宋_GB2312" w:hAnsi="仿宋_GB2312" w:cs="仿宋_GB2312" w:eastAsia="仿宋_GB2312"/>
              </w:rPr>
              <w:t>采购包3：1,800,000.00元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西乡县自然资源局(不动产登记局)</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西乡县自然资源局(不动产登记局)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西乡县自然资源局(不动产登记局)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联系人：侯敏</w:t>
      </w:r>
    </w:p>
    <w:p>
      <w:pPr>
        <w:pStyle w:val="null3"/>
      </w:pPr>
      <w:r>
        <w:rPr>
          <w:rFonts w:ascii="仿宋_GB2312" w:hAnsi="仿宋_GB2312" w:cs="仿宋_GB2312" w:eastAsia="仿宋_GB2312"/>
        </w:rPr>
        <w:t>联系电话：15384661070</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详细规划，科学编制西乡县城镇开发边界内详细规划。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前期服务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3,620,000.00</w:t>
      </w:r>
    </w:p>
    <w:p>
      <w:pPr>
        <w:pStyle w:val="null3"/>
      </w:pPr>
      <w:r>
        <w:rPr>
          <w:rFonts w:ascii="仿宋_GB2312" w:hAnsi="仿宋_GB2312" w:cs="仿宋_GB2312" w:eastAsia="仿宋_GB2312"/>
        </w:rPr>
        <w:t>采购包最高限价（元）: 3,620,000.00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中心城区详细规划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15个乡镇详细规划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标的名称：前期服务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项目基础资料整合服务：供应商须组建专属专项服务团队，配齐项目负责人、技术负责人及各专业技术人员，结合项目实际编制细化的技术服务方案与进度推进计划，明确划分中心城区内、外资料收集、工作推进的分工边界与责任范围；依据国土空间规划资料管理、详细规划相关规范要求，协助采购人系统梳理中心城区内外各类上位规划文件、现行规划管控标准、土地权属信息、用地性质分类、城乡基础设施现状等基础资料，分类建立标准化资料管理台账；协助采购人开展基础资料的完整性、规范性、合规性审核工作，分别编制中心城区内、外专项资料清单，同时完成基础资料的分类整理、数据归集、分区分发工作，为后续规划编制工作提供准确、完整、合规的基础数据支撑。</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专题技术研究服务：供应商需结合县域自然禀赋、城乡发展现状、产业布局及地域发展特点，严格按照国土空间底线管控、基础设施建设、城乡交通规划、公共服务配套等国家及行业标准规范，针对性开展四项核心差异化专题技术研究，所有研究内容均区分中心城区内、外实施对比分析与差异化研判。其中，生态保护与底线管控专题需系统梳理生态保护红线、永久基本农田、耕地保护等刚性管控要求，校核现状用地、空间布局与上位管控规划的衔接匹配性；基础设施承载力专题需全面评估区域道路、给排水、能源、通信等各类基础设施建设现状与承载能力，形成中心城区内外差异化承载力研判结论与分析报告；交通组织与可达性专题需梳理现状交通网络体系、对外交通衔接通道、内部道路等级结构，精准研判交通短板问题，提出科学可行的交通组织优化提升建议；公共服务设施配置专题需全面摸排教育、医疗、养老、商业等公共服务设施现状布局、服务覆盖情况，精准分析中心城区内外设施配置缺口、供需矛盾及未来发展需求，为规划空间布局优化提供专题技术支撑。</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规划条件支撑服务：供应商依据各级国土空间上位规划、详细规划编制技术导则、城乡空间管控约束要求，协助采购人系统梳理明确中心城区内、外规划编制范围、编制单元划分标准、生态与空间底线管控要求、重点发展片区、各类建设约束条件、规划管控指标等核心内容，汇总形成标准化、清单化的规划编制条件清单；协助采购人把控规划编制质量，针对规划编制单位提交的阶段性及最终成果开展合规性审核工作，重点核查成果内容、指标体系、空间布局是否符合上位规划定位及现行空间管控要求，保障规划编制工作合法合规、贴合区域发展实际。</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全过程技术服务：供应商需遵循国土空间规划编制全流程技术审查管理规范，分三个阶段为项目提供跟踪技术服务。方案初稿阶段，对规划编制单位提交的中心城区内外规划初稿开展技术审核，核查内容与上位规划衔接性、底线管控符合性，排查初稿存在的技术问题与合规性漏洞；方案修改稿阶段，针对修改内容开展技术复核，校验问题整改落实情况，确保修改内容符合管控要求与编制标准；方案送审稿阶段，对中心城区内外送审成果开展合规性审查，核查核心管控指标、各类专项规划衔接、公众参与意见落实等关键内容，最终形成完整规范的技术审核报告。</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成果校核与归档移交服务：供应商依据国土空间规划成果验收标准、成果归档及数据库入库相关技术规范，协助采购人对规划编制单位提交的中心城区内外最终成果开展校核工作，重点校核成果格式规范性、内容完整性，全面排查成果错漏问题；协助采购人统筹整理项目技术资料、审核资料、对接资料及成果资料，完成项目技术成果的标准化分类归档，搭建完整的项目技术服务档案；项目服务收尾阶段，全面梳理汇总中心城区内外各项服务工作完成情况、成果交付明细、工作推进情况及现存遗留问题，编制规范完整的项目技术服务总结报告，顺利完成全部服务成果与档案资料的移交工作，保障项目闭环落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服务范围</w:t>
            </w:r>
          </w:p>
          <w:p>
            <w:pPr>
              <w:pStyle w:val="null3"/>
            </w:pPr>
            <w:r>
              <w:rPr>
                <w:rFonts w:ascii="仿宋_GB2312" w:hAnsi="仿宋_GB2312" w:cs="仿宋_GB2312" w:eastAsia="仿宋_GB2312"/>
                <w:sz w:val="21"/>
              </w:rPr>
              <w:t>本项目服务地理范围为项目所属县域全域国土空间，按空间边界划分为中心城区范围以内、中心城区范围以外两个分区全覆盖；服务工作范围覆盖县域详细规划编制前期全链条技术支撑工作，从项目筹备资料归集、专项课题研究、规划编制条件梳理、规划方案三阶段全过程技术审核，直至最终成果校核、档案整理移交全流程技术服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3.1项目基础资料整合服务</w:t>
            </w:r>
          </w:p>
          <w:p>
            <w:pPr>
              <w:pStyle w:val="null3"/>
            </w:pPr>
            <w:r>
              <w:rPr>
                <w:rFonts w:ascii="仿宋_GB2312" w:hAnsi="仿宋_GB2312" w:cs="仿宋_GB2312" w:eastAsia="仿宋_GB2312"/>
                <w:sz w:val="21"/>
              </w:rPr>
              <w:t>3.1.1工作内容</w:t>
            </w:r>
          </w:p>
          <w:p>
            <w:pPr>
              <w:pStyle w:val="null3"/>
              <w:ind w:firstLine="480"/>
              <w:jc w:val="both"/>
            </w:pPr>
            <w:r>
              <w:rPr>
                <w:rFonts w:ascii="仿宋_GB2312" w:hAnsi="仿宋_GB2312" w:cs="仿宋_GB2312" w:eastAsia="仿宋_GB2312"/>
                <w:sz w:val="21"/>
              </w:rPr>
              <w:t>供应商需组建专属专项服务团队，配齐项目负责人、技术负责人及各专业技术人员，结合项目实际制定详细的技术服务方案与工作推进计划，明确划分中心城区内、外资料收集及各项工作的分工边界。严格依据国土空间规划相关规范，协助采购人系统梳理上位规划文件、现行管控要求、土地权属、用地性质、基础设施现状等各类项目基础资料，开展基础资料完整性、合规性审核工作，区分中心城区内外梳理形成专项资料清单，并完成全域基础资料的标准化数据归集、分类整理与分区分发工作。</w:t>
            </w:r>
          </w:p>
          <w:p>
            <w:pPr>
              <w:pStyle w:val="null3"/>
            </w:pPr>
            <w:r>
              <w:rPr>
                <w:rFonts w:ascii="仿宋_GB2312" w:hAnsi="仿宋_GB2312" w:cs="仿宋_GB2312" w:eastAsia="仿宋_GB2312"/>
                <w:sz w:val="21"/>
              </w:rPr>
              <w:t>3.1.2 服务范围</w:t>
            </w:r>
          </w:p>
          <w:p>
            <w:pPr>
              <w:pStyle w:val="null3"/>
              <w:ind w:firstLine="480"/>
              <w:jc w:val="both"/>
            </w:pPr>
            <w:r>
              <w:rPr>
                <w:rFonts w:ascii="仿宋_GB2312" w:hAnsi="仿宋_GB2312" w:cs="仿宋_GB2312" w:eastAsia="仿宋_GB2312"/>
                <w:sz w:val="21"/>
              </w:rPr>
              <w:t>本项服务覆盖项目所属县域全域国土空间，严格按照中心城区内部、中心城区外部两大分区全覆盖开展工作，涵盖全域范围内所有与本次详细规划编制相关的规划资料、土地资源资料、建设现状资料、管控政策资料等基础数据的摸排、梳理、审核与规整工作。</w:t>
            </w:r>
          </w:p>
          <w:p>
            <w:pPr>
              <w:pStyle w:val="null3"/>
            </w:pPr>
            <w:r>
              <w:rPr>
                <w:rFonts w:ascii="仿宋_GB2312" w:hAnsi="仿宋_GB2312" w:cs="仿宋_GB2312" w:eastAsia="仿宋_GB2312"/>
                <w:sz w:val="21"/>
              </w:rPr>
              <w:t>3.1.3 成果要求</w:t>
            </w:r>
          </w:p>
          <w:p>
            <w:pPr>
              <w:pStyle w:val="null3"/>
              <w:ind w:firstLine="480"/>
              <w:jc w:val="both"/>
            </w:pPr>
            <w:r>
              <w:rPr>
                <w:rFonts w:ascii="仿宋_GB2312" w:hAnsi="仿宋_GB2312" w:cs="仿宋_GB2312" w:eastAsia="仿宋_GB2312"/>
                <w:sz w:val="21"/>
              </w:rPr>
              <w:t>需交付完整规范的项目技术服务方案与工作推进计划，建立标准化、可追溯的全域基础资料台账，分别形成中心城区内、中心城区外两套完整合规的基础资料清单，完成分区基础数据归集成果，所有资料数据真实准确、分类清晰、完整合规，能够全面支撑后续规划编制工作开展。</w:t>
            </w:r>
          </w:p>
          <w:p>
            <w:pPr>
              <w:pStyle w:val="null3"/>
            </w:pPr>
            <w:r>
              <w:rPr>
                <w:rFonts w:ascii="仿宋_GB2312" w:hAnsi="仿宋_GB2312" w:cs="仿宋_GB2312" w:eastAsia="仿宋_GB2312"/>
                <w:sz w:val="21"/>
              </w:rPr>
              <w:t>3.2专题技术研究服务</w:t>
            </w:r>
          </w:p>
          <w:p>
            <w:pPr>
              <w:pStyle w:val="null3"/>
            </w:pPr>
            <w:r>
              <w:rPr>
                <w:rFonts w:ascii="仿宋_GB2312" w:hAnsi="仿宋_GB2312" w:cs="仿宋_GB2312" w:eastAsia="仿宋_GB2312"/>
                <w:sz w:val="21"/>
              </w:rPr>
              <w:t>3.2.1 工作内容</w:t>
            </w:r>
          </w:p>
          <w:p>
            <w:pPr>
              <w:pStyle w:val="null3"/>
              <w:ind w:firstLine="480"/>
              <w:jc w:val="both"/>
            </w:pPr>
            <w:r>
              <w:rPr>
                <w:rFonts w:ascii="仿宋_GB2312" w:hAnsi="仿宋_GB2312" w:cs="仿宋_GB2312" w:eastAsia="仿宋_GB2312"/>
                <w:sz w:val="21"/>
              </w:rPr>
              <w:t>供应商需结合县域发展禀赋、建设现状与地域发展特点，严格遵循国土空间规划技术标准与规范，区分中心城区内、外开展四项差异化核心专题研究。系统梳理生态红线、永久基本农田、耕地保护等刚性管控要求，校核现状布局与上位规划的衔接性；全面评估道路、给排水、能源、通信等基础设施的现状与承载能力；深入分析区域交通网络格局、对外衔接条件及内部道路等级体系，科学提出交通组织优化建议；全面摸排教育、医疗、养老、商业等公共服务设施现状，精准研判设施配置缺口与未来发展需求，形成分区差异化研究结论。</w:t>
            </w:r>
          </w:p>
          <w:p>
            <w:pPr>
              <w:pStyle w:val="null3"/>
            </w:pPr>
            <w:r>
              <w:rPr>
                <w:rFonts w:ascii="仿宋_GB2312" w:hAnsi="仿宋_GB2312" w:cs="仿宋_GB2312" w:eastAsia="仿宋_GB2312"/>
                <w:sz w:val="21"/>
              </w:rPr>
              <w:t>3.2.2 服务范围</w:t>
            </w:r>
          </w:p>
          <w:p>
            <w:pPr>
              <w:pStyle w:val="null3"/>
              <w:ind w:firstLine="480"/>
              <w:jc w:val="both"/>
            </w:pPr>
            <w:r>
              <w:rPr>
                <w:rFonts w:ascii="仿宋_GB2312" w:hAnsi="仿宋_GB2312" w:cs="仿宋_GB2312" w:eastAsia="仿宋_GB2312"/>
                <w:sz w:val="21"/>
              </w:rPr>
              <w:t>本项服务范围为项目县域全域国土空间，包含中心城区内部、中心城区外部所有城乡建设空间、生态管控空间、产业发展空间及乡村发展空间，全覆盖开展生态管控、基础设施、交通体系、公共服务配套四大领域的现状调研、数据分析与专题研究工作。</w:t>
            </w:r>
          </w:p>
          <w:p>
            <w:pPr>
              <w:pStyle w:val="null3"/>
            </w:pPr>
            <w:r>
              <w:rPr>
                <w:rFonts w:ascii="仿宋_GB2312" w:hAnsi="仿宋_GB2312" w:cs="仿宋_GB2312" w:eastAsia="仿宋_GB2312"/>
                <w:sz w:val="21"/>
              </w:rPr>
              <w:t>3.2.3 成果要求</w:t>
            </w:r>
          </w:p>
          <w:p>
            <w:pPr>
              <w:pStyle w:val="null3"/>
              <w:ind w:firstLine="480"/>
              <w:jc w:val="both"/>
            </w:pPr>
            <w:r>
              <w:rPr>
                <w:rFonts w:ascii="仿宋_GB2312" w:hAnsi="仿宋_GB2312" w:cs="仿宋_GB2312" w:eastAsia="仿宋_GB2312"/>
                <w:sz w:val="21"/>
              </w:rPr>
              <w:t>需分别形成生态保护与底线管控、基础设施承载力、交通组织与可达性、公共服务设施配置四项完整的专题研究成果，所有成果需区分中心城区内、外形成差异化分析内容、研判结论及优化提升方案，成果数据详实、论证严谨、贴合县域实际，符合国土空间规划编制技术要求，可为详细规划编制提供扎实的专题技术支撑。</w:t>
            </w:r>
          </w:p>
          <w:p>
            <w:pPr>
              <w:pStyle w:val="null3"/>
            </w:pPr>
            <w:r>
              <w:rPr>
                <w:rFonts w:ascii="仿宋_GB2312" w:hAnsi="仿宋_GB2312" w:cs="仿宋_GB2312" w:eastAsia="仿宋_GB2312"/>
                <w:sz w:val="21"/>
              </w:rPr>
              <w:t>3.3规划条件支撑服务</w:t>
            </w:r>
          </w:p>
          <w:p>
            <w:pPr>
              <w:pStyle w:val="null3"/>
            </w:pPr>
            <w:r>
              <w:rPr>
                <w:rFonts w:ascii="仿宋_GB2312" w:hAnsi="仿宋_GB2312" w:cs="仿宋_GB2312" w:eastAsia="仿宋_GB2312"/>
                <w:sz w:val="21"/>
              </w:rPr>
              <w:t>3.3.1 工作内容</w:t>
            </w:r>
          </w:p>
          <w:p>
            <w:pPr>
              <w:pStyle w:val="null3"/>
              <w:ind w:firstLine="480"/>
              <w:jc w:val="both"/>
            </w:pPr>
            <w:r>
              <w:rPr>
                <w:rFonts w:ascii="仿宋_GB2312" w:hAnsi="仿宋_GB2312" w:cs="仿宋_GB2312" w:eastAsia="仿宋_GB2312"/>
                <w:sz w:val="21"/>
              </w:rPr>
              <w:t>供应商需依据上位规划、技术导则及现行空间管控要求，协助采购人系统梳理中心城区内、外规划编制核心条件，明确规划编制范围、编制单元划分标准、底线管控要求、重点发展区域及各类建设约束条件。同时对规划编制单位提交的阶段性成果开展合规性审核，重点核查成果内容、指标体系、空间布局是否符合上位规划定位、技术规范及区域管控要求，保障规划编制工作合规有序推进。</w:t>
            </w:r>
          </w:p>
          <w:p>
            <w:pPr>
              <w:pStyle w:val="null3"/>
            </w:pPr>
            <w:r>
              <w:rPr>
                <w:rFonts w:ascii="仿宋_GB2312" w:hAnsi="仿宋_GB2312" w:cs="仿宋_GB2312" w:eastAsia="仿宋_GB2312"/>
                <w:sz w:val="21"/>
              </w:rPr>
              <w:t>3.3.2 服务范围</w:t>
            </w:r>
          </w:p>
          <w:p>
            <w:pPr>
              <w:pStyle w:val="null3"/>
              <w:ind w:firstLine="480"/>
              <w:jc w:val="both"/>
            </w:pPr>
            <w:r>
              <w:rPr>
                <w:rFonts w:ascii="仿宋_GB2312" w:hAnsi="仿宋_GB2312" w:cs="仿宋_GB2312" w:eastAsia="仿宋_GB2312"/>
                <w:sz w:val="21"/>
              </w:rPr>
              <w:t>本项服务覆盖县域中心城区内、外全部本次详细规划编制涉及的规划区域，涵盖规划编制条件梳理、管控边界核查、规划成果合规性审核等全部配套技术支撑工作。</w:t>
            </w:r>
          </w:p>
          <w:p>
            <w:pPr>
              <w:pStyle w:val="null3"/>
            </w:pPr>
            <w:r>
              <w:rPr>
                <w:rFonts w:ascii="仿宋_GB2312" w:hAnsi="仿宋_GB2312" w:cs="仿宋_GB2312" w:eastAsia="仿宋_GB2312"/>
                <w:sz w:val="21"/>
              </w:rPr>
              <w:t>3.3.3 成果要求</w:t>
            </w:r>
          </w:p>
          <w:p>
            <w:pPr>
              <w:pStyle w:val="null3"/>
              <w:ind w:firstLine="480"/>
              <w:jc w:val="both"/>
            </w:pPr>
            <w:r>
              <w:rPr>
                <w:rFonts w:ascii="仿宋_GB2312" w:hAnsi="仿宋_GB2312" w:cs="仿宋_GB2312" w:eastAsia="仿宋_GB2312"/>
                <w:sz w:val="21"/>
              </w:rPr>
              <w:t>需形成内容全面、边界清晰、规范统一的中心城区内、外规划编制条件清单，留存完整的规划成果合规性审核记录、审核意见及相关佐证资料，确保梳理的规划编制条件科学合规、贴合区域发展实际，审核资料完整可追溯，为规划编制、成果把控提供明确的技术依据。</w:t>
            </w:r>
          </w:p>
          <w:p>
            <w:pPr>
              <w:pStyle w:val="null3"/>
            </w:pPr>
            <w:r>
              <w:rPr>
                <w:rFonts w:ascii="仿宋_GB2312" w:hAnsi="仿宋_GB2312" w:cs="仿宋_GB2312" w:eastAsia="仿宋_GB2312"/>
                <w:sz w:val="21"/>
              </w:rPr>
              <w:t>3.4全过程技术服务</w:t>
            </w:r>
          </w:p>
          <w:p>
            <w:pPr>
              <w:pStyle w:val="null3"/>
            </w:pPr>
            <w:r>
              <w:rPr>
                <w:rFonts w:ascii="仿宋_GB2312" w:hAnsi="仿宋_GB2312" w:cs="仿宋_GB2312" w:eastAsia="仿宋_GB2312"/>
                <w:sz w:val="21"/>
              </w:rPr>
              <w:t>3.4.1 工作内容</w:t>
            </w:r>
          </w:p>
          <w:p>
            <w:pPr>
              <w:pStyle w:val="null3"/>
              <w:ind w:firstLine="480"/>
              <w:jc w:val="both"/>
            </w:pPr>
            <w:r>
              <w:rPr>
                <w:rFonts w:ascii="仿宋_GB2312" w:hAnsi="仿宋_GB2312" w:cs="仿宋_GB2312" w:eastAsia="仿宋_GB2312"/>
                <w:sz w:val="21"/>
              </w:rPr>
              <w:t>供应商需全程跟踪规划编制全流程，分三个阶段开展专项技术服务与审核工作。方案初稿阶段，针对中心城区内、外规划初稿，重点审核与上位规划、底线管控、技术导则的符合性；方案修改稿阶段，全程跟踪成果修改进度，开展多轮精细化技术复核，逐条落实问题整改情况；方案送审稿阶段，全面核查指标管控、空间布局、专项规划衔接、公众参与落实等核心内容，出具正式审核报告。同时建立全过程技术服务台账，完整记录各轮审核意见、修改情况、专家意见及甲乙双方沟通对接记录。</w:t>
            </w:r>
          </w:p>
          <w:p>
            <w:pPr>
              <w:pStyle w:val="null3"/>
            </w:pPr>
            <w:r>
              <w:rPr>
                <w:rFonts w:ascii="仿宋_GB2312" w:hAnsi="仿宋_GB2312" w:cs="仿宋_GB2312" w:eastAsia="仿宋_GB2312"/>
                <w:sz w:val="21"/>
              </w:rPr>
              <w:t>3.4.2 服务范围</w:t>
            </w:r>
          </w:p>
          <w:p>
            <w:pPr>
              <w:pStyle w:val="null3"/>
              <w:ind w:firstLine="480"/>
              <w:jc w:val="both"/>
            </w:pPr>
            <w:r>
              <w:rPr>
                <w:rFonts w:ascii="仿宋_GB2312" w:hAnsi="仿宋_GB2312" w:cs="仿宋_GB2312" w:eastAsia="仿宋_GB2312"/>
                <w:sz w:val="21"/>
              </w:rPr>
              <w:t>本项服务覆盖中心城区内、外规划编制的方案初稿、方案修改稿、方案送审稿全流程阶段，涵盖规划编制全过程的技术审核、整改复核、过程记录、技术答疑等全链条技术服务工作。</w:t>
            </w:r>
          </w:p>
          <w:p>
            <w:pPr>
              <w:pStyle w:val="null3"/>
            </w:pPr>
            <w:r>
              <w:rPr>
                <w:rFonts w:ascii="仿宋_GB2312" w:hAnsi="仿宋_GB2312" w:cs="仿宋_GB2312" w:eastAsia="仿宋_GB2312"/>
                <w:sz w:val="21"/>
              </w:rPr>
              <w:t>3.4.3 成果要求</w:t>
            </w:r>
          </w:p>
          <w:p>
            <w:pPr>
              <w:pStyle w:val="null3"/>
              <w:ind w:firstLine="480"/>
              <w:jc w:val="both"/>
            </w:pPr>
            <w:r>
              <w:rPr>
                <w:rFonts w:ascii="仿宋_GB2312" w:hAnsi="仿宋_GB2312" w:cs="仿宋_GB2312" w:eastAsia="仿宋_GB2312"/>
                <w:sz w:val="21"/>
              </w:rPr>
              <w:t>需交付各阶段技术审核记录、多轮成果复核资料、正式的送审稿技术审核报告，同时形成完整、规范、可追溯的全过程技术服务台账，实现规划编制技术审核全流程闭环管理，全面保障规划成果的合规性、严谨性与专业性。</w:t>
            </w:r>
          </w:p>
          <w:p>
            <w:pPr>
              <w:pStyle w:val="null3"/>
            </w:pPr>
            <w:r>
              <w:rPr>
                <w:rFonts w:ascii="仿宋_GB2312" w:hAnsi="仿宋_GB2312" w:cs="仿宋_GB2312" w:eastAsia="仿宋_GB2312"/>
                <w:sz w:val="21"/>
              </w:rPr>
              <w:t>3.5成果校核与归档移交服务</w:t>
            </w:r>
          </w:p>
          <w:p>
            <w:pPr>
              <w:pStyle w:val="null3"/>
            </w:pPr>
            <w:r>
              <w:rPr>
                <w:rFonts w:ascii="仿宋_GB2312" w:hAnsi="仿宋_GB2312" w:cs="仿宋_GB2312" w:eastAsia="仿宋_GB2312"/>
                <w:sz w:val="21"/>
              </w:rPr>
              <w:t>3.5.1 工作内容</w:t>
            </w:r>
          </w:p>
          <w:p>
            <w:pPr>
              <w:pStyle w:val="null3"/>
              <w:ind w:firstLine="480"/>
              <w:jc w:val="both"/>
            </w:pPr>
            <w:r>
              <w:rPr>
                <w:rFonts w:ascii="仿宋_GB2312" w:hAnsi="仿宋_GB2312" w:cs="仿宋_GB2312" w:eastAsia="仿宋_GB2312"/>
                <w:sz w:val="21"/>
              </w:rPr>
              <w:t>供应商需协助采购人对规划编制单位提交的中心城区内、外最终全套规划成果开展精细化校核，重点核查成果格式规范性、内容完整性、管控指标合规性及各类技术成果的一致性。系统整理项目全周期技术服务资料、审核资料、对接资料与成果资料，完成标准化分类归档，全面梳理全域服务开展情况、成果交付情况及项目遗留问题，编制项目技术服务总结报告，完成全套成果与档案资料的移交工作。</w:t>
            </w:r>
          </w:p>
          <w:p>
            <w:pPr>
              <w:pStyle w:val="null3"/>
            </w:pPr>
            <w:r>
              <w:rPr>
                <w:rFonts w:ascii="仿宋_GB2312" w:hAnsi="仿宋_GB2312" w:cs="仿宋_GB2312" w:eastAsia="仿宋_GB2312"/>
                <w:sz w:val="21"/>
              </w:rPr>
              <w:t>3.5.2 服务范围</w:t>
            </w:r>
          </w:p>
          <w:p>
            <w:pPr>
              <w:pStyle w:val="null3"/>
              <w:ind w:firstLine="480"/>
              <w:jc w:val="both"/>
            </w:pPr>
            <w:r>
              <w:rPr>
                <w:rFonts w:ascii="仿宋_GB2312" w:hAnsi="仿宋_GB2312" w:cs="仿宋_GB2312" w:eastAsia="仿宋_GB2312"/>
                <w:sz w:val="21"/>
              </w:rPr>
              <w:t>本项服务覆盖项目全周期所有技术服务资料，以及中心城区内、外最终规划全套成果，包含规划文本、图则、图件、数据库、各类附件等全部成果资料的校核、整理、归档与移交工作。</w:t>
            </w:r>
          </w:p>
          <w:p>
            <w:pPr>
              <w:pStyle w:val="null3"/>
            </w:pPr>
            <w:r>
              <w:rPr>
                <w:rFonts w:ascii="仿宋_GB2312" w:hAnsi="仿宋_GB2312" w:cs="仿宋_GB2312" w:eastAsia="仿宋_GB2312"/>
                <w:sz w:val="21"/>
              </w:rPr>
              <w:t>3.5.3 成果要求</w:t>
            </w:r>
          </w:p>
          <w:p>
            <w:pPr>
              <w:pStyle w:val="null3"/>
            </w:pPr>
            <w:r>
              <w:rPr>
                <w:rFonts w:ascii="仿宋_GB2312" w:hAnsi="仿宋_GB2312" w:cs="仿宋_GB2312" w:eastAsia="仿宋_GB2312"/>
                <w:sz w:val="21"/>
              </w:rPr>
              <w:t>需交付完整的成果校核记录、无错漏的标准化项目全周期技术服务档案、内容详实规范的技术服务总结报告，所有成果资料规整齐全、归档规范，顺利完成全部成果及档案资料移交，实现项目服务全流程闭环，确保项目资料完整留存、可查可溯。</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标的名称：中心城区详细规划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）详细规划编制单元划定</w:t>
            </w:r>
          </w:p>
          <w:p>
            <w:pPr>
              <w:pStyle w:val="null3"/>
              <w:ind w:firstLine="480"/>
              <w:jc w:val="both"/>
            </w:pPr>
            <w:r>
              <w:rPr>
                <w:rFonts w:ascii="仿宋_GB2312" w:hAnsi="仿宋_GB2312" w:cs="仿宋_GB2312" w:eastAsia="仿宋_GB2312"/>
                <w:sz w:val="21"/>
              </w:rPr>
              <w:t>根据《陕西省详细规划编制单元划定指南（试行）》要求，结合西乡县</w:t>
            </w:r>
            <w:r>
              <w:rPr>
                <w:rFonts w:ascii="仿宋_GB2312" w:hAnsi="仿宋_GB2312" w:cs="仿宋_GB2312" w:eastAsia="仿宋_GB2312"/>
                <w:sz w:val="21"/>
              </w:rPr>
              <w:t>“三区三线”划定成果、西乡县城镇开发边界局部优化成果、西乡县耕地和永久基本农田核实处置成果、县级国土空间总体规划成果、镇级国土空间总体规划成果等数据以及各级行政界线、用地权属界线、已编控规界线等行政管理范围，综合考虑城镇、农业、生态空间的不同特征，在详细规划“一张图”基础框架上，将上位总体规划的战略目标、底线管控、功能布局、资源利用等方面的要求分解落实到各规划单元，因地制宜确定单元的适宜规模、类型以及主导功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）中心城区国土空间详细规划</w:t>
            </w:r>
          </w:p>
          <w:p>
            <w:pPr>
              <w:pStyle w:val="null3"/>
              <w:ind w:firstLine="480"/>
              <w:jc w:val="both"/>
            </w:pPr>
            <w:r>
              <w:rPr>
                <w:rFonts w:ascii="仿宋_GB2312" w:hAnsi="仿宋_GB2312" w:cs="仿宋_GB2312" w:eastAsia="仿宋_GB2312"/>
                <w:sz w:val="21"/>
              </w:rPr>
              <w:t>规划以《西乡县国土空间总体规划（</w:t>
            </w:r>
            <w:r>
              <w:rPr>
                <w:rFonts w:ascii="仿宋_GB2312" w:hAnsi="仿宋_GB2312" w:cs="仿宋_GB2312" w:eastAsia="仿宋_GB2312"/>
                <w:sz w:val="21"/>
              </w:rPr>
              <w:t>2021-2035</w:t>
            </w:r>
            <w:r>
              <w:rPr>
                <w:rFonts w:ascii="仿宋_GB2312" w:hAnsi="仿宋_GB2312" w:cs="仿宋_GB2312" w:eastAsia="仿宋_GB2312"/>
                <w:sz w:val="21"/>
              </w:rPr>
              <w:t>年）》为基础，落实上位总体规划的战略目标和约束性指标，对其进行落实、深化、优化和补充。结合行政事权统筹生产、生活、生态和安全功能需求，依据西乡县国土空间详细规划编制单元划定的成果进行单元层面和实施层面（按需编制）详细规划的编制，并指导项目实施。</w:t>
            </w:r>
          </w:p>
          <w:p>
            <w:pPr>
              <w:pStyle w:val="null3"/>
              <w:ind w:firstLine="480"/>
              <w:jc w:val="both"/>
            </w:pPr>
            <w:r>
              <w:rPr>
                <w:rFonts w:ascii="仿宋_GB2312" w:hAnsi="仿宋_GB2312" w:cs="仿宋_GB2312" w:eastAsia="仿宋_GB2312"/>
                <w:sz w:val="21"/>
              </w:rPr>
              <w:t>根据现状建设情况和发展条件提出西乡县中心城区详细规划的设计方案。规划设计内容为：在单元层层面，通过现状分析研究和现状问题总结，提出规划范围的功能定位、空间结构、规划传导、用地布局、公共设施配置、市政基础设施深化、安全设施落实、历史文化保护与利用、风貌管控和城市更新引导等内容；在实施层面，落实单元管控要求，明确地块容积率、建筑高度、建筑密度、绿地率、风貌和设计引导等规定性指标和引导性指标要求，以指标量化、条文规定、图则标定等方式对各控制要素进行定性、定量、定位和定界的控制和引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服务范围</w:t>
            </w:r>
          </w:p>
          <w:p>
            <w:pPr>
              <w:pStyle w:val="null3"/>
            </w:pPr>
            <w:r>
              <w:rPr>
                <w:rFonts w:ascii="仿宋_GB2312" w:hAnsi="仿宋_GB2312" w:cs="仿宋_GB2312" w:eastAsia="仿宋_GB2312"/>
                <w:sz w:val="21"/>
              </w:rPr>
              <w:t>国土空间详细规划编制单元划定覆盖西乡县全域范围（</w:t>
            </w:r>
            <w:r>
              <w:rPr>
                <w:rFonts w:ascii="仿宋_GB2312" w:hAnsi="仿宋_GB2312" w:cs="仿宋_GB2312" w:eastAsia="仿宋_GB2312"/>
                <w:sz w:val="21"/>
              </w:rPr>
              <w:t>3240</w:t>
            </w:r>
            <w:r>
              <w:rPr>
                <w:rFonts w:ascii="仿宋_GB2312" w:hAnsi="仿宋_GB2312" w:cs="仿宋_GB2312" w:eastAsia="仿宋_GB2312"/>
                <w:sz w:val="21"/>
              </w:rPr>
              <w:t>平方千米）。中心城区国土空间详细规划编制范围为中心城区城镇开发边界范围，面积约为</w:t>
            </w:r>
            <w:r>
              <w:rPr>
                <w:rFonts w:ascii="仿宋_GB2312" w:hAnsi="仿宋_GB2312" w:cs="仿宋_GB2312" w:eastAsia="仿宋_GB2312"/>
                <w:sz w:val="21"/>
              </w:rPr>
              <w:t>1382</w:t>
            </w:r>
            <w:r>
              <w:rPr>
                <w:rFonts w:ascii="仿宋_GB2312" w:hAnsi="仿宋_GB2312" w:cs="仿宋_GB2312" w:eastAsia="仿宋_GB2312"/>
                <w:sz w:val="21"/>
              </w:rPr>
              <w:t>公顷。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服务要求</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 xml:space="preserve">1. </w:t>
            </w:r>
            <w:r>
              <w:rPr>
                <w:rFonts w:ascii="仿宋_GB2312" w:hAnsi="仿宋_GB2312" w:cs="仿宋_GB2312" w:eastAsia="仿宋_GB2312"/>
                <w:sz w:val="21"/>
              </w:rPr>
              <w:t>详细规划编制单元划定</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1.1</w:t>
            </w:r>
            <w:r>
              <w:rPr>
                <w:rFonts w:ascii="仿宋_GB2312" w:hAnsi="仿宋_GB2312" w:cs="仿宋_GB2312" w:eastAsia="仿宋_GB2312"/>
                <w:sz w:val="21"/>
              </w:rPr>
              <w:t>工作内容：</w:t>
            </w:r>
          </w:p>
          <w:p>
            <w:pPr>
              <w:pStyle w:val="null3"/>
              <w:ind w:firstLine="480"/>
              <w:jc w:val="both"/>
            </w:pPr>
            <w:r>
              <w:rPr>
                <w:rFonts w:ascii="仿宋_GB2312" w:hAnsi="仿宋_GB2312" w:cs="仿宋_GB2312" w:eastAsia="仿宋_GB2312"/>
                <w:sz w:val="21"/>
              </w:rPr>
              <w:t>根据《陕西省详细规划编制单元划定指南（试行）》要求，结合西乡县</w:t>
            </w:r>
            <w:r>
              <w:rPr>
                <w:rFonts w:ascii="仿宋_GB2312" w:hAnsi="仿宋_GB2312" w:cs="仿宋_GB2312" w:eastAsia="仿宋_GB2312"/>
                <w:sz w:val="21"/>
              </w:rPr>
              <w:t>“三区三线”划定成果、西乡县城镇开发边界局部优化成果、西乡县耕地和永久基本农田核实处置成果、县级国土空间总体规划成果、镇级国土空间总体规划成果等数据以及各级行政界线、用地权属界线、已编控规界线等行政管理范围，综合考虑城镇、农业、生态空间的不同特征，在详细规划“一张图”基础框架上，将上位总体规划的战略目标、底线管控、功能布局、资源利用等方面的要求分解落实到各规划单元，因地制宜确定单元的适宜规模、类型以及主导功能。</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1.2</w:t>
            </w:r>
            <w:r>
              <w:rPr>
                <w:rFonts w:ascii="仿宋_GB2312" w:hAnsi="仿宋_GB2312" w:cs="仿宋_GB2312" w:eastAsia="仿宋_GB2312"/>
                <w:sz w:val="21"/>
              </w:rPr>
              <w:t>规划范围</w:t>
            </w:r>
          </w:p>
          <w:p>
            <w:pPr>
              <w:pStyle w:val="null3"/>
              <w:ind w:firstLine="480"/>
              <w:jc w:val="both"/>
            </w:pPr>
            <w:r>
              <w:rPr>
                <w:rFonts w:ascii="仿宋_GB2312" w:hAnsi="仿宋_GB2312" w:cs="仿宋_GB2312" w:eastAsia="仿宋_GB2312"/>
                <w:sz w:val="21"/>
              </w:rPr>
              <w:t>西乡县国土空间详细规划单元划定规划范围为县域</w:t>
            </w:r>
            <w:r>
              <w:rPr>
                <w:rFonts w:ascii="仿宋_GB2312" w:hAnsi="仿宋_GB2312" w:cs="仿宋_GB2312" w:eastAsia="仿宋_GB2312"/>
                <w:sz w:val="21"/>
              </w:rPr>
              <w:t>3240</w:t>
            </w:r>
            <w:r>
              <w:rPr>
                <w:rFonts w:ascii="仿宋_GB2312" w:hAnsi="仿宋_GB2312" w:cs="仿宋_GB2312" w:eastAsia="仿宋_GB2312"/>
                <w:sz w:val="21"/>
              </w:rPr>
              <w:t>平方千米。</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1.3</w:t>
            </w:r>
            <w:r>
              <w:rPr>
                <w:rFonts w:ascii="仿宋_GB2312" w:hAnsi="仿宋_GB2312" w:cs="仿宋_GB2312" w:eastAsia="仿宋_GB2312"/>
                <w:sz w:val="21"/>
              </w:rPr>
              <w:t>成果要求</w:t>
            </w:r>
          </w:p>
          <w:p>
            <w:pPr>
              <w:pStyle w:val="null3"/>
              <w:ind w:firstLine="480"/>
              <w:jc w:val="both"/>
            </w:pPr>
            <w:r>
              <w:rPr>
                <w:rFonts w:ascii="仿宋_GB2312" w:hAnsi="仿宋_GB2312" w:cs="仿宋_GB2312" w:eastAsia="仿宋_GB2312"/>
                <w:sz w:val="21"/>
              </w:rPr>
              <w:t>按照《陕西省国土空间详细规划编制单元划定成果汇交要求与质检操作手册（讨论稿）》要求，成果数据包括：规划文档资料、规划栅格图件、矢量数据、规划表格、数据说明文档和成果报送清单。</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 xml:space="preserve">2. </w:t>
            </w:r>
            <w:r>
              <w:rPr>
                <w:rFonts w:ascii="仿宋_GB2312" w:hAnsi="仿宋_GB2312" w:cs="仿宋_GB2312" w:eastAsia="仿宋_GB2312"/>
                <w:sz w:val="21"/>
              </w:rPr>
              <w:t>中心城区国土空间详细规划</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2.1</w:t>
            </w:r>
            <w:r>
              <w:rPr>
                <w:rFonts w:ascii="仿宋_GB2312" w:hAnsi="仿宋_GB2312" w:cs="仿宋_GB2312" w:eastAsia="仿宋_GB2312"/>
                <w:sz w:val="21"/>
              </w:rPr>
              <w:t>规划内容：</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1"/>
              </w:rPr>
              <w:t>在单元层层面，通过现状分析研究和现状问题总结，提出规划范围的功能定位、空间结构、规划传导、用地布局、公共设施配置、市政基础设施深化、安全设施落实、历史文化保护与利用、风貌管控和城市更新引导等内容；在实施层面，落实单元管控要求，明确地块容积率、建筑高度、建筑密度、绿地率、风貌和设计引导等规定性指标和引导性指标要求，以指标量化、条文规定、图则标定等方式对各控制要素进行定性、定量、定位和定界的控制和引导。</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2.2</w:t>
            </w:r>
            <w:r>
              <w:rPr>
                <w:rFonts w:ascii="仿宋_GB2312" w:hAnsi="仿宋_GB2312" w:cs="仿宋_GB2312" w:eastAsia="仿宋_GB2312"/>
                <w:sz w:val="21"/>
              </w:rPr>
              <w:t>规划范围：</w:t>
            </w:r>
            <w:r>
              <w:rPr>
                <w:rFonts w:ascii="仿宋_GB2312" w:hAnsi="仿宋_GB2312" w:cs="仿宋_GB2312" w:eastAsia="仿宋_GB2312"/>
                <w:sz w:val="21"/>
              </w:rPr>
              <w:t>中心城区详细规划编制范围为中心城区城镇开发边界范围，面积约为</w:t>
            </w:r>
            <w:r>
              <w:rPr>
                <w:rFonts w:ascii="仿宋_GB2312" w:hAnsi="仿宋_GB2312" w:cs="仿宋_GB2312" w:eastAsia="仿宋_GB2312"/>
                <w:sz w:val="21"/>
              </w:rPr>
              <w:t>1382</w:t>
            </w:r>
            <w:r>
              <w:rPr>
                <w:rFonts w:ascii="仿宋_GB2312" w:hAnsi="仿宋_GB2312" w:cs="仿宋_GB2312" w:eastAsia="仿宋_GB2312"/>
                <w:sz w:val="21"/>
              </w:rPr>
              <w:t>公顷。</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2.3</w:t>
            </w:r>
            <w:r>
              <w:rPr>
                <w:rFonts w:ascii="仿宋_GB2312" w:hAnsi="仿宋_GB2312" w:cs="仿宋_GB2312" w:eastAsia="仿宋_GB2312"/>
                <w:sz w:val="21"/>
              </w:rPr>
              <w:t>成果要求：</w:t>
            </w:r>
          </w:p>
          <w:p>
            <w:pPr>
              <w:pStyle w:val="null3"/>
            </w:pPr>
            <w:r>
              <w:rPr>
                <w:rFonts w:ascii="仿宋_GB2312" w:hAnsi="仿宋_GB2312" w:cs="仿宋_GB2312" w:eastAsia="仿宋_GB2312"/>
                <w:sz w:val="21"/>
              </w:rPr>
              <w:t>按照《陕西省城镇开发边界内详细规划编制指南》要求，中心城区详细规划单元层面成果主要包括文本、图纸和编制说明，地块实施层面主要包括编制说明、图则和附件。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标的名称：15个乡镇详细规划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严格落实上位国土空间规划传导要求，并纳入相关专项规划空间管控内容，明确单元主导功能、发展定位与规模管控，结合地区发展需求，构建单元层级的指标体系，分解落实人口、用地等指标，确定单元底线约束与总量控制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）确定单元空间结构，优化单元用地布局，鼓励土地混合使用与功能复合，明确单元开发强度、建筑高度分区管控要求。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构建蓝绿空间与开敞空间系统，落实蓝线、绿线管控，优化水系、公园绿地、防护绿地、广场与生态廊道布局，明确湖泊、水库、沟塘、湿地等水域的面积和控制范围和各类公园、广场及其他重要绿地的等级、数量、规模和空间布局。</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完善综合交通体系，落实上位规划确定的快速路、主干路、次干路布局，结合单元功能定位及用地布局，优化单元路网结构，细化完善支路网系统，确定单元范围内道路功能等级、线位走向、红线宽度、断面、交叉口形式等控制要求，细化公共交通、停车设施、慢行交通与加油（气）</w:t>
            </w:r>
            <w:r>
              <w:rPr>
                <w:rFonts w:ascii="仿宋_GB2312" w:hAnsi="仿宋_GB2312" w:cs="仿宋_GB2312" w:eastAsia="仿宋_GB2312"/>
                <w:sz w:val="21"/>
              </w:rPr>
              <w:t>/</w:t>
            </w:r>
            <w:r>
              <w:rPr>
                <w:rFonts w:ascii="仿宋_GB2312" w:hAnsi="仿宋_GB2312" w:cs="仿宋_GB2312" w:eastAsia="仿宋_GB2312"/>
                <w:sz w:val="21"/>
              </w:rPr>
              <w:t>充换电站布局。</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）根据《社区生活圈规划技术指南》，并结合单元类型与规模合理配置公共服务设施。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）落实上位规划关于市政公用设施以及城市黄线的管控要求，衔接相关专项规划，统筹地上地下设施用地布局，确定给水、排水、供电、燃气、供热、通信、环卫设施的建设内容和用地要求。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结合西乡县现状建设情况、自然地形和城市道路、防洪排涝的要求，确定坡度、控制高程和规划地面形式，合理提出满足道路交通、地面排水、建筑布置、景观涉及的城市竖向管控要求，明确主要控制点的标高。</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）结合西乡县发展实际，提出规划范围内的实施路径与实施模式，加强规划实施的计划性和统筹安排，加强规划实施的时序引导，保障规划实施。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）具体采购内容包括单元层面详细规划文本（含附表）、图纸、编制说明、其他附件以及单元层面详细规划数据库。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服务范围：西乡县</w:t>
            </w:r>
            <w:r>
              <w:rPr>
                <w:rFonts w:ascii="仿宋_GB2312" w:hAnsi="仿宋_GB2312" w:cs="仿宋_GB2312" w:eastAsia="仿宋_GB2312"/>
                <w:sz w:val="21"/>
              </w:rPr>
              <w:t>15</w:t>
            </w:r>
            <w:r>
              <w:rPr>
                <w:rFonts w:ascii="仿宋_GB2312" w:hAnsi="仿宋_GB2312" w:cs="仿宋_GB2312" w:eastAsia="仿宋_GB2312"/>
                <w:sz w:val="21"/>
              </w:rPr>
              <w:t>个乡镇城镇开发边界内详细规划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服务要求：成果符合西乡县地方实际，具备前瞻性、可行性与实用性。编制内容和深度达到规定要求，符合</w:t>
            </w:r>
            <w:r>
              <w:rPr>
                <w:rFonts w:ascii="仿宋_GB2312" w:hAnsi="仿宋_GB2312" w:cs="仿宋_GB2312" w:eastAsia="仿宋_GB2312"/>
                <w:sz w:val="21"/>
              </w:rPr>
              <w:t>《陕西省城镇开发边界内详细规划编制指南（试行）》《陕西省城镇开发边界内详细规划数据库标准（试行）</w:t>
            </w:r>
            <w:r>
              <w:rPr>
                <w:rFonts w:ascii="仿宋_GB2312" w:hAnsi="仿宋_GB2312" w:cs="仿宋_GB2312" w:eastAsia="仿宋_GB2312"/>
                <w:sz w:val="21"/>
              </w:rPr>
              <w:t>》等</w:t>
            </w:r>
            <w:r>
              <w:rPr>
                <w:rFonts w:ascii="仿宋_GB2312" w:hAnsi="仿宋_GB2312" w:cs="仿宋_GB2312" w:eastAsia="仿宋_GB2312"/>
                <w:sz w:val="21"/>
              </w:rPr>
              <w:t>相关要求</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自合同签订之日起180日历天。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评审标准：每提交一份业绩得2分，最多10分。（以合同签订时间为准，须在响应文件中附合同协议书扫描件并加盖单位公章，证明材料不符合要求或未提供的均不得分）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评审标准：项目负责人具备相关专业高级职称（含）以上的，得3分，具备相关专业中级职称（含）以上的得1分，不具备的不得分。（以供应商提供的项目负责人相关证件为准）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评审标准：技术负责人具备相关专业高级职称（含）以上的，得2分，具备相关专业中级职称（含）以上的得1分，不具备的不得分。（以供应商提供的技术负责人相关证件为准）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评审标准：每提交一个相关专业中级职称（含）以上或注册城乡规划师的得2分，最高得25分。（以供应商提供的项目组成员相关证件为准）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基础资料整合服务方案</w:t>
            </w:r>
          </w:p>
        </w:tc>
        <w:tc>
          <w:tcPr>
            <w:tcW w:type="dxa" w:w="2492"/>
          </w:tcPr>
          <w:p>
            <w:pPr>
              <w:pStyle w:val="null3"/>
            </w:pPr>
            <w:r>
              <w:rPr>
                <w:rFonts w:ascii="仿宋_GB2312" w:hAnsi="仿宋_GB2312" w:cs="仿宋_GB2312" w:eastAsia="仿宋_GB2312"/>
              </w:rPr>
              <w:t>1、评审要点： 模块1基础资料梳理及台账建立（0-2.5分） 模块2基础资料审核（0-2.5分） 模块3数据归集与分发（0-2.5分）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专题技术研究服务方案</w:t>
            </w:r>
          </w:p>
        </w:tc>
        <w:tc>
          <w:tcPr>
            <w:tcW w:type="dxa" w:w="2492"/>
          </w:tcPr>
          <w:p>
            <w:pPr>
              <w:pStyle w:val="null3"/>
            </w:pPr>
            <w:r>
              <w:rPr>
                <w:rFonts w:ascii="仿宋_GB2312" w:hAnsi="仿宋_GB2312" w:cs="仿宋_GB2312" w:eastAsia="仿宋_GB2312"/>
              </w:rPr>
              <w:t>1、评审要点： 模块1生态保护与底线管控专题（0-2.5分） 模块2交通组织与可达性专题（0-2.5分） 模块3公共服务设施配置专题（0-2.5分）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规划条件支撑服务方案</w:t>
            </w:r>
          </w:p>
        </w:tc>
        <w:tc>
          <w:tcPr>
            <w:tcW w:type="dxa" w:w="2492"/>
          </w:tcPr>
          <w:p>
            <w:pPr>
              <w:pStyle w:val="null3"/>
            </w:pPr>
            <w:r>
              <w:rPr>
                <w:rFonts w:ascii="仿宋_GB2312" w:hAnsi="仿宋_GB2312" w:cs="仿宋_GB2312" w:eastAsia="仿宋_GB2312"/>
              </w:rPr>
              <w:t>1、评审要点： 模块1梳理规划编制条件（0-2.5分） 模块2成果合规性审核（0-2.5分）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全过程技术服务方案</w:t>
            </w:r>
          </w:p>
        </w:tc>
        <w:tc>
          <w:tcPr>
            <w:tcW w:type="dxa" w:w="2492"/>
          </w:tcPr>
          <w:p>
            <w:pPr>
              <w:pStyle w:val="null3"/>
            </w:pPr>
            <w:r>
              <w:rPr>
                <w:rFonts w:ascii="仿宋_GB2312" w:hAnsi="仿宋_GB2312" w:cs="仿宋_GB2312" w:eastAsia="仿宋_GB2312"/>
              </w:rPr>
              <w:t>1、评审要点： 模块1方案初稿阶段（0-2.5分） 模块2方案修改稿阶段（0-2.5分） 模块3方案送审稿阶段（0-2.5分）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成果校核与归档移交服务方案</w:t>
            </w:r>
          </w:p>
        </w:tc>
        <w:tc>
          <w:tcPr>
            <w:tcW w:type="dxa" w:w="2492"/>
          </w:tcPr>
          <w:p>
            <w:pPr>
              <w:pStyle w:val="null3"/>
            </w:pPr>
            <w:r>
              <w:rPr>
                <w:rFonts w:ascii="仿宋_GB2312" w:hAnsi="仿宋_GB2312" w:cs="仿宋_GB2312" w:eastAsia="仿宋_GB2312"/>
              </w:rPr>
              <w:t>1、评审要点： 模块1最终成果校核（0-2.5分） 模块2成果归档（0-2.5分） 模块3提交技术服务总结报告（0-2.5分）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保密体系及措施</w:t>
            </w:r>
          </w:p>
        </w:tc>
        <w:tc>
          <w:tcPr>
            <w:tcW w:type="dxa" w:w="2492"/>
          </w:tcPr>
          <w:p>
            <w:pPr>
              <w:pStyle w:val="null3"/>
            </w:pPr>
            <w:r>
              <w:rPr>
                <w:rFonts w:ascii="仿宋_GB2312" w:hAnsi="仿宋_GB2312" w:cs="仿宋_GB2312" w:eastAsia="仿宋_GB2312"/>
              </w:rPr>
              <w:t>1、评审要点： 模块1数据安全及保密体系建设（0-2.5分） 模块2数据安全及保密措施（0-2.5分）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项目进度保证措施</w:t>
            </w:r>
          </w:p>
        </w:tc>
        <w:tc>
          <w:tcPr>
            <w:tcW w:type="dxa" w:w="2492"/>
          </w:tcPr>
          <w:p>
            <w:pPr>
              <w:pStyle w:val="null3"/>
            </w:pPr>
            <w:r>
              <w:rPr>
                <w:rFonts w:ascii="仿宋_GB2312" w:hAnsi="仿宋_GB2312" w:cs="仿宋_GB2312" w:eastAsia="仿宋_GB2312"/>
              </w:rPr>
              <w:t>1、评审要点： 模块1项目进度保证体系建设（0-2.5分） 模块2项目进度保证措施（0-2.5分）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成果质量控制</w:t>
            </w:r>
          </w:p>
        </w:tc>
        <w:tc>
          <w:tcPr>
            <w:tcW w:type="dxa" w:w="2492"/>
          </w:tcPr>
          <w:p>
            <w:pPr>
              <w:pStyle w:val="null3"/>
            </w:pPr>
            <w:r>
              <w:rPr>
                <w:rFonts w:ascii="仿宋_GB2312" w:hAnsi="仿宋_GB2312" w:cs="仿宋_GB2312" w:eastAsia="仿宋_GB2312"/>
              </w:rPr>
              <w:t>1、评审要点： 模块1质量控制体系建设（0-2.5分） 模块2成果质量控制措施（0-2.5分）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报价得分=(评标基准价／投标报价)×价格权值（10%）×100 （四舍五入后保留小数点后两位）。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评审标准：每提交一份业绩得2分，最多10分。（以合同签订时间为准，须在响应文件中附合同协议书扫描件并加盖单位公章，证明材料不符合要求或未提供的均不得分）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评审标准：项目负责人具备相关专业高级职称（含）以上的，得3分，具备相关专业中级职称（含）以上的得1分，不具备的不得分。（以供应商提供的项目负责人相关证件为准）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评审标准：技术负责人具备相关专业高级职称（含）以上的，得2分，具备相关专业中级职称（含）以上的得1分，不具备的不得分。（以供应商提供的技术负责人相关证件为准）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评审标准：每提交一个相关专业中级职称（含）以上或注册城乡规划师的得2分，最高得25分。（以供应商提供的项目组成员相关证件为准）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项目整体思路设计</w:t>
            </w:r>
          </w:p>
        </w:tc>
        <w:tc>
          <w:tcPr>
            <w:tcW w:type="dxa" w:w="2492"/>
          </w:tcPr>
          <w:p>
            <w:pPr>
              <w:pStyle w:val="null3"/>
            </w:pPr>
            <w:r>
              <w:rPr>
                <w:rFonts w:ascii="仿宋_GB2312" w:hAnsi="仿宋_GB2312" w:cs="仿宋_GB2312" w:eastAsia="仿宋_GB2312"/>
              </w:rPr>
              <w:t>1、评审要点： 模块1对项目的基本情况和项目背景分析（0-2.5分） 模块2项目工作流程设计（0-2.5分） 模块3组织机构架设（0-2.5分） 模块4成果文件的质量控制（0-2.5分）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详细规划编制单元划定与中心城区国土空间详细规划</w:t>
            </w:r>
          </w:p>
        </w:tc>
        <w:tc>
          <w:tcPr>
            <w:tcW w:type="dxa" w:w="2492"/>
          </w:tcPr>
          <w:p>
            <w:pPr>
              <w:pStyle w:val="null3"/>
            </w:pPr>
            <w:r>
              <w:rPr>
                <w:rFonts w:ascii="仿宋_GB2312" w:hAnsi="仿宋_GB2312" w:cs="仿宋_GB2312" w:eastAsia="仿宋_GB2312"/>
              </w:rPr>
              <w:t>1、评审要点： 模块1规划范围（0-2.5分） 模块2规划传导（0-2.5分） 模块3空间布局（0-2.5分） 模块4蓝绿空间（0-2.5分） 模块5综合交通（0-2.5分） 模块6公共服务设施及市政公用设施（0-2.5分） 模块7综合防灾（0-2.5分） 模块8竖向规划（0-2.5分） 模块9规划实施（0-2.5分）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重难点分析与合理化建议</w:t>
            </w:r>
          </w:p>
        </w:tc>
        <w:tc>
          <w:tcPr>
            <w:tcW w:type="dxa" w:w="2492"/>
          </w:tcPr>
          <w:p>
            <w:pPr>
              <w:pStyle w:val="null3"/>
            </w:pPr>
            <w:r>
              <w:rPr>
                <w:rFonts w:ascii="仿宋_GB2312" w:hAnsi="仿宋_GB2312" w:cs="仿宋_GB2312" w:eastAsia="仿宋_GB2312"/>
              </w:rPr>
              <w:t>1、评审要点： 模块1项目重难点分析（0-2.5分） 模块2重难点解决方案（0-2.5分） 模块3合理化建议（0-2.5分）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保密体系及措施</w:t>
            </w:r>
          </w:p>
        </w:tc>
        <w:tc>
          <w:tcPr>
            <w:tcW w:type="dxa" w:w="2492"/>
          </w:tcPr>
          <w:p>
            <w:pPr>
              <w:pStyle w:val="null3"/>
            </w:pPr>
            <w:r>
              <w:rPr>
                <w:rFonts w:ascii="仿宋_GB2312" w:hAnsi="仿宋_GB2312" w:cs="仿宋_GB2312" w:eastAsia="仿宋_GB2312"/>
              </w:rPr>
              <w:t>1、评审要点： 模块1数据安全及保密体系建设（0-2.5分） 模块2数据安全及保密措施（0-2.5分）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项目进度保证措施</w:t>
            </w:r>
          </w:p>
        </w:tc>
        <w:tc>
          <w:tcPr>
            <w:tcW w:type="dxa" w:w="2492"/>
          </w:tcPr>
          <w:p>
            <w:pPr>
              <w:pStyle w:val="null3"/>
            </w:pPr>
            <w:r>
              <w:rPr>
                <w:rFonts w:ascii="仿宋_GB2312" w:hAnsi="仿宋_GB2312" w:cs="仿宋_GB2312" w:eastAsia="仿宋_GB2312"/>
              </w:rPr>
              <w:t>1、评审要点： 模块1项目进度保证体系建设（0-2.5分） 模块2项目进度保证措施（0-2.5分）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报价得分=(评标基准价／投标报价)×价格权值（10%）×100 （四舍五入后保留小数点后两位）。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评审标准：每提交一份业绩得2分，最多10分。（以合同签订时间为准，须在响应文件中附合同协议书扫描件并加盖单位公章，证明材料不符合要求或未提供的均不得分）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评审标准：项目负责人具备相关专业高级职称（含）以上的，得3分，具备相关专业中级职称（含）以上的得1分，不具备的不得分。（以供应商提供的项目负责人相关证件为准）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评审标准：技术负责人具备相关专业高级职称（含）以上的，得2分，具备相关专业中级职称（含）以上的得1分，不具备的不得分。（以供应商提供的技术负责人相关证件为准）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评审标准：每提交一个相关专业中级职称（含）以上或注册城乡规划师的得2分，最高得25分。（以供应商提供的项目组成员相关证件为准）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项目整体思路设计</w:t>
            </w:r>
          </w:p>
        </w:tc>
        <w:tc>
          <w:tcPr>
            <w:tcW w:type="dxa" w:w="2492"/>
          </w:tcPr>
          <w:p>
            <w:pPr>
              <w:pStyle w:val="null3"/>
            </w:pPr>
            <w:r>
              <w:rPr>
                <w:rFonts w:ascii="仿宋_GB2312" w:hAnsi="仿宋_GB2312" w:cs="仿宋_GB2312" w:eastAsia="仿宋_GB2312"/>
              </w:rPr>
              <w:t>1、评审要点： 模块1对项目的基本情况和项目背景分析（0-2.5分） 模块2项目工作流程设计（0-2.5分） 模块3组织机构架设（0-2.5分） 模块4成果文件的质量控制（0-2.5分）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乡镇单元层面详细规划</w:t>
            </w:r>
          </w:p>
        </w:tc>
        <w:tc>
          <w:tcPr>
            <w:tcW w:type="dxa" w:w="2492"/>
          </w:tcPr>
          <w:p>
            <w:pPr>
              <w:pStyle w:val="null3"/>
            </w:pPr>
            <w:r>
              <w:rPr>
                <w:rFonts w:ascii="仿宋_GB2312" w:hAnsi="仿宋_GB2312" w:cs="仿宋_GB2312" w:eastAsia="仿宋_GB2312"/>
              </w:rPr>
              <w:t>1、评审要点： 模块1规划范围（0-2.5分） 模块2规划传导（0-2.5分） 模块3空间布局（0-2.5分） 模块4蓝绿空间（0-2.5分） 模块5综合交通（0-2.5分） 模块6公共服务设施及市政公用设施（0-2.5分） 模块7综合防灾（0-2.5分） 模块8竖向规划（0-2.5分） 模块9规划实施（0-2.5分）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重难点分析与合理化建议</w:t>
            </w:r>
          </w:p>
        </w:tc>
        <w:tc>
          <w:tcPr>
            <w:tcW w:type="dxa" w:w="2492"/>
          </w:tcPr>
          <w:p>
            <w:pPr>
              <w:pStyle w:val="null3"/>
            </w:pPr>
            <w:r>
              <w:rPr>
                <w:rFonts w:ascii="仿宋_GB2312" w:hAnsi="仿宋_GB2312" w:cs="仿宋_GB2312" w:eastAsia="仿宋_GB2312"/>
              </w:rPr>
              <w:t>1、评审要点： 模块1项目重难点分析（0-2.5分） 模块2重难点解决方案（0-2.5分） 模块3合理化建议（0-2.5分）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保密体系及措施</w:t>
            </w:r>
          </w:p>
        </w:tc>
        <w:tc>
          <w:tcPr>
            <w:tcW w:type="dxa" w:w="2492"/>
          </w:tcPr>
          <w:p>
            <w:pPr>
              <w:pStyle w:val="null3"/>
            </w:pPr>
            <w:r>
              <w:rPr>
                <w:rFonts w:ascii="仿宋_GB2312" w:hAnsi="仿宋_GB2312" w:cs="仿宋_GB2312" w:eastAsia="仿宋_GB2312"/>
              </w:rPr>
              <w:t>1、评审要点： 模块1数据安全及保密体系建设（0-2.5分） 模块2数据安全及保密措施（0-2.5分）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项目进度保证措施</w:t>
            </w:r>
          </w:p>
        </w:tc>
        <w:tc>
          <w:tcPr>
            <w:tcW w:type="dxa" w:w="2492"/>
          </w:tcPr>
          <w:p>
            <w:pPr>
              <w:pStyle w:val="null3"/>
            </w:pPr>
            <w:r>
              <w:rPr>
                <w:rFonts w:ascii="仿宋_GB2312" w:hAnsi="仿宋_GB2312" w:cs="仿宋_GB2312" w:eastAsia="仿宋_GB2312"/>
              </w:rPr>
              <w:t>1、评审要点： 模块1项目进度保证体系建设（0-2.5分） 模块2项目进度保证措施（0-2.5分） 2、模块分级打分标准（单模块0-2.5分） 2.5分：内容全面详实、逻辑严谨、完全匹配项目需求，贴合本项目采购需求，具备落地可行性，无缺陷、无夸大、无逻辑漏洞、无常识错误； 1.5分：核心要点完整，仅存1项轻微缺陷，不影响服务落地； 1分：核心要点基本覆盖，存在1-2项一般缺陷，整改后可满足基础服务要求 0分：内容缺失、存在较大缺陷、与项目完全不符、虚假夸大或无法落地。 3、缺陷分级口径： 轻微缺陷：非关键表述简略、次要细节瑕疵，单处扣0.5分； 一般缺陷：关键流程模糊、局部适配不足，单处扣1分； 较重缺陷：核心要点遗漏、流程闭环断裂，单处扣2分； 重大缺陷：模块缺失、造假夸大、常识错误、脱离项目实际，本模块计0分。 4、计分规则： 各模块得分汇总为总分；同一模块缺陷累计扣分，单模块最低0分；模块完全缺失计0分，总分最低0分；扣分须标注缺陷位置、等级及依据，评审留痕可复核。 5、否决情形：方案存在凭空编造、重大逻辑漏洞、严重脱离项目需求或无法落地的，本项按0分计。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报价得分=(评标基准价／投标报价)×价格权值（10%）×100 （四舍五入后保留小数点后两位）。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