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版本号：SXZY2026-ZC004-CS20260525001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泾渭工业园市政道路工程初步设计(含方案)编制服务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SXZY2026-ZC004-CS</w:t>
      </w:r>
      <w:r>
        <w:br/>
      </w:r>
      <w:r>
        <w:br/>
      </w:r>
      <w:r>
        <w:br/>
      </w:r>
    </w:p>
    <w:p>
      <w:pPr>
        <w:pStyle w:val="null3"/>
        <w:jc w:val="center"/>
        <w:outlineLvl w:val="2"/>
      </w:pPr>
      <w:r>
        <w:rPr>
          <w:rFonts w:ascii="仿宋_GB2312" w:hAnsi="仿宋_GB2312" w:cs="仿宋_GB2312" w:eastAsia="仿宋_GB2312"/>
          <w:sz w:val="28"/>
          <w:b/>
        </w:rPr>
        <w:t>西安经济技术开发区泾渭新城发展建设管理中心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委托，拟对</w:t>
      </w:r>
      <w:r>
        <w:rPr>
          <w:rFonts w:ascii="仿宋_GB2312" w:hAnsi="仿宋_GB2312" w:cs="仿宋_GB2312" w:eastAsia="仿宋_GB2312"/>
        </w:rPr>
        <w:t>泾渭工业园市政道路工程初步设计(含方案)编制服务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SXZY2026-ZC004-CS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泾渭工业园市政道路工程初步设计(含方案)编制服务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包含龙跃宫西侧规划路道路工程、龙跃宫南侧规划路道路工程、高刘路(泾渭路-高刘变)市政工程、高刘安置区西侧规划路市政工程4个项目的初步设计(含方案)编制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采购包1（泾渭工业园市政道路工程初步设计(含方案)编制服务）：属于专门面向中小企业采购。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1、授权委托书：法定代表人授权书（附法定代表人身份证复印件及被授权人身份证复印件），（法定代表人直接参加磋商，须提供法定代表人身份证明复印件），非法人单位参照执行。</w:t>
      </w:r>
    </w:p>
    <w:p>
      <w:pPr>
        <w:pStyle w:val="null3"/>
      </w:pPr>
      <w:r>
        <w:rPr>
          <w:rFonts w:ascii="仿宋_GB2312" w:hAnsi="仿宋_GB2312" w:cs="仿宋_GB2312" w:eastAsia="仿宋_GB2312"/>
        </w:rPr>
        <w:t>2、企业资质：供应商应具有工程设计综合甲级资质或市政行业工程设计甲级资质或市政行业（燃气工程、轨道交通工程除外）甲级资质或市政行业（道路工程）专业乙级及以上资质并在人员、设备、资金等方面具备相应的设计能力。</w:t>
      </w:r>
    </w:p>
    <w:p>
      <w:pPr>
        <w:pStyle w:val="null3"/>
      </w:pPr>
      <w:r>
        <w:rPr>
          <w:rFonts w:ascii="仿宋_GB2312" w:hAnsi="仿宋_GB2312" w:cs="仿宋_GB2312" w:eastAsia="仿宋_GB2312"/>
        </w:rPr>
        <w:t>3、项目负责人：供应商拟派项目负责人须具备市政工程相关专业高级工程师及以上职称。</w:t>
      </w:r>
    </w:p>
    <w:p>
      <w:pPr>
        <w:pStyle w:val="null3"/>
      </w:pPr>
      <w:r>
        <w:rPr>
          <w:rFonts w:ascii="仿宋_GB2312" w:hAnsi="仿宋_GB2312" w:cs="仿宋_GB2312" w:eastAsia="仿宋_GB2312"/>
        </w:rPr>
        <w:t>4、信用截图：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西安经济技术开发区泾渭新城发展建设管理中心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西安市高陵区泾渭新城西金路29号泾渭国际中心8楼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029-86061255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陕西省西安经济技术开发区尚稷路碧桂园文景府1号楼201室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029-89291292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地址：陕西省西安经济技术开发区尚稷路碧桂园文景府1号楼201室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包含龙跃宫西侧规划路道路工程、龙跃宫南侧规划路道路工程、高刘路(泾渭路-高刘变)市政工程、高刘安置区西侧规划路市政工程4个项目的初步设计(含方案)编制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712,000.00</w:t>
      </w:r>
    </w:p>
    <w:p>
      <w:pPr>
        <w:pStyle w:val="null3"/>
      </w:pPr>
      <w:r>
        <w:rPr>
          <w:rFonts w:ascii="仿宋_GB2312" w:hAnsi="仿宋_GB2312" w:cs="仿宋_GB2312" w:eastAsia="仿宋_GB2312"/>
        </w:rPr>
        <w:t>采购包最高限价（元）: 712,000.00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市政道路工程初步设计(含方案)编制服务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标的名称：市政道路工程初步设计(含方案)编制服务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泾渭工业园市政道路工程初步设计(含方案)编制服务包含以下工程</w:t>
            </w:r>
          </w:p>
          <w:p>
            <w:pPr>
              <w:pStyle w:val="null3"/>
            </w:pPr>
            <w:r>
              <w:rPr>
                <w:rFonts w:ascii="仿宋_GB2312" w:hAnsi="仿宋_GB2312" w:cs="仿宋_GB2312" w:eastAsia="仿宋_GB2312"/>
              </w:rPr>
              <w:t>（一）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w:t>
            </w:r>
            <w:r>
              <w:br/>
            </w:r>
            <w:r>
              <w:rPr>
                <w:rFonts w:ascii="仿宋_GB2312" w:hAnsi="仿宋_GB2312" w:cs="仿宋_GB2312" w:eastAsia="仿宋_GB2312"/>
              </w:rPr>
              <w:t xml:space="preserve"> （二）高刘安置区西侧规划路市政工程</w:t>
            </w:r>
            <w:r>
              <w:br/>
            </w:r>
            <w:r>
              <w:rPr>
                <w:rFonts w:ascii="仿宋_GB2312" w:hAnsi="仿宋_GB2312" w:cs="仿宋_GB2312" w:eastAsia="仿宋_GB2312"/>
              </w:rPr>
              <w:t xml:space="preserve"> 该道路长约590m，宽20m，主要建设内容包括道路、市政管线，交通、照明和绿化以及土方回填工程。总投资约2000万元（以实际审核为准）</w:t>
            </w:r>
          </w:p>
          <w:p>
            <w:pPr>
              <w:pStyle w:val="null3"/>
            </w:pPr>
            <w:r>
              <w:rPr>
                <w:rFonts w:ascii="仿宋_GB2312" w:hAnsi="仿宋_GB2312" w:cs="仿宋_GB2312" w:eastAsia="仿宋_GB2312"/>
              </w:rPr>
              <w:t>（三）龙跃宫西侧规划路道路工程</w:t>
            </w:r>
            <w:r>
              <w:br/>
            </w:r>
            <w:r>
              <w:rPr>
                <w:rFonts w:ascii="仿宋_GB2312" w:hAnsi="仿宋_GB2312" w:cs="仿宋_GB2312" w:eastAsia="仿宋_GB2312"/>
              </w:rPr>
              <w:t xml:space="preserve"> 该段道路长约470m，宽20m，主要建设内容包括道路、雨水、污水、给水、交通、照明、电力排管、绿化工程等。总投资约2086.42万元（以实际审核为准）。</w:t>
            </w:r>
            <w:r>
              <w:br/>
            </w:r>
            <w:r>
              <w:rPr>
                <w:rFonts w:ascii="仿宋_GB2312" w:hAnsi="仿宋_GB2312" w:cs="仿宋_GB2312" w:eastAsia="仿宋_GB2312"/>
              </w:rPr>
              <w:t xml:space="preserve"> （四）龙跃宫南侧规划路道路工程</w:t>
            </w:r>
            <w:r>
              <w:br/>
            </w:r>
            <w:r>
              <w:rPr>
                <w:rFonts w:ascii="仿宋_GB2312" w:hAnsi="仿宋_GB2312" w:cs="仿宋_GB2312" w:eastAsia="仿宋_GB2312"/>
              </w:rPr>
              <w:t xml:space="preserve"> 该道路长约243m，宽15m，主要建设内容包括道路、雨水、污水、给水、交通、照明、电力排管工程等。总投资约1114.39万元（以实际审核为准）。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满足服务所需设施设备要求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提交成果报告并符合设计需求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法定代表人授权书（附法定代表人身份证复印件及被授权人身份证复印件），（法定代表人直接参加磋商，须提供法定代表人身份证明复印件），非法人单位参照执行。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工程设计综合甲级资质或市政行业工程设计甲级资质或市政行业（燃气工程、轨道交通工程除外）甲级资质或市政行业（道路工程）专业乙级及以上资质并在人员、设备、资金等方面具备相应的设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供应商拟派项目负责人须具备市政工程相关专业高级工程师及以上职称。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报价一览表.docx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报价一览表.docx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报价形式符合磋商文件要求。</w:t>
            </w:r>
          </w:p>
        </w:tc>
        <w:tc>
          <w:tcPr>
            <w:tcW w:type="dxa" w:w="1661"/>
          </w:tcPr>
          <w:p>
            <w:pPr>
              <w:pStyle w:val="null3"/>
            </w:pPr>
            <w:r>
              <w:rPr>
                <w:rFonts w:ascii="仿宋_GB2312" w:hAnsi="仿宋_GB2312" w:cs="仿宋_GB2312" w:eastAsia="仿宋_GB2312"/>
              </w:rPr>
              <w:t>响应文件封面 报价一览表.docx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自合同签订之日起至服务结束。</w:t>
            </w:r>
          </w:p>
        </w:tc>
        <w:tc>
          <w:tcPr>
            <w:tcW w:type="dxa" w:w="1661"/>
          </w:tcPr>
          <w:p>
            <w:pPr>
              <w:pStyle w:val="null3"/>
            </w:pPr>
            <w:r>
              <w:rPr>
                <w:rFonts w:ascii="仿宋_GB2312" w:hAnsi="仿宋_GB2312" w:cs="仿宋_GB2312" w:eastAsia="仿宋_GB2312"/>
              </w:rPr>
              <w:t>响应文件封面 报价一览表.docx 供应商应提交的相关资格证明材料.docx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按照项目理解①设计范围、②设计要求、③设计依据、④设计目标四项响应情况。单项内容全面详细、阐述条理清晰、针对性和可行性强，完全满足采购需求得12分；内容无缺漏、阐述条理基本清晰，部分内容优化后满足需求得8分；内容简单粗略、逻辑混乱、缺少针对性和可行性，不满足基本需求得4分；未提供或脱离项目实际不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按照项目①项目重点、难点分析、②问题解决对策两项响应情况。单项内容全面详细、阐述条理清晰、针对性和可行性强，完全满足采购需求得6分；内容无缺漏、阐述条理基本清晰，部分内容优化后满足需求得4分；内容简单粗略、逻辑混乱、缺少针对性和可行性，不满足基本需求得2分；未提供或脱离项目实际不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按照实施方案①实施思路、②工作计划、③工作方法、④进度保障、⑤设计成果审核五项响应情况。单项内容全面详细、阐述条理清晰、针对性和可行性强，完全满足采购需求得15分；内容无缺漏、阐述条理基本清晰，部分内容优化后满足需求得10分；内容简单粗略、逻辑混乱、缺少针对性和可行性，不满足基本需求得5分；未提供或脱离项目实际不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按照项目①管理制度、②职责及分工、③工作规范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按照服务质量①服务质量措施②交付成果质量管控标准③客户诉求响应及优化机制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w:t>
            </w:r>
          </w:p>
        </w:tc>
        <w:tc>
          <w:tcPr>
            <w:tcW w:type="dxa" w:w="2492"/>
          </w:tcPr>
          <w:p>
            <w:pPr>
              <w:pStyle w:val="null3"/>
            </w:pPr>
            <w:r>
              <w:rPr>
                <w:rFonts w:ascii="仿宋_GB2312" w:hAnsi="仿宋_GB2312" w:cs="仿宋_GB2312" w:eastAsia="仿宋_GB2312"/>
              </w:rPr>
              <w:t>按照项目①造价控制措施、②有利于采购人的合理化建议、③廉洁、保密制度及措施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按照项目①方案措施和②后期质量保证两项响应情况。单项内容全面详细、阐述条理清晰、针对性和可行性强，完全满足采购需求得6分；内容无缺漏、阐述条理基本清晰，部分内容优化后满足需求得4分；内容简单粗略、逻辑混乱、缺少针对性和可行性，不满足基本需求得2分；未提供或脱离项目实际不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团队实力评审</w:t>
            </w:r>
          </w:p>
        </w:tc>
        <w:tc>
          <w:tcPr>
            <w:tcW w:type="dxa" w:w="2492"/>
          </w:tcPr>
          <w:p>
            <w:pPr>
              <w:pStyle w:val="null3"/>
            </w:pPr>
            <w:r>
              <w:rPr>
                <w:rFonts w:ascii="仿宋_GB2312" w:hAnsi="仿宋_GB2312" w:cs="仿宋_GB2312" w:eastAsia="仿宋_GB2312"/>
              </w:rPr>
              <w:t>1、项目组成员配备≥6人且不少于2名市政工程相关专业高级工程师得3分，每增加1名市政工程相关专业工程师加1分，最高加2分；成员配备＜6人本项不得分。2、项目组成员具有本工程相关专业注册执业资格的，每1名得1分，最高得4分，每人仅计一次分。需提供人员身份证明、学历证、职称证、资质证书等佐证材料，无佐证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供应商提供2023年4月1日起至今类似项目业绩，以合同扫描件（复印件）为有效依据；每提供1个有效合格业绩得2分，业绩得分累计最高得10分。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（1）投标（响应）报价低于最高限价65%的，即投标（响应）报价&lt;最高限价×65%。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（1）经初审合格的磋商响应文件，其磋商报价为有效磋商报价。（2）满足磋商文件实质性要求且最终报价最低的供应商的价格为磋商基准价，其价格分为满分15分。 （3）磋商报价得分=（磋商基准价/最终磋商报价）×15。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详见附件：泾渭工业园市政道路工程初步设计(含方案)编制服务合同.docx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