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版本号：HYDZB202602720260713002</w:t>
      </w:r>
      <w:r>
        <w:br/>
      </w:r>
      <w:r>
        <w:br/>
      </w:r>
      <w:r>
        <w:br/>
      </w:r>
      <w:r>
        <w:br/>
      </w:r>
      <w:r>
        <w:br/>
      </w:r>
    </w:p>
    <w:p>
      <w:pPr>
        <w:pStyle w:val="null3"/>
        <w:jc w:val="center"/>
        <w:outlineLvl w:val="0"/>
      </w:pPr>
      <w:r>
        <w:rPr>
          <w:rFonts w:ascii="仿宋_GB2312" w:hAnsi="仿宋_GB2312" w:cs="仿宋_GB2312" w:eastAsia="仿宋_GB2312"/>
          <w:sz w:val="48"/>
          <w:b/>
        </w:rPr>
        <w:t>询价通知书</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八一慰问品采购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HYDZB2026027</w:t>
      </w:r>
      <w:r>
        <w:br/>
      </w:r>
      <w:r>
        <w:br/>
      </w:r>
      <w:r>
        <w:br/>
      </w:r>
    </w:p>
    <w:p>
      <w:pPr>
        <w:pStyle w:val="null3"/>
        <w:jc w:val="center"/>
        <w:outlineLvl w:val="2"/>
      </w:pPr>
      <w:r>
        <w:rPr>
          <w:rFonts w:ascii="仿宋_GB2312" w:hAnsi="仿宋_GB2312" w:cs="仿宋_GB2312" w:eastAsia="仿宋_GB2312"/>
          <w:sz w:val="28"/>
          <w:b/>
        </w:rPr>
        <w:t>西安市临潼区退役军人事务局</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第一章 询价邀请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西安市临潼区退役军人事务局</w:t>
      </w:r>
      <w:r>
        <w:rPr>
          <w:rFonts w:ascii="仿宋_GB2312" w:hAnsi="仿宋_GB2312" w:cs="仿宋_GB2312" w:eastAsia="仿宋_GB2312"/>
        </w:rPr>
        <w:t>委托，拟对</w:t>
      </w:r>
      <w:r>
        <w:rPr>
          <w:rFonts w:ascii="仿宋_GB2312" w:hAnsi="仿宋_GB2312" w:cs="仿宋_GB2312" w:eastAsia="仿宋_GB2312"/>
        </w:rPr>
        <w:t>八一慰问品采购</w:t>
      </w:r>
      <w:r>
        <w:rPr>
          <w:rFonts w:ascii="仿宋_GB2312" w:hAnsi="仿宋_GB2312" w:cs="仿宋_GB2312" w:eastAsia="仿宋_GB2312"/>
        </w:rPr>
        <w:t>进行询价采购，兹邀请供应商参加询价。</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八一慰问品采购</w:t>
      </w:r>
    </w:p>
    <w:p>
      <w:pPr>
        <w:pStyle w:val="null3"/>
        <w:outlineLvl w:val="2"/>
      </w:pPr>
      <w:r>
        <w:rPr>
          <w:rFonts w:ascii="仿宋_GB2312" w:hAnsi="仿宋_GB2312" w:cs="仿宋_GB2312" w:eastAsia="仿宋_GB2312"/>
          <w:sz w:val="28"/>
          <w:b/>
        </w:rPr>
        <w:t>三、项目简介</w:t>
      </w:r>
    </w:p>
    <w:p>
      <w:pPr>
        <w:pStyle w:val="null3"/>
        <w:ind w:firstLine="480"/>
      </w:pPr>
      <w:r>
        <w:rPr>
          <w:rFonts w:ascii="仿宋_GB2312" w:hAnsi="仿宋_GB2312" w:cs="仿宋_GB2312" w:eastAsia="仿宋_GB2312"/>
        </w:rPr>
        <w:t>为扎实做好“八一”双拥共建工作，向退役军人和驻区部队官兵传递党和政府的关怀与温暖，营造尊崇军人、关爱优抚对象的社会氛围，激励广大退役军人永葆本色、建功立业。采购一批米面油奶。</w:t>
      </w:r>
    </w:p>
    <w:p>
      <w:pPr>
        <w:pStyle w:val="null3"/>
        <w:outlineLvl w:val="2"/>
      </w:pPr>
      <w:r>
        <w:rPr>
          <w:rFonts w:ascii="仿宋_GB2312" w:hAnsi="仿宋_GB2312" w:cs="仿宋_GB2312" w:eastAsia="仿宋_GB2312"/>
          <w:sz w:val="28"/>
          <w:b/>
        </w:rPr>
        <w:t>四、邀请供应商方式</w:t>
      </w:r>
    </w:p>
    <w:p>
      <w:pPr>
        <w:pStyle w:val="null3"/>
      </w:pPr>
      <w:r>
        <w:rPr>
          <w:rFonts w:ascii="仿宋_GB2312" w:hAnsi="仿宋_GB2312" w:cs="仿宋_GB2312" w:eastAsia="仿宋_GB2312"/>
        </w:rPr>
        <w:t>本次采购采取公告征集邀请询价的供应商。</w:t>
      </w:r>
    </w:p>
    <w:p>
      <w:pPr>
        <w:pStyle w:val="null3"/>
      </w:pPr>
      <w:r>
        <w:rPr>
          <w:rFonts w:ascii="仿宋_GB2312" w:hAnsi="仿宋_GB2312" w:cs="仿宋_GB2312" w:eastAsia="仿宋_GB2312"/>
        </w:rPr>
        <w:t xml:space="preserve"> 公告征集：本次询价采购在“陕西省政府采购网（www.ccgp-shaanxi.gov.cn）”上以公告形式发布，兹邀请符合本次采购要求的供应商参加本项目询价采购。</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2、法人代表证明书或法人授权委托书：法人代表证明书或法人授权委托书，后附法人及被委托人身份证（法定代表人直接参加开标的只需提供法定代表人身份证）；</w:t>
      </w:r>
    </w:p>
    <w:p>
      <w:pPr>
        <w:pStyle w:val="null3"/>
      </w:pPr>
      <w:r>
        <w:rPr>
          <w:rFonts w:ascii="仿宋_GB2312" w:hAnsi="仿宋_GB2312" w:cs="仿宋_GB2312" w:eastAsia="仿宋_GB2312"/>
        </w:rPr>
        <w:t>3、财务状况报告：提供2024年度或2025年度经审计的财务审计报告 (成立时间至开标时间不足一年的可提供成立后任意时段的资产负债表）或开标截止时间前六个月内其基本账户银行出具的资信证明或政府采购信用担保机构出具的担保函；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4、税收和社保证明：提供投标截止时间前一年内任意一个月的依法缴纳的税收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5、三年内没有重大违法记录的声明：参加政府采购活动前三年内，在经营活动中没有重大违法记录的书面声明；</w:t>
      </w:r>
    </w:p>
    <w:p>
      <w:pPr>
        <w:pStyle w:val="null3"/>
      </w:pPr>
      <w:r>
        <w:rPr>
          <w:rFonts w:ascii="仿宋_GB2312" w:hAnsi="仿宋_GB2312" w:cs="仿宋_GB2312" w:eastAsia="仿宋_GB2312"/>
        </w:rPr>
        <w:t>6、履行合同所必需的设备和专业技术能力的书面声明：履行合同所必需的设备和专业技术能力的书面声明；</w:t>
      </w:r>
    </w:p>
    <w:p>
      <w:pPr>
        <w:pStyle w:val="null3"/>
      </w:pPr>
      <w:r>
        <w:rPr>
          <w:rFonts w:ascii="仿宋_GB2312" w:hAnsi="仿宋_GB2312" w:cs="仿宋_GB2312" w:eastAsia="仿宋_GB2312"/>
        </w:rPr>
        <w:t>7、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8、供应商资质：供应商为生产厂家的须提供《食品生产许可证》；代理商须提供本单位《食品经营许可证》或《预包装食品经营者备案表》；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七、询价通知书获取时间、方式及地址</w:t>
      </w:r>
    </w:p>
    <w:p>
      <w:pPr>
        <w:pStyle w:val="null3"/>
        <w:ind w:firstLine="480"/>
      </w:pPr>
      <w:r>
        <w:rPr>
          <w:rFonts w:ascii="仿宋_GB2312" w:hAnsi="仿宋_GB2312" w:cs="仿宋_GB2312" w:eastAsia="仿宋_GB2312"/>
        </w:rPr>
        <w:t>（一）询价通知书获取时间：详见采购公告。</w:t>
      </w:r>
    </w:p>
    <w:p>
      <w:pPr>
        <w:pStyle w:val="null3"/>
        <w:ind w:firstLine="480"/>
      </w:pPr>
      <w:r>
        <w:rPr>
          <w:rFonts w:ascii="仿宋_GB2312" w:hAnsi="仿宋_GB2312" w:cs="仿宋_GB2312" w:eastAsia="仿宋_GB2312"/>
        </w:rPr>
        <w:t xml:space="preserve"> （二）在询价通知书获取开始时间前，采购人或代理机构将本项目询价通知书上传至项目电子化交易系统，向供应商提供。供应商通过项目电子化交易系统获取询价通知书。成功获取询价通知书的，供应商将收到已获取询价通知书的回执函。未成功获取询价通知书的供应商，不得参与本次征集活动，不得对询价通知书提起质疑。</w:t>
      </w:r>
    </w:p>
    <w:p>
      <w:pPr>
        <w:pStyle w:val="null3"/>
        <w:ind w:firstLine="480"/>
      </w:pPr>
      <w:r>
        <w:rPr>
          <w:rFonts w:ascii="仿宋_GB2312" w:hAnsi="仿宋_GB2312" w:cs="仿宋_GB2312" w:eastAsia="仿宋_GB2312"/>
        </w:rPr>
        <w:t xml:space="preserve"> 成功获取询价通知书后，采购人或代理机构进行澄清或者修改，澄清或者修改的内容可能影响响应文件编制的，采购人或代理机构将通过项目电子化交易系统发布澄清或者修改后的询价通知书，供应商应当重新获取询价通知书；澄清或者修改后的询价通知书发布日期距提交响应文件截止日期不足3个工作日的，采购人或代理机构顺延提交响应文件的截止时间。供应商未重新获取询价通知书或者未按照澄清或者修改后的询价通知书编制响应文件进行响应的，自行承担不利后果。</w:t>
      </w:r>
    </w:p>
    <w:p>
      <w:pPr>
        <w:pStyle w:val="null3"/>
        <w:ind w:firstLine="480"/>
      </w:pPr>
      <w:r>
        <w:rPr>
          <w:rFonts w:ascii="仿宋_GB2312" w:hAnsi="仿宋_GB2312" w:cs="仿宋_GB2312" w:eastAsia="仿宋_GB2312"/>
        </w:rPr>
        <w:t>注：获取的询价通知书主体格式包括pdf、word两种格式版本，其中以pdf格式为准。</w:t>
      </w:r>
    </w:p>
    <w:p>
      <w:pPr>
        <w:pStyle w:val="null3"/>
        <w:outlineLvl w:val="2"/>
      </w:pPr>
      <w:r>
        <w:rPr>
          <w:rFonts w:ascii="仿宋_GB2312" w:hAnsi="仿宋_GB2312" w:cs="仿宋_GB2312" w:eastAsia="仿宋_GB2312"/>
          <w:sz w:val="28"/>
          <w:b/>
        </w:rPr>
        <w:t>八、响应文件提交截止时间及开启时间（北京时间）、地点、方式</w:t>
      </w:r>
    </w:p>
    <w:p>
      <w:pPr>
        <w:pStyle w:val="null3"/>
        <w:ind w:firstLine="480"/>
      </w:pPr>
      <w:r>
        <w:rPr>
          <w:rFonts w:ascii="仿宋_GB2312" w:hAnsi="仿宋_GB2312" w:cs="仿宋_GB2312" w:eastAsia="仿宋_GB2312"/>
        </w:rPr>
        <w:t>（一）响应文件提交截止时间及开启时间：详见采购公告。</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（三）本项目采取网上开启，即采购人或代理机构通过项目电子化交易系统“开标/开启大厅”组织在线开启。</w:t>
      </w:r>
    </w:p>
    <w:p>
      <w:pPr>
        <w:pStyle w:val="null3"/>
        <w:outlineLvl w:val="2"/>
      </w:pPr>
      <w:r>
        <w:rPr>
          <w:rFonts w:ascii="仿宋_GB2312" w:hAnsi="仿宋_GB2312" w:cs="仿宋_GB2312" w:eastAsia="仿宋_GB2312"/>
          <w:sz w:val="28"/>
          <w:b/>
        </w:rPr>
        <w:t>九、本询价邀请在陕西省政府采购网以公告形式发布</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临潼区银桥大道郭庄路2号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夜潇娜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029-83910816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供应商的采购包响应报价高于采购包采购预算的，其响应文件将按无效处理。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如以联合体响应的，联合体各方均应当具备本询价通知书要求的资格条件和能力。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pPr>
            <w:r>
              <w:rPr>
                <w:rFonts w:ascii="仿宋_GB2312" w:hAnsi="仿宋_GB2312" w:cs="仿宋_GB2312" w:eastAsia="仿宋_GB2312"/>
              </w:rPr>
              <w:t xml:space="preserve"> 核心产品清单详见第三章。</w:t>
            </w:r>
          </w:p>
          <w:p>
            <w:pPr>
              <w:pStyle w:val="null3"/>
            </w:pPr>
            <w:r>
              <w:rPr>
                <w:rFonts w:ascii="仿宋_GB2312" w:hAnsi="仿宋_GB2312" w:cs="仿宋_GB2312" w:eastAsia="仿宋_GB2312"/>
              </w:rPr>
              <w:t xml:space="preserve"> 在符合性审查环节提供核心产品品牌不足3个的，视为有效响应供应商不足3家。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开启方式</w:t>
            </w:r>
          </w:p>
        </w:tc>
        <w:tc>
          <w:tcPr>
            <w:tcW w:type="dxa" w:w="5004"/>
          </w:tcPr>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出现上述的情形，不影响采购公平、公正的，采购人或者采购代理机构可以待上述情形消除后继续组织采购活动；影响或者可能影响采购公平、公正的，采购人或者采购代理机构应当依法终止采购活动。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一、本询价通知书仅适用于本次询价采购项目。</w:t>
      </w:r>
    </w:p>
    <w:p>
      <w:pPr>
        <w:pStyle w:val="null3"/>
        <w:ind w:firstLine="480"/>
      </w:pPr>
      <w:r>
        <w:rPr>
          <w:rFonts w:ascii="仿宋_GB2312" w:hAnsi="仿宋_GB2312" w:cs="仿宋_GB2312" w:eastAsia="仿宋_GB2312"/>
        </w:rPr>
        <w:t xml:space="preserve"> 二、本询价通知书的最终解释权由</w:t>
      </w:r>
      <w:r>
        <w:rPr>
          <w:rFonts w:ascii="仿宋_GB2312" w:hAnsi="仿宋_GB2312" w:cs="仿宋_GB2312" w:eastAsia="仿宋_GB2312"/>
        </w:rPr>
        <w:t>西安市临潼区退役军人事务局</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享有。询价通知书中供应商参加本次政府采购活动应当具备的条件、技术、服务、商务及其他要求由采购人负责解释。除前述询价通知书内容，其他内容</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一、“采购人”是指依法进行政府采购的各级国家机关、事业单位、团体组织。本次询价采购项目的采购人是</w:t>
      </w:r>
      <w:r>
        <w:rPr>
          <w:rFonts w:ascii="仿宋_GB2312" w:hAnsi="仿宋_GB2312" w:cs="仿宋_GB2312" w:eastAsia="仿宋_GB2312"/>
        </w:rPr>
        <w:t>西安市临潼区退役军人事务局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二、“供应商”是指按照本项目询价通知书规定获取询价通知书，拟参加响应和向采购人提供货物、工程或服务的法人、其他组织或自然人。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四、“网上开启”即不见面开启，是指代理机构通过项目电子化交易系统在线完成签到、开启和记录等活动，供应商通过项目电子化交易系统在线完成响应文件解密、参与询价采购活动。</w:t>
      </w:r>
    </w:p>
    <w:p>
      <w:pPr>
        <w:pStyle w:val="null3"/>
        <w:ind w:firstLine="480"/>
      </w:pPr>
      <w:r>
        <w:rPr>
          <w:rFonts w:ascii="仿宋_GB2312" w:hAnsi="仿宋_GB2312" w:cs="仿宋_GB2312" w:eastAsia="仿宋_GB2312"/>
        </w:rPr>
        <w:t xml:space="preserve"> 五、“电子评审”是指通过项目电子化交易系统在线完成资格审查小组和询价小组组建，开展资格和符合性审查、比较与评价、出具评审报告、推荐成交候选供应商等活动。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2.3询价通知书</w:t>
      </w:r>
    </w:p>
    <w:p>
      <w:pPr>
        <w:pStyle w:val="null3"/>
        <w:outlineLvl w:val="3"/>
      </w:pPr>
      <w:r>
        <w:rPr>
          <w:rFonts w:ascii="仿宋_GB2312" w:hAnsi="仿宋_GB2312" w:cs="仿宋_GB2312" w:eastAsia="仿宋_GB2312"/>
          <w:sz w:val="24"/>
          <w:b/>
        </w:rPr>
        <w:t xml:space="preserve"> 2.3.1询价通知书的构成</w:t>
      </w:r>
    </w:p>
    <w:p>
      <w:pPr>
        <w:pStyle w:val="null3"/>
        <w:ind w:firstLine="480"/>
      </w:pPr>
      <w:r>
        <w:rPr>
          <w:rFonts w:ascii="仿宋_GB2312" w:hAnsi="仿宋_GB2312" w:cs="仿宋_GB2312" w:eastAsia="仿宋_GB2312"/>
        </w:rPr>
        <w:t xml:space="preserve"> 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pPr>
      <w:r>
        <w:rPr>
          <w:rFonts w:ascii="仿宋_GB2312" w:hAnsi="仿宋_GB2312" w:cs="仿宋_GB2312" w:eastAsia="仿宋_GB2312"/>
        </w:rPr>
        <w:t>（一）询价邀请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（五）询价方法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二、供应商应认真阅读和充分理解询价通知书中所有的事项、格式条款和规范要求。供应商没有对询价通知书全面作出实质性响应所产生的风险由供应商承担。</w:t>
      </w:r>
    </w:p>
    <w:p>
      <w:pPr>
        <w:pStyle w:val="null3"/>
        <w:outlineLvl w:val="3"/>
      </w:pPr>
      <w:r>
        <w:rPr>
          <w:rFonts w:ascii="仿宋_GB2312" w:hAnsi="仿宋_GB2312" w:cs="仿宋_GB2312" w:eastAsia="仿宋_GB2312"/>
          <w:sz w:val="24"/>
          <w:b/>
        </w:rPr>
        <w:t xml:space="preserve"> 2.3.2询价通知书的澄清和修改</w:t>
      </w:r>
    </w:p>
    <w:p>
      <w:pPr>
        <w:pStyle w:val="null3"/>
        <w:ind w:firstLine="480"/>
      </w:pPr>
      <w:r>
        <w:rPr>
          <w:rFonts w:ascii="仿宋_GB2312" w:hAnsi="仿宋_GB2312" w:cs="仿宋_GB2312" w:eastAsia="仿宋_GB2312"/>
        </w:rPr>
        <w:t>一、在响应文件提交截止时间前，采购人或者代理机构可以对已发出的询价通知书进行必要的澄清或者修改。</w:t>
      </w:r>
    </w:p>
    <w:p>
      <w:pPr>
        <w:pStyle w:val="null3"/>
        <w:ind w:firstLine="480"/>
      </w:pPr>
      <w:r>
        <w:rPr>
          <w:rFonts w:ascii="仿宋_GB2312" w:hAnsi="仿宋_GB2312" w:cs="仿宋_GB2312" w:eastAsia="仿宋_GB2312"/>
        </w:rPr>
        <w:t xml:space="preserve"> 二、澄清或者修改的内容为询价通知书的组成部分。采购人或代理机构将在陕西省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除询价通知书中另有规定外，本项目均采用国家法定的计量单位。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三、如采用供应商所不拥有的知识产权，则在报价中必须包括合法获取使用该知识产权的相关费用。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一、供应商应按照询价通知书的规定和要求编制响应文件。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一、供应商应按照询价通知书第六章中提供的“响应文件格式”填写相关内容。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三、通过资格审查和符合性审查供应商的响应文件中的报价表或分项报价明细表是一次性不可更改的报价。</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一、响应文件应当根据询价通知书进行编制。供应商应通过陕西省政府采购网-办事指南-CA及签章服务下载投标（响应）客户端，使用客户端编制响应文件。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二、供应商应按照客户端操作要求，对应询价通知书的每项实质性要求，逐一如实响应；未如实响应或者响应内容不符合询价通知书对应项的要求的，其响应文件作无效处理。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2.5开启、资格审查、询价和成交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一、本项目为网上询价项目。网上开启的开始时间为响应文件提交截止时间。成功提交或解密电子响应文件的供应商不足3家的，不予开启，采购人或代理机构将终止采购活动。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响应文件提交截止时间前30分钟，供应商登录项目电子化交易系统“开标-供应商开标大厅”参与开启。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解密时间截止或者所有供应商响应文件均完成解密后（以发生在先的时间为准），由代理机构通过项目电子化交易系统对供应商名称、响应文件解密情况、响应报价进行展示。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详见询价通知书第四章。</w:t>
      </w:r>
    </w:p>
    <w:p>
      <w:pPr>
        <w:pStyle w:val="null3"/>
        <w:outlineLvl w:val="3"/>
      </w:pPr>
      <w:r>
        <w:rPr>
          <w:rFonts w:ascii="仿宋_GB2312" w:hAnsi="仿宋_GB2312" w:cs="仿宋_GB2312" w:eastAsia="仿宋_GB2312"/>
          <w:sz w:val="24"/>
          <w:b/>
        </w:rPr>
        <w:t>2.5.4询价</w:t>
      </w:r>
    </w:p>
    <w:p>
      <w:pPr>
        <w:pStyle w:val="null3"/>
        <w:ind w:firstLine="480"/>
      </w:pPr>
      <w:r>
        <w:rPr>
          <w:rFonts w:ascii="仿宋_GB2312" w:hAnsi="仿宋_GB2312" w:cs="仿宋_GB2312" w:eastAsia="仿宋_GB2312"/>
        </w:rPr>
        <w:t>详见询价通知书第五章。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一、采购人或者询价小组确认成交供应商后，代理机构在陕西省政府采购网发布成交结果公告、通过项目电子化交易系统发出成交通知书，成交供应商通过项目电子化交易系统获取成交通知书。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二、采购人和成交供应商签订的采购合同不得对询价通知书确定的事项以及成交供应商的响应文件作实质性修改。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依据合同约定及招标文件执行。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2.7询价采购工作纪律及要求</w:t>
      </w:r>
    </w:p>
    <w:p>
      <w:pPr>
        <w:pStyle w:val="null3"/>
        <w:outlineLvl w:val="3"/>
      </w:pPr>
      <w:r>
        <w:rPr>
          <w:rFonts w:ascii="仿宋_GB2312" w:hAnsi="仿宋_GB2312" w:cs="仿宋_GB2312" w:eastAsia="仿宋_GB2312"/>
          <w:sz w:val="24"/>
          <w:b/>
        </w:rPr>
        <w:t xml:space="preserve"> 2.7.1供应商不得具有的情形（实质性要求）</w:t>
      </w:r>
    </w:p>
    <w:p>
      <w:pPr>
        <w:pStyle w:val="null3"/>
        <w:ind w:firstLine="480"/>
      </w:pPr>
      <w:r>
        <w:rPr>
          <w:rFonts w:ascii="仿宋_GB2312" w:hAnsi="仿宋_GB2312" w:cs="仿宋_GB2312" w:eastAsia="仿宋_GB2312"/>
        </w:rPr>
        <w:t>供应商参加询价不得有下列情形：</w:t>
      </w:r>
    </w:p>
    <w:p>
      <w:pPr>
        <w:pStyle w:val="null3"/>
        <w:ind w:firstLine="480"/>
      </w:pPr>
      <w:r>
        <w:rPr>
          <w:rFonts w:ascii="仿宋_GB2312" w:hAnsi="仿宋_GB2312" w:cs="仿宋_GB2312" w:eastAsia="仿宋_GB2312"/>
        </w:rPr>
        <w:t>一、有下列情形之一的，视为供应商串通询价：</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（二）不同供应商委托同一单位或者个人办理询价事宜；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五、向采购人或代理机构、询价小组成员行贿或者提供其他不正当利益；</w:t>
      </w:r>
    </w:p>
    <w:p>
      <w:pPr>
        <w:pStyle w:val="null3"/>
        <w:ind w:firstLine="480"/>
      </w:pPr>
      <w:r>
        <w:rPr>
          <w:rFonts w:ascii="仿宋_GB2312" w:hAnsi="仿宋_GB2312" w:cs="仿宋_GB2312" w:eastAsia="仿宋_GB2312"/>
        </w:rPr>
        <w:t>六、在询价过程中与采购人或代理机构进行协商谈判；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八、未按照询价通知书确定的事项签订政府采购合同；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根据委托代理协议约定，供应商对询价通知书的询问、质疑由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（五）针对质疑事项必要的证明材料（针对询价通知书提出的质疑，需提交从项目电子化交易系统获取的询价通知书回执函）。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注：根据《中华人民共和国政府采购法》的规定，供应商质疑不得超出询价通知书、询价过程、成交结果的范围。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为扎实做好“八一”双拥共建工作，向退役军人和驻区部队官兵传递党和政府的关怀与温暖，营造尊崇军人、关爱优抚对象的社会氛围，激励广大退役军人永葆本色、建功立业。采购一批米面油奶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八一慰问品采购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3.3技术参数及要求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标的名称：八一慰问品采购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85"/>
              <w:tblBorders>
                <w:top w:val="none" w:color="000000" w:sz="4"/>
                <w:left w:val="none" w:color="000000" w:sz="4"/>
                <w:bottom w:val="none" w:color="000000" w:sz="4"/>
                <w:right w:val="none" w:color="000000" w:sz="4"/>
                <w:insideH w:val="none"/>
                <w:insideV w:val="none"/>
              </w:tblBorders>
            </w:tblPr>
            <w:tblGrid>
              <w:gridCol w:w="125"/>
              <w:gridCol w:w="188"/>
              <w:gridCol w:w="196"/>
              <w:gridCol w:w="188"/>
              <w:gridCol w:w="183"/>
              <w:gridCol w:w="1563"/>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优抚对象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独立包装，配料：小麦粉，规格：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kg/袋；产品质量符合国家标准《</w:t>
                  </w:r>
                  <w:r>
                    <w:rPr>
                      <w:rFonts w:ascii="仿宋_GB2312" w:hAnsi="仿宋_GB2312" w:cs="仿宋_GB2312" w:eastAsia="仿宋_GB2312"/>
                      <w:sz w:val="21"/>
                      <w:color w:val="000000"/>
                    </w:rPr>
                    <w:t>GB/T 1355-2021</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精制粉</w:t>
                  </w:r>
                  <w:r>
                    <w:rPr>
                      <w:rFonts w:ascii="仿宋_GB2312" w:hAnsi="仿宋_GB2312" w:cs="仿宋_GB2312" w:eastAsia="仿宋_GB2312"/>
                      <w:sz w:val="21"/>
                      <w:color w:val="000000"/>
                    </w:rPr>
                    <w:t>标准要求；便于运输、储存，外包装上必须标明生产日期，保质期，原料，配料，执行标准（或产品标准号），食品生产许可证编号，储存条件，制造商，产地等。</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独立包装，规格：</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kg/袋；五常大米，质量符合国家标准《GB/</w:t>
                  </w:r>
                  <w:r>
                    <w:rPr>
                      <w:rFonts w:ascii="仿宋_GB2312" w:hAnsi="仿宋_GB2312" w:cs="仿宋_GB2312" w:eastAsia="仿宋_GB2312"/>
                      <w:sz w:val="21"/>
                    </w:rPr>
                    <w:t>T</w:t>
                  </w:r>
                  <w:r>
                    <w:rPr>
                      <w:rFonts w:ascii="仿宋_GB2312" w:hAnsi="仿宋_GB2312" w:cs="仿宋_GB2312" w:eastAsia="仿宋_GB2312"/>
                      <w:sz w:val="19"/>
                    </w:rPr>
                    <w:t xml:space="preserve"> </w:t>
                  </w:r>
                  <w:r>
                    <w:rPr>
                      <w:rFonts w:ascii="仿宋_GB2312" w:hAnsi="仿宋_GB2312" w:cs="仿宋_GB2312" w:eastAsia="仿宋_GB2312"/>
                      <w:sz w:val="21"/>
                    </w:rPr>
                    <w:t>19266</w:t>
                  </w:r>
                  <w:r>
                    <w:rPr>
                      <w:rFonts w:ascii="仿宋_GB2312" w:hAnsi="仿宋_GB2312" w:cs="仿宋_GB2312" w:eastAsia="仿宋_GB2312"/>
                      <w:sz w:val="21"/>
                    </w:rPr>
                    <w:t>-2024</w:t>
                  </w:r>
                  <w:r>
                    <w:rPr>
                      <w:rFonts w:ascii="仿宋_GB2312" w:hAnsi="仿宋_GB2312" w:cs="仿宋_GB2312" w:eastAsia="仿宋_GB2312"/>
                      <w:sz w:val="21"/>
                    </w:rPr>
                    <w:t>》优质一等标准要求；便于运输、储存，外包装上必须标明产品名称，配料，质量等级，生产日期，保质期，净含量，执行标准，储存条件，制造商，产地等。</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独立包装</w:t>
                  </w:r>
                  <w:r>
                    <w:rPr>
                      <w:rFonts w:ascii="仿宋_GB2312" w:hAnsi="仿宋_GB2312" w:cs="仿宋_GB2312" w:eastAsia="仿宋_GB2312"/>
                      <w:sz w:val="21"/>
                    </w:rPr>
                    <w:t xml:space="preserve">,规格：≥5L/桶；配料：菜籽油，非转基因压榨菜籽油，质量符合国家标准《GB/T1536-2021》 </w:t>
                  </w:r>
                  <w:r>
                    <w:rPr>
                      <w:rFonts w:ascii="仿宋_GB2312" w:hAnsi="仿宋_GB2312" w:cs="仿宋_GB2312" w:eastAsia="仿宋_GB2312"/>
                      <w:sz w:val="21"/>
                    </w:rPr>
                    <w:t>二</w:t>
                  </w:r>
                  <w:r>
                    <w:rPr>
                      <w:rFonts w:ascii="仿宋_GB2312" w:hAnsi="仿宋_GB2312" w:cs="仿宋_GB2312" w:eastAsia="仿宋_GB2312"/>
                      <w:sz w:val="21"/>
                    </w:rPr>
                    <w:t>级（含</w:t>
                  </w:r>
                  <w:r>
                    <w:rPr>
                      <w:rFonts w:ascii="仿宋_GB2312" w:hAnsi="仿宋_GB2312" w:cs="仿宋_GB2312" w:eastAsia="仿宋_GB2312"/>
                      <w:sz w:val="21"/>
                    </w:rPr>
                    <w:t>二</w:t>
                  </w:r>
                  <w:r>
                    <w:rPr>
                      <w:rFonts w:ascii="仿宋_GB2312" w:hAnsi="仿宋_GB2312" w:cs="仿宋_GB2312" w:eastAsia="仿宋_GB2312"/>
                      <w:sz w:val="21"/>
                    </w:rPr>
                    <w:t>级）以上，符合食品安全国家标准《</w:t>
                  </w:r>
                  <w:r>
                    <w:rPr>
                      <w:rFonts w:ascii="仿宋_GB2312" w:hAnsi="仿宋_GB2312" w:cs="仿宋_GB2312" w:eastAsia="仿宋_GB2312"/>
                      <w:sz w:val="21"/>
                    </w:rPr>
                    <w:t>GB 2716-2018》。外包装上必须标明生产日期，保质期，执行标准（或产品标准号），食品生产许可证编号，储存条件，制造商，产地等。</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纯牛奶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产品种类：全脂灭菌纯牛乳，配料：生牛乳，规格：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225</w:t>
                  </w:r>
                  <w:r>
                    <w:rPr>
                      <w:rFonts w:ascii="仿宋_GB2312" w:hAnsi="仿宋_GB2312" w:cs="仿宋_GB2312" w:eastAsia="仿宋_GB2312"/>
                      <w:sz w:val="21"/>
                      <w:color w:val="000000"/>
                    </w:rPr>
                    <w:t>ml*10盒，产品质量符合国家食品检验标准；外包装上必须标明生产日期，</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驻临部队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500ml*15</w:t>
                  </w:r>
                  <w:r>
                    <w:rPr>
                      <w:rFonts w:ascii="仿宋_GB2312" w:hAnsi="仿宋_GB2312" w:cs="仿宋_GB2312" w:eastAsia="仿宋_GB2312"/>
                      <w:sz w:val="21"/>
                      <w:color w:val="000000"/>
                    </w:rPr>
                    <w:t>瓶</w:t>
                  </w:r>
                  <w:r>
                    <w:rPr>
                      <w:rFonts w:ascii="仿宋_GB2312" w:hAnsi="仿宋_GB2312" w:cs="仿宋_GB2312" w:eastAsia="仿宋_GB2312"/>
                      <w:sz w:val="21"/>
                      <w:color w:val="000000"/>
                    </w:rPr>
                    <w:t>，产品质量符合国家食品检验标准；</w:t>
                  </w:r>
                  <w:r>
                    <w:rPr>
                      <w:rFonts w:ascii="仿宋_GB2312" w:hAnsi="仿宋_GB2312" w:cs="仿宋_GB2312" w:eastAsia="仿宋_GB2312"/>
                      <w:sz w:val="21"/>
                      <w:color w:val="000000"/>
                    </w:rPr>
                    <w:t>外包装上必须标明生产日期，执行标准，储存条件，生产厂家，产地等。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500ml*15</w:t>
                  </w:r>
                  <w:r>
                    <w:rPr>
                      <w:rFonts w:ascii="仿宋_GB2312" w:hAnsi="仿宋_GB2312" w:cs="仿宋_GB2312" w:eastAsia="仿宋_GB2312"/>
                      <w:sz w:val="21"/>
                      <w:color w:val="000000"/>
                    </w:rPr>
                    <w:t>瓶</w:t>
                  </w:r>
                  <w:r>
                    <w:rPr>
                      <w:rFonts w:ascii="仿宋_GB2312" w:hAnsi="仿宋_GB2312" w:cs="仿宋_GB2312" w:eastAsia="仿宋_GB2312"/>
                      <w:sz w:val="21"/>
                      <w:color w:val="000000"/>
                    </w:rPr>
                    <w:t>，产品质量符合国家食品检验标准；</w:t>
                  </w:r>
                  <w:r>
                    <w:rPr>
                      <w:rFonts w:ascii="仿宋_GB2312" w:hAnsi="仿宋_GB2312" w:cs="仿宋_GB2312" w:eastAsia="仿宋_GB2312"/>
                      <w:sz w:val="21"/>
                      <w:color w:val="000000"/>
                    </w:rPr>
                    <w:t>外包装上必须标明生产日期，执行标准，储存条件，生产厂家，产地等。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苏打水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r>
                    <w:rPr>
                      <w:rFonts w:ascii="仿宋_GB2312" w:hAnsi="仿宋_GB2312" w:cs="仿宋_GB2312" w:eastAsia="仿宋_GB2312"/>
                      <w:sz w:val="21"/>
                      <w:color w:val="000000"/>
                    </w:rPr>
                    <w:t>0ml*</w:t>
                  </w:r>
                  <w:r>
                    <w:rPr>
                      <w:rFonts w:ascii="仿宋_GB2312" w:hAnsi="仿宋_GB2312" w:cs="仿宋_GB2312" w:eastAsia="仿宋_GB2312"/>
                      <w:sz w:val="21"/>
                      <w:color w:val="000000"/>
                    </w:rPr>
                    <w:t>24瓶</w:t>
                  </w:r>
                  <w:r>
                    <w:rPr>
                      <w:rFonts w:ascii="仿宋_GB2312" w:hAnsi="仿宋_GB2312" w:cs="仿宋_GB2312" w:eastAsia="仿宋_GB2312"/>
                      <w:sz w:val="21"/>
                      <w:color w:val="000000"/>
                    </w:rPr>
                    <w:t>，产品质量符合国家食品检验标准；</w:t>
                  </w:r>
                  <w:r>
                    <w:rPr>
                      <w:rFonts w:ascii="仿宋_GB2312" w:hAnsi="仿宋_GB2312" w:cs="仿宋_GB2312" w:eastAsia="仿宋_GB2312"/>
                      <w:sz w:val="21"/>
                      <w:color w:val="000000"/>
                    </w:rPr>
                    <w:t>外包装上必须标明生产日期，执行标准，储存条件，生产厂家，产地等。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冰糖雪梨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500ml*15</w:t>
                  </w:r>
                  <w:r>
                    <w:rPr>
                      <w:rFonts w:ascii="仿宋_GB2312" w:hAnsi="仿宋_GB2312" w:cs="仿宋_GB2312" w:eastAsia="仿宋_GB2312"/>
                      <w:sz w:val="21"/>
                      <w:color w:val="000000"/>
                    </w:rPr>
                    <w:t>瓶</w:t>
                  </w:r>
                  <w:r>
                    <w:rPr>
                      <w:rFonts w:ascii="仿宋_GB2312" w:hAnsi="仿宋_GB2312" w:cs="仿宋_GB2312" w:eastAsia="仿宋_GB2312"/>
                      <w:sz w:val="21"/>
                      <w:color w:val="000000"/>
                    </w:rPr>
                    <w:t>，产品质量符合国家食品检验标准；</w:t>
                  </w:r>
                  <w:r>
                    <w:rPr>
                      <w:rFonts w:ascii="仿宋_GB2312" w:hAnsi="仿宋_GB2312" w:cs="仿宋_GB2312" w:eastAsia="仿宋_GB2312"/>
                      <w:sz w:val="21"/>
                      <w:color w:val="000000"/>
                    </w:rPr>
                    <w:t>外包装上必须标明生产日期，执行标准，储存条件，生产厂家，产地等。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纯净水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w:t>
                  </w:r>
                  <w:r>
                    <w:rPr>
                      <w:rFonts w:ascii="仿宋_GB2312" w:hAnsi="仿宋_GB2312" w:cs="仿宋_GB2312" w:eastAsia="仿宋_GB2312"/>
                      <w:sz w:val="21"/>
                      <w:color w:val="000000"/>
                    </w:rPr>
                    <w:t>ml*</w:t>
                  </w:r>
                  <w:r>
                    <w:rPr>
                      <w:rFonts w:ascii="仿宋_GB2312" w:hAnsi="仿宋_GB2312" w:cs="仿宋_GB2312" w:eastAsia="仿宋_GB2312"/>
                      <w:sz w:val="21"/>
                      <w:color w:val="000000"/>
                    </w:rPr>
                    <w:t>24瓶</w:t>
                  </w:r>
                  <w:r>
                    <w:rPr>
                      <w:rFonts w:ascii="仿宋_GB2312" w:hAnsi="仿宋_GB2312" w:cs="仿宋_GB2312" w:eastAsia="仿宋_GB2312"/>
                      <w:sz w:val="21"/>
                      <w:color w:val="000000"/>
                    </w:rPr>
                    <w:t>，产品质量符合国家食品检验标准；</w:t>
                  </w:r>
                  <w:r>
                    <w:rPr>
                      <w:rFonts w:ascii="仿宋_GB2312" w:hAnsi="仿宋_GB2312" w:cs="仿宋_GB2312" w:eastAsia="仿宋_GB2312"/>
                      <w:sz w:val="21"/>
                      <w:color w:val="000000"/>
                    </w:rPr>
                    <w:t>外包装上必须标明生产日期，执行标准，储存条件，生产厂家，产地等。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纯牛奶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产品种类：全脂灭菌纯牛乳，配料：生牛乳，规格：规格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250ml*1</w:t>
                  </w:r>
                  <w:r>
                    <w:rPr>
                      <w:rFonts w:ascii="仿宋_GB2312" w:hAnsi="仿宋_GB2312" w:cs="仿宋_GB2312" w:eastAsia="仿宋_GB2312"/>
                      <w:sz w:val="21"/>
                      <w:color w:val="000000"/>
                    </w:rPr>
                    <w:t>2</w:t>
                  </w:r>
                  <w:r>
                    <w:rPr>
                      <w:rFonts w:ascii="仿宋_GB2312" w:hAnsi="仿宋_GB2312" w:cs="仿宋_GB2312" w:eastAsia="仿宋_GB2312"/>
                      <w:sz w:val="21"/>
                      <w:color w:val="000000"/>
                    </w:rPr>
                    <w:t>盒，产品质量符合国家食品检验标准；外包装上必须标明生产日期，</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执行标准，储存条件，生产厂家，产地等。</w:t>
                  </w:r>
                </w:p>
              </w:tc>
            </w:tr>
            <w:tr>
              <w:tc>
                <w:tcPr>
                  <w:tcW w:type="dxa" w:w="1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产品种类：常温风味酸奶，处理方式：巴氏杀菌，规格：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00</w:t>
                  </w:r>
                  <w:r>
                    <w:rPr>
                      <w:rFonts w:ascii="仿宋_GB2312" w:hAnsi="仿宋_GB2312" w:cs="仿宋_GB2312" w:eastAsia="仿宋_GB2312"/>
                      <w:sz w:val="21"/>
                      <w:color w:val="000000"/>
                    </w:rPr>
                    <w:t>ml*12盒</w:t>
                  </w:r>
                  <w:r>
                    <w:rPr>
                      <w:rFonts w:ascii="仿宋_GB2312" w:hAnsi="仿宋_GB2312" w:cs="仿宋_GB2312" w:eastAsia="仿宋_GB2312"/>
                      <w:sz w:val="21"/>
                      <w:color w:val="000000"/>
                    </w:rPr>
                    <w:t>，产品质量符合国家食品检验标准；外包装上必须标明生产日期，</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执行标准，储存条件，生产厂家，产地等。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自合同签订后2个日历日内完成备货，备货完成后2个日历日内配送至临潼区下属的22个街办及12个驻临部队（至少满足同时配送5个驻临部队）。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进度款，供应商采购并配送完所有货物后（产品配送时须具备检测报告或食品检验合格证并经采购人验收合格方可配送），达到付款条件起30个工作日内，支付合同总金额的100.0%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 （2）验收依据：验收须以合同、招投标文件、澄清及国家相应的标准、规范等为依据。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依据合同约定及招标文件执行。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供应商需要在线提交所有通过电子化交易平台实施的政府采购项目的响应文件，同时，线下递交响应文件，正本壹份、副本贰份，电子文件（U盘）壹份，电子文件随正本密封。若线上电子响应文件与纸质响应文件不一致以电子响应文件为准；若正本和副本不符，以正本为准。 线下递交时间同线上响应文件递交截止时间 ；线下递交文件地点陕西省西安市临潼区新华书店2楼201室</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响应文件提交截止时间结束后，由资格性审查小组依据法律法规和询价通知书的规定，对响应文件中的资格证明等进行审查，以确定被邀请参加询价采购活动的供应商名单并出具资格审查报告。</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产品技术参数表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法人代表证明书或法人授权委托书，后附法人及被委托人身份证（法定代表人直接参加开标的只需提供法定代表人身份证）；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 (成立时间至开标时间不足一年的可提供成立后任意时段的资产负债表）或开标截止时间前六个月内其基本账户银行出具的资信证明或政府采购信用担保机构出具的担保函；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提供投标截止时间前一年内任意一个月的依法缴纳的税收和社保证明（社会保障资金缴存单据或社保机构开具的社会保险参保缴费情况证明）；依法免税或不需要缴纳社会保障资金的应提供相关证明材料；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三年内没有重大违法记录的声明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履行合同所必需的设备和专业技术能力的书面声明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询价方法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二、评审工作由代理机构负责组织，具体评审事务由采购人和代理机构依法组建的询价小组负责。询价小组由采购人代表和评审专家组成。</w:t>
      </w:r>
    </w:p>
    <w:p>
      <w:pPr>
        <w:pStyle w:val="null3"/>
        <w:ind w:firstLine="480"/>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四、本项目采取电子评审，通过项目电子化交易系统完成评审工作。询价小组成员和供应商应当按照本采购文件规定和项目电子化交易系统操作要求开展或者参加评审活动。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pPr>
      <w:r>
        <w:rPr>
          <w:rFonts w:ascii="仿宋_GB2312" w:hAnsi="仿宋_GB2312" w:cs="仿宋_GB2312" w:eastAsia="仿宋_GB2312"/>
        </w:rPr>
        <w:t>六、询价小组按照询价通知书规定的询价采购活动程序进行评审，并在采购活动中应当履行下列职责：</w:t>
      </w:r>
    </w:p>
    <w:p>
      <w:pPr>
        <w:pStyle w:val="null3"/>
        <w:ind w:firstLine="480"/>
      </w:pPr>
      <w:r>
        <w:rPr>
          <w:rFonts w:ascii="仿宋_GB2312" w:hAnsi="仿宋_GB2312" w:cs="仿宋_GB2312" w:eastAsia="仿宋_GB2312"/>
        </w:rPr>
        <w:t>（一）熟悉和理解询价通知书；</w:t>
      </w:r>
    </w:p>
    <w:p>
      <w:pPr>
        <w:pStyle w:val="null3"/>
        <w:ind w:firstLine="480"/>
      </w:pPr>
      <w:r>
        <w:rPr>
          <w:rFonts w:ascii="仿宋_GB2312" w:hAnsi="仿宋_GB2312" w:cs="仿宋_GB2312" w:eastAsia="仿宋_GB2312"/>
        </w:rPr>
        <w:t>（二）审查供应商响应文件等是否满足询价通知书要求，并作出评价；</w:t>
      </w:r>
    </w:p>
    <w:p>
      <w:pPr>
        <w:pStyle w:val="null3"/>
        <w:ind w:firstLine="480"/>
      </w:pPr>
      <w:r>
        <w:rPr>
          <w:rFonts w:ascii="仿宋_GB2312" w:hAnsi="仿宋_GB2312" w:cs="仿宋_GB2312" w:eastAsia="仿宋_GB2312"/>
        </w:rPr>
        <w:t xml:space="preserve"> （三）根据需要要求采购组织单位对询价通知书作出解释；根据需要要求供应商对响应文件有关事项作出澄清、说明或者更正；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ind w:firstLine="480"/>
      </w:pPr>
      <w:r>
        <w:rPr>
          <w:rFonts w:ascii="仿宋_GB2312" w:hAnsi="仿宋_GB2312" w:cs="仿宋_GB2312" w:eastAsia="仿宋_GB2312"/>
        </w:rPr>
        <w:t>七、评审过程独立、保密。供应商非法干预评审过程的行为将导致其响应文件作为无效处理。</w:t>
      </w:r>
    </w:p>
    <w:p>
      <w:pPr>
        <w:pStyle w:val="null3"/>
        <w:ind w:firstLine="480"/>
      </w:pPr>
      <w:r>
        <w:rPr>
          <w:rFonts w:ascii="仿宋_GB2312" w:hAnsi="仿宋_GB2312" w:cs="仿宋_GB2312" w:eastAsia="仿宋_GB2312"/>
        </w:rPr>
        <w:t xml:space="preserve"> 八、询价小组决定响应文件的响应性依据响应文件本身的内容，而不寻求外部的证据，询价通知书有明确约定的除外。</w:t>
      </w:r>
    </w:p>
    <w:p>
      <w:pPr>
        <w:pStyle w:val="null3"/>
        <w:ind w:firstLine="480"/>
      </w:pPr>
      <w:r>
        <w:rPr>
          <w:rFonts w:ascii="仿宋_GB2312" w:hAnsi="仿宋_GB2312" w:cs="仿宋_GB2312" w:eastAsia="仿宋_GB2312"/>
        </w:rPr>
        <w:t>九、询价小组发现询价通知书表述不明确或需要说明的事项，可提请采购人和代理机构书面解释说明。</w:t>
      </w:r>
    </w:p>
    <w:p>
      <w:pPr>
        <w:pStyle w:val="null3"/>
        <w:outlineLvl w:val="2"/>
      </w:pPr>
      <w:r>
        <w:rPr>
          <w:rFonts w:ascii="仿宋_GB2312" w:hAnsi="仿宋_GB2312" w:cs="仿宋_GB2312" w:eastAsia="仿宋_GB2312"/>
          <w:sz w:val="28"/>
          <w:b/>
        </w:rPr>
        <w:t>5.2询价小组组建</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5.3.1熟悉和理解询价通知书和停止评审</w:t>
      </w:r>
    </w:p>
    <w:p>
      <w:pPr>
        <w:pStyle w:val="null3"/>
        <w:ind w:firstLine="480"/>
      </w:pPr>
      <w:r>
        <w:rPr>
          <w:rFonts w:ascii="仿宋_GB2312" w:hAnsi="仿宋_GB2312" w:cs="仿宋_GB2312" w:eastAsia="仿宋_GB2312"/>
        </w:rPr>
        <w:t xml:space="preserve"> 一、询价小组正式评审前，应当对询价通知书进行熟悉和理解，内容主要包括询价通知书中供应商的采购项目技术、服务和商务要求、评审方法和标准以及可能涉及签订政府采购合同的内容等。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pPr>
      <w:r>
        <w:rPr>
          <w:rFonts w:ascii="仿宋_GB2312" w:hAnsi="仿宋_GB2312" w:cs="仿宋_GB2312" w:eastAsia="仿宋_GB2312"/>
        </w:rPr>
        <w:t xml:space="preserve"> 二、询价小组熟悉和理解询价通知书以及评审过程中，发现本询价通知书有下列情形之一的，询价小组应当停止评审：</w:t>
      </w:r>
    </w:p>
    <w:p>
      <w:pPr>
        <w:pStyle w:val="null3"/>
        <w:ind w:firstLine="480"/>
      </w:pPr>
      <w:r>
        <w:rPr>
          <w:rFonts w:ascii="仿宋_GB2312" w:hAnsi="仿宋_GB2312" w:cs="仿宋_GB2312" w:eastAsia="仿宋_GB2312"/>
        </w:rPr>
        <w:t>（一）询价通知书的规定存在歧义、重大缺陷的；</w:t>
      </w:r>
    </w:p>
    <w:p>
      <w:pPr>
        <w:pStyle w:val="null3"/>
        <w:ind w:firstLine="480"/>
      </w:pPr>
      <w:r>
        <w:rPr>
          <w:rFonts w:ascii="仿宋_GB2312" w:hAnsi="仿宋_GB2312" w:cs="仿宋_GB2312" w:eastAsia="仿宋_GB2312"/>
        </w:rPr>
        <w:t>（二）询价通知书明显以不合理条件对供应商实行差别待遇或者歧视待遇的；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（四）采购项目属于政府采购促进中小企业发展的范围，但是询价通知书未依法体现促进中小企业发展相关规定的；</w:t>
      </w:r>
    </w:p>
    <w:p>
      <w:pPr>
        <w:pStyle w:val="null3"/>
        <w:ind w:firstLine="480"/>
      </w:pPr>
      <w:r>
        <w:rPr>
          <w:rFonts w:ascii="仿宋_GB2312" w:hAnsi="仿宋_GB2312" w:cs="仿宋_GB2312" w:eastAsia="仿宋_GB2312"/>
        </w:rPr>
        <w:t>（五）询价通知书将供应商的资格条件列为评分因素的；</w:t>
      </w:r>
    </w:p>
    <w:p>
      <w:pPr>
        <w:pStyle w:val="null3"/>
        <w:ind w:firstLine="480"/>
      </w:pPr>
      <w:r>
        <w:rPr>
          <w:rFonts w:ascii="仿宋_GB2312" w:hAnsi="仿宋_GB2312" w:cs="仿宋_GB2312" w:eastAsia="仿宋_GB2312"/>
        </w:rPr>
        <w:t>（六）询价通知书载明的成交原则不合法的；</w:t>
      </w:r>
    </w:p>
    <w:p>
      <w:pPr>
        <w:pStyle w:val="null3"/>
        <w:ind w:firstLine="480"/>
      </w:pPr>
      <w:r>
        <w:rPr>
          <w:rFonts w:ascii="仿宋_GB2312" w:hAnsi="仿宋_GB2312" w:cs="仿宋_GB2312" w:eastAsia="仿宋_GB2312"/>
        </w:rPr>
        <w:t>（七）询价通知书有违反国家其他有关强制性规定的情形。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询价小组不应当停止评审的，可以通过项目电子化交易系统书面报告采购项目同级财政部门依法处理，并提供相关证明材料。</w:t>
      </w:r>
    </w:p>
    <w:p>
      <w:pPr>
        <w:pStyle w:val="null3"/>
        <w:outlineLvl w:val="3"/>
      </w:pPr>
      <w:r>
        <w:rPr>
          <w:rFonts w:ascii="仿宋_GB2312" w:hAnsi="仿宋_GB2312" w:cs="仿宋_GB2312" w:eastAsia="仿宋_GB2312"/>
          <w:sz w:val="24"/>
          <w:b/>
        </w:rPr>
        <w:t>5.3.2符合性审查</w:t>
      </w:r>
    </w:p>
    <w:p>
      <w:pPr>
        <w:pStyle w:val="null3"/>
        <w:ind w:firstLine="480"/>
      </w:pPr>
      <w:r>
        <w:rPr>
          <w:rFonts w:ascii="仿宋_GB2312" w:hAnsi="仿宋_GB2312" w:cs="仿宋_GB2312" w:eastAsia="仿宋_GB2312"/>
        </w:rPr>
        <w:t xml:space="preserve"> 询价小组依据本询价通知书的实质性要求，对符合资格的询价通知书进行审查，以确定其是否满足本询价通知书的实质性要求。本项目符合性审查事项，必须以本询价通知书的明确规定的实质性要求作为依据。在符合性审查过程中，如果出现询价小组成员意见不一致的情况，按照少数服从多数的原则作出结论，但不得违背政府采购基本原则和询价通知书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询价小组认为供应商的报价明显低于其他实质性响应的供应商报价，有可能影响产品质量或者不能诚信履约的，询价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询价小组要求的时间内通过项目电子化交易系统进行提交，否则提交的相关证明材料无效。供应商不能证明其报价合理性的，询价小组应当将其响应文件作为无效处理。</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符合招标文件有关签署、盖章要求</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只能有一个有效报价，不得提交选择性报价，且报价不超出 最高限价金额。</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符合招标文件中的供货期</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5.3.3价格扣除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六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5.3.4解释、澄清、说明的有关问题</w:t>
      </w:r>
    </w:p>
    <w:p>
      <w:pPr>
        <w:pStyle w:val="null3"/>
        <w:ind w:firstLine="480"/>
      </w:pPr>
      <w:r>
        <w:rPr>
          <w:rFonts w:ascii="仿宋_GB2312" w:hAnsi="仿宋_GB2312" w:cs="仿宋_GB2312" w:eastAsia="仿宋_GB2312"/>
        </w:rPr>
        <w:t xml:space="preserve"> 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pPr>
      <w:r>
        <w:rPr>
          <w:rFonts w:ascii="仿宋_GB2312" w:hAnsi="仿宋_GB2312" w:cs="仿宋_GB2312" w:eastAsia="仿宋_GB2312"/>
        </w:rPr>
        <w:t>（一）供应商响应文件中不响应询价通知书规定的技术参数指标和商务应答；</w:t>
      </w:r>
    </w:p>
    <w:p>
      <w:pPr>
        <w:pStyle w:val="null3"/>
        <w:ind w:firstLine="480"/>
      </w:pPr>
      <w:r>
        <w:rPr>
          <w:rFonts w:ascii="仿宋_GB2312" w:hAnsi="仿宋_GB2312" w:cs="仿宋_GB2312" w:eastAsia="仿宋_GB2312"/>
        </w:rPr>
        <w:t>（二）供应商响应文件中未提供的证明其是否符合询价通知书资格、符合性规定要求的相关材料；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四、报价出现下列情况的，按以下原则处理：</w:t>
      </w:r>
    </w:p>
    <w:p>
      <w:pPr>
        <w:pStyle w:val="null3"/>
        <w:ind w:firstLine="480"/>
      </w:pPr>
      <w:r>
        <w:rPr>
          <w:rFonts w:ascii="仿宋_GB2312" w:hAnsi="仿宋_GB2312" w:cs="仿宋_GB2312" w:eastAsia="仿宋_GB2312"/>
        </w:rPr>
        <w:t>（一）大写金额和小写金额不一致的，以大写金额为准，但大写金额出现文字错误，导致金额无法判断的除外；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（二）单价金额小数点或者百分比有明显错位的，以开启一览表总价为准，并修改单价；</w:t>
      </w:r>
    </w:p>
    <w:p>
      <w:pPr>
        <w:pStyle w:val="null3"/>
        <w:ind w:firstLine="480"/>
      </w:pPr>
      <w:r>
        <w:rPr>
          <w:rFonts w:ascii="仿宋_GB2312" w:hAnsi="仿宋_GB2312" w:cs="仿宋_GB2312" w:eastAsia="仿宋_GB2312"/>
        </w:rPr>
        <w:t>（三）总价金额与按单价汇总金额不一致的，以单价金额计算结果为准。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同时出现两种以上不一致的，按照前款规定的顺序修正。修正后的报价经供应商确认后产生约束力，供应商不确认的，其响应无效。</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pPr>
      <w:r>
        <w:rPr>
          <w:rFonts w:ascii="仿宋_GB2312" w:hAnsi="仿宋_GB2312" w:cs="仿宋_GB2312" w:eastAsia="仿宋_GB2312"/>
        </w:rPr>
        <w:t>六、询价小组应当积极履行澄清、说明或者更正的职责，不得滥用权力。</w:t>
      </w:r>
    </w:p>
    <w:p>
      <w:pPr>
        <w:pStyle w:val="null3"/>
        <w:outlineLvl w:val="3"/>
      </w:pPr>
      <w:r>
        <w:rPr>
          <w:rFonts w:ascii="仿宋_GB2312" w:hAnsi="仿宋_GB2312" w:cs="仿宋_GB2312" w:eastAsia="仿宋_GB2312"/>
          <w:sz w:val="24"/>
          <w:b/>
        </w:rPr>
        <w:t>5.3.5复核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5.3.6推荐成交候选供应商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5.3.7编写询价报告</w:t>
      </w:r>
    </w:p>
    <w:p>
      <w:pPr>
        <w:pStyle w:val="null3"/>
        <w:ind w:firstLine="480"/>
      </w:pPr>
      <w:r>
        <w:rPr>
          <w:rFonts w:ascii="仿宋_GB2312" w:hAnsi="仿宋_GB2312" w:cs="仿宋_GB2312" w:eastAsia="仿宋_GB2312"/>
        </w:rPr>
        <w:t>询价小组项目在电子化交易系统中编制评审情况，生成询价报告。</w:t>
      </w:r>
    </w:p>
    <w:p>
      <w:pPr>
        <w:pStyle w:val="null3"/>
        <w:ind w:firstLine="480"/>
      </w:pPr>
      <w:r>
        <w:rPr>
          <w:rFonts w:ascii="仿宋_GB2312" w:hAnsi="仿宋_GB2312" w:cs="仿宋_GB2312" w:eastAsia="仿宋_GB2312"/>
        </w:rPr>
        <w:t>询价报告是询价小组根据全体成员签字的原始评审记录和评审结果编写的报告，其主要内容包括：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二、响应文件开启日期和地点，询价小组成员名单；</w:t>
      </w:r>
    </w:p>
    <w:p>
      <w:pPr>
        <w:pStyle w:val="null3"/>
        <w:ind w:firstLine="480"/>
      </w:pPr>
      <w:r>
        <w:rPr>
          <w:rFonts w:ascii="仿宋_GB2312" w:hAnsi="仿宋_GB2312" w:cs="仿宋_GB2312" w:eastAsia="仿宋_GB2312"/>
        </w:rPr>
        <w:t>三、提交报价的供应商名单及报价情况，获取询价通知书但未提交报价的供应商名单；</w:t>
      </w:r>
    </w:p>
    <w:p>
      <w:pPr>
        <w:pStyle w:val="null3"/>
        <w:ind w:firstLine="480"/>
      </w:pPr>
      <w:r>
        <w:rPr>
          <w:rFonts w:ascii="仿宋_GB2312" w:hAnsi="仿宋_GB2312" w:cs="仿宋_GB2312" w:eastAsia="仿宋_GB2312"/>
        </w:rPr>
        <w:t xml:space="preserve"> 四、评审情况记录和说明，包括对供应商的资格审查情况、供应商响应文件评审情况、询价采购活动情况、报价情况等；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outlineLvl w:val="2"/>
      </w:pPr>
      <w:r>
        <w:rPr>
          <w:rFonts w:ascii="仿宋_GB2312" w:hAnsi="仿宋_GB2312" w:cs="仿宋_GB2312" w:eastAsia="仿宋_GB2312"/>
          <w:sz w:val="28"/>
          <w:b/>
        </w:rPr>
        <w:t>5.4争议处理规则</w:t>
      </w:r>
    </w:p>
    <w:p>
      <w:pPr>
        <w:pStyle w:val="null3"/>
        <w:ind w:firstLine="480"/>
      </w:pPr>
      <w:r>
        <w:rPr>
          <w:rFonts w:ascii="仿宋_GB2312" w:hAnsi="仿宋_GB2312" w:cs="仿宋_GB2312" w:eastAsia="仿宋_GB2312"/>
        </w:rPr>
        <w:t xml:space="preserve"> 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outlineLvl w:val="2"/>
      </w:pPr>
      <w:r>
        <w:rPr>
          <w:rFonts w:ascii="仿宋_GB2312" w:hAnsi="仿宋_GB2312" w:cs="仿宋_GB2312" w:eastAsia="仿宋_GB2312"/>
          <w:sz w:val="28"/>
          <w:b/>
        </w:rPr>
        <w:t>5.5终止采购活动</w:t>
      </w:r>
    </w:p>
    <w:p>
      <w:pPr>
        <w:pStyle w:val="null3"/>
        <w:ind w:firstLine="480"/>
      </w:pPr>
      <w:r>
        <w:rPr>
          <w:rFonts w:ascii="仿宋_GB2312" w:hAnsi="仿宋_GB2312" w:cs="仿宋_GB2312" w:eastAsia="仿宋_GB2312"/>
        </w:rPr>
        <w:t>出现下列情形之一的，终止询价采购活动：</w:t>
      </w:r>
    </w:p>
    <w:p>
      <w:pPr>
        <w:pStyle w:val="null3"/>
        <w:ind w:firstLine="480"/>
      </w:pPr>
      <w:r>
        <w:rPr>
          <w:rFonts w:ascii="仿宋_GB2312" w:hAnsi="仿宋_GB2312" w:cs="仿宋_GB2312" w:eastAsia="仿宋_GB2312"/>
        </w:rPr>
        <w:t>一、因情况变化，不再符合规定的询价采购方式适用情形的；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三、在采购过程中符合竞争要求的供应商或者报价未超过采购预算的供应商不足3家的。</w:t>
      </w:r>
    </w:p>
    <w:p>
      <w:pPr>
        <w:pStyle w:val="null3"/>
        <w:outlineLvl w:val="2"/>
      </w:pPr>
      <w:r>
        <w:rPr>
          <w:rFonts w:ascii="仿宋_GB2312" w:hAnsi="仿宋_GB2312" w:cs="仿宋_GB2312" w:eastAsia="仿宋_GB2312"/>
          <w:sz w:val="28"/>
          <w:b/>
        </w:rPr>
        <w:t>5.6确定成交供应商</w:t>
      </w:r>
    </w:p>
    <w:p>
      <w:pPr>
        <w:pStyle w:val="null3"/>
      </w:pPr>
      <w:r>
        <w:rPr>
          <w:rFonts w:ascii="仿宋_GB2312" w:hAnsi="仿宋_GB2312" w:cs="仿宋_GB2312" w:eastAsia="仿宋_GB2312"/>
        </w:rPr>
        <w:t>一、代理机构在评审结束后2个工作日内将评审报告送采购人确认。</w:t>
      </w:r>
    </w:p>
    <w:p>
      <w:pPr>
        <w:pStyle w:val="null3"/>
      </w:pPr>
      <w:r>
        <w:rPr>
          <w:rFonts w:ascii="仿宋_GB2312" w:hAnsi="仿宋_GB2312" w:cs="仿宋_GB2312" w:eastAsia="仿宋_GB2312"/>
        </w:rPr>
        <w:t>二、采购人在收到评审报告后5个工作日内，从评审报告提出的成交候选人中，根据质量和服务均能满足采购文件实质性响应要求且报价最低的原则确定成交供应商，也可以书面授权询价小组直接确定成交供应商。</w:t>
      </w:r>
    </w:p>
    <w:p>
      <w:pPr>
        <w:pStyle w:val="null3"/>
      </w:pPr>
      <w:r>
        <w:rPr>
          <w:rFonts w:ascii="仿宋_GB2312" w:hAnsi="仿宋_GB2312" w:cs="仿宋_GB2312" w:eastAsia="仿宋_GB2312"/>
        </w:rPr>
        <w:t>三、成交候选供应商并列的，由采购人、询价小组随机抽取确定成交供应商。</w:t>
      </w:r>
    </w:p>
    <w:p>
      <w:pPr>
        <w:pStyle w:val="null3"/>
      </w:pPr>
      <w:r>
        <w:rPr>
          <w:rFonts w:ascii="仿宋_GB2312" w:hAnsi="仿宋_GB2312" w:cs="仿宋_GB2312" w:eastAsia="仿宋_GB2312"/>
        </w:rPr>
        <w:t>四、采购人逾期未确定成交供应商且不提出异议的，视为确定评审报告提出的报价最低的供应商为成交供应商。</w:t>
      </w:r>
    </w:p>
    <w:p>
      <w:pPr>
        <w:pStyle w:val="null3"/>
        <w:outlineLvl w:val="2"/>
      </w:pPr>
      <w:r>
        <w:rPr>
          <w:rFonts w:ascii="仿宋_GB2312" w:hAnsi="仿宋_GB2312" w:cs="仿宋_GB2312" w:eastAsia="仿宋_GB2312"/>
          <w:sz w:val="28"/>
          <w:b/>
        </w:rPr>
        <w:t>5.7询价小组成员义务</w:t>
      </w:r>
    </w:p>
    <w:p>
      <w:pPr>
        <w:pStyle w:val="null3"/>
        <w:ind w:firstLine="480"/>
      </w:pPr>
      <w:r>
        <w:rPr>
          <w:rFonts w:ascii="仿宋_GB2312" w:hAnsi="仿宋_GB2312" w:cs="仿宋_GB2312" w:eastAsia="仿宋_GB2312"/>
        </w:rPr>
        <w:t>询价小组成员在政府采购活动中承担以下义务：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5.8询价采购活动纪律</w:t>
      </w:r>
    </w:p>
    <w:p>
      <w:pPr>
        <w:pStyle w:val="null3"/>
        <w:ind w:firstLine="480"/>
      </w:pPr>
      <w:r>
        <w:rPr>
          <w:rFonts w:ascii="仿宋_GB2312" w:hAnsi="仿宋_GB2312" w:cs="仿宋_GB2312" w:eastAsia="仿宋_GB2312"/>
        </w:rPr>
        <w:t>询价小组成员在政府采购活动中应当遵守以下工作纪律：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