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版本号：ZX2026-03-1920260608001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红外分光光度计采购项目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ZX2026-03-19</w:t>
      </w:r>
      <w:r>
        <w:br/>
      </w:r>
      <w:r>
        <w:br/>
      </w:r>
      <w:r>
        <w:br/>
      </w:r>
    </w:p>
    <w:p>
      <w:pPr>
        <w:pStyle w:val="null3"/>
        <w:jc w:val="center"/>
        <w:outlineLvl w:val="2"/>
      </w:pPr>
      <w:r>
        <w:rPr>
          <w:rFonts w:ascii="仿宋_GB2312" w:hAnsi="仿宋_GB2312" w:cs="仿宋_GB2312" w:eastAsia="仿宋_GB2312"/>
          <w:sz w:val="28"/>
          <w:b/>
        </w:rPr>
        <w:t>西安市食品药品检验所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西安市食品药品检验所</w:t>
      </w:r>
      <w:r>
        <w:rPr>
          <w:rFonts w:ascii="仿宋_GB2312" w:hAnsi="仿宋_GB2312" w:cs="仿宋_GB2312" w:eastAsia="仿宋_GB2312"/>
        </w:rPr>
        <w:t>委托，拟对</w:t>
      </w:r>
      <w:r>
        <w:rPr>
          <w:rFonts w:ascii="仿宋_GB2312" w:hAnsi="仿宋_GB2312" w:cs="仿宋_GB2312" w:eastAsia="仿宋_GB2312"/>
        </w:rPr>
        <w:t>红外分光光度计采购项目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红外分光光度计采购项目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本项目拟采购红外分光光度计，具体内容详见采购文件第3章。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采购包1（红外分光光度计采购项目）：属于专门面向中小企业采购。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1、法定代表人授权委托书：法定代表人参加谈判的，须提供法定代表人身份证；法定代表人授权本单位他人参加谈判的，须提供法定代表人授权委托书。</w:t>
      </w:r>
    </w:p>
    <w:p>
      <w:pPr>
        <w:pStyle w:val="null3"/>
      </w:pPr>
      <w:r>
        <w:rPr>
          <w:rFonts w:ascii="仿宋_GB2312" w:hAnsi="仿宋_GB2312" w:cs="仿宋_GB2312" w:eastAsia="仿宋_GB2312"/>
        </w:rPr>
        <w:t>2、本项目不接受联合体谈判，不允许分包：本项目不接受联合体谈判，不允许分包。供应商应提供《非联合体不分包投标声明》。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西安市食品药品检验所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陕西省西安市长安区仓台西路889号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029-85529351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代理服务费收费标准：参照国家计委计价格[2002]1980号文件收费标准收取，不足6000元按6000元收取，由成交供应商支付代理服务费。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西安市食品药品检验所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西安市食品药品检验所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西安市食品药品检验所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本项目拟采购红外分光光度计，具体内容详见采购文件第3章。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红外分光光度计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标的名称：红外分光光度计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设备名称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红外分光光度计</w:t>
                  </w:r>
                </w:p>
              </w:tc>
              <w:tc>
                <w:tcPr>
                  <w:tcW w:type="dxa" w:w="851"/>
                </w:tcPr>
                <w:p>
                  <w:pPr>
                    <w:pStyle w:val="null3"/>
                  </w:pPr>
                  <w:r>
                    <w:rPr>
                      <w:rFonts w:ascii="仿宋_GB2312" w:hAnsi="仿宋_GB2312" w:cs="仿宋_GB2312" w:eastAsia="仿宋_GB2312"/>
                    </w:rPr>
                    <w:t>1套</w:t>
                  </w:r>
                </w:p>
              </w:tc>
            </w:tr>
          </w:tbl>
          <w:p>
            <w:pPr>
              <w:pStyle w:val="null3"/>
            </w:pPr>
            <w:r>
              <w:rPr>
                <w:rFonts w:ascii="仿宋_GB2312" w:hAnsi="仿宋_GB2312" w:cs="仿宋_GB2312" w:eastAsia="仿宋_GB2312"/>
              </w:rPr>
              <w:t>二、技术参数（本项目所有参数必须满足，不允许负偏离，否则，按照无效文件处理。）</w:t>
            </w:r>
          </w:p>
          <w:p>
            <w:pPr>
              <w:pStyle w:val="null3"/>
            </w:pPr>
            <w:r>
              <w:rPr>
                <w:rFonts w:ascii="仿宋_GB2312" w:hAnsi="仿宋_GB2312" w:cs="仿宋_GB2312" w:eastAsia="仿宋_GB2312"/>
              </w:rPr>
              <w:t>1.光谱范围：7,800-350cm</w:t>
            </w:r>
            <w:r>
              <w:rPr>
                <w:rFonts w:ascii="仿宋_GB2312" w:hAnsi="仿宋_GB2312" w:cs="仿宋_GB2312" w:eastAsia="仿宋_GB2312"/>
                <w:vertAlign w:val="superscript"/>
              </w:rPr>
              <w:t>-1</w:t>
            </w:r>
          </w:p>
          <w:p>
            <w:pPr>
              <w:pStyle w:val="null3"/>
            </w:pPr>
            <w:r>
              <w:rPr>
                <w:rFonts w:ascii="仿宋_GB2312" w:hAnsi="仿宋_GB2312" w:cs="仿宋_GB2312" w:eastAsia="仿宋_GB2312"/>
              </w:rPr>
              <w:t>2.光谱分辨率：≤0.25cm</w:t>
            </w:r>
            <w:r>
              <w:rPr>
                <w:rFonts w:ascii="仿宋_GB2312" w:hAnsi="仿宋_GB2312" w:cs="仿宋_GB2312" w:eastAsia="仿宋_GB2312"/>
                <w:vertAlign w:val="superscript"/>
              </w:rPr>
              <w:t>-1</w:t>
            </w:r>
          </w:p>
          <w:p>
            <w:pPr>
              <w:pStyle w:val="null3"/>
            </w:pPr>
            <w:r>
              <w:rPr>
                <w:rFonts w:ascii="仿宋_GB2312" w:hAnsi="仿宋_GB2312" w:cs="仿宋_GB2312" w:eastAsia="仿宋_GB2312"/>
              </w:rPr>
              <w:t>3.波数精度：≤0.0008cm</w:t>
            </w:r>
            <w:r>
              <w:rPr>
                <w:rFonts w:ascii="仿宋_GB2312" w:hAnsi="仿宋_GB2312" w:cs="仿宋_GB2312" w:eastAsia="仿宋_GB2312"/>
                <w:vertAlign w:val="superscript"/>
              </w:rPr>
              <w:t>-1</w:t>
            </w:r>
          </w:p>
          <w:p>
            <w:pPr>
              <w:pStyle w:val="null3"/>
            </w:pPr>
            <w:r>
              <w:rPr>
                <w:rFonts w:ascii="仿宋_GB2312" w:hAnsi="仿宋_GB2312" w:cs="仿宋_GB2312" w:eastAsia="仿宋_GB2312"/>
              </w:rPr>
              <w:t>4.信噪比：优于50000：1</w:t>
            </w:r>
          </w:p>
          <w:p>
            <w:pPr>
              <w:pStyle w:val="null3"/>
            </w:pPr>
            <w:r>
              <w:rPr>
                <w:rFonts w:ascii="仿宋_GB2312" w:hAnsi="仿宋_GB2312" w:cs="仿宋_GB2312" w:eastAsia="仿宋_GB2312"/>
              </w:rPr>
              <w:t>5.快速扫描功能：≥40张谱图每秒</w:t>
            </w:r>
          </w:p>
          <w:p>
            <w:pPr>
              <w:pStyle w:val="null3"/>
            </w:pPr>
            <w:r>
              <w:rPr>
                <w:rFonts w:ascii="仿宋_GB2312" w:hAnsi="仿宋_GB2312" w:cs="仿宋_GB2312" w:eastAsia="仿宋_GB2312"/>
              </w:rPr>
              <w:t>6.干涉仪：具有不小于每秒130,000次扫描控制和高速动态准直调整功能</w:t>
            </w:r>
          </w:p>
          <w:p>
            <w:pPr>
              <w:pStyle w:val="null3"/>
            </w:pPr>
            <w:r>
              <w:rPr>
                <w:rFonts w:ascii="仿宋_GB2312" w:hAnsi="仿宋_GB2312" w:cs="仿宋_GB2312" w:eastAsia="仿宋_GB2312"/>
              </w:rPr>
              <w:t>备注：以上1-6项内容均须提供佐证材料予以证明，未提供佐证材料或佐证材料无法佐证，按照无效文件处理。佐证材料可为检测报告或产品彩页或加盖厂家公章的产品说明书。</w:t>
            </w:r>
          </w:p>
          <w:p>
            <w:pPr>
              <w:pStyle w:val="null3"/>
            </w:pPr>
            <w:r>
              <w:rPr>
                <w:rFonts w:ascii="仿宋_GB2312" w:hAnsi="仿宋_GB2312" w:cs="仿宋_GB2312" w:eastAsia="仿宋_GB2312"/>
              </w:rPr>
              <w:t>7.附件：固体制样组件1套；15吨台式压片机1台，包含13mm压片机模具及样品支架1套；玛瑙研钵与研棒1套。</w:t>
            </w:r>
          </w:p>
          <w:p>
            <w:pPr>
              <w:pStyle w:val="null3"/>
            </w:pPr>
            <w:r>
              <w:rPr>
                <w:rFonts w:ascii="仿宋_GB2312" w:hAnsi="仿宋_GB2312" w:cs="仿宋_GB2312" w:eastAsia="仿宋_GB2312"/>
              </w:rPr>
              <w:t>8.本项目产品根据需求配置操作终端等，所有配置的系统需保证终身无条件维护和升级。（费用均包含在本项目报价中，不额外收费。）须提供加盖供应商公章的承诺函予以佐证。</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自合同签订之日起30日历日内完成交货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西安市食品药品检验所指定地点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进度款，所有设备安装验收合格后，达到付款条件起10个工作日内，支付合同总金额的60.0%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整机1年，光源、干涉仪、激光器三大核心部件10年，质保期自验收合格之日起计算</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（一）政府采购评审中出现下列情形之一的，谈判小组应当启动异常低价投标审查程序：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 （三）响应供应商不能提供书面说明、证明材料，或者提供的书面说明、证明材料不能证明其报价合理性的，评审委员会应当将其作为无效响应处理。供应商提交的相关证明材料，应当加盖供应商（法定名称）电子印章，在谈判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响应文件按照谈判文件规定要求签署、盖章的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满足谈判文件中交货时间、交货地点、支付约定、质量保修范围和保修期的要求的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报价未超过谈判文件中规定的采购预算或最高限价的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6供应商认为需要提供的其他资料.docx 5技术响应与偏离表.docx 4承诺书.docx 1配置表.docx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详见附件：1配置表.docx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