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pPr>
      <w:r>
        <w:rPr>
          <w:rFonts w:ascii="仿宋_GB2312" w:hAnsi="仿宋_GB2312" w:cs="仿宋_GB2312" w:eastAsia="仿宋_GB2312"/>
          <w:b/>
        </w:rPr>
        <w:t>版本号：HCKPZY-ZB-202602220260521001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公路养护工程质量行业抽检</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HCKPZY-ZB-2026022</w:t>
      </w:r>
      <w:r>
        <w:br/>
      </w:r>
      <w:r>
        <w:br/>
      </w:r>
      <w:r>
        <w:br/>
      </w:r>
    </w:p>
    <w:p>
      <w:pPr>
        <w:pStyle w:val="null3"/>
        <w:jc w:val="center"/>
        <w:outlineLvl w:val="2"/>
      </w:pPr>
      <w:r>
        <w:rPr>
          <w:rFonts w:ascii="仿宋_GB2312" w:hAnsi="仿宋_GB2312" w:cs="仿宋_GB2312" w:eastAsia="仿宋_GB2312"/>
          <w:sz w:val="28"/>
          <w:b/>
        </w:rPr>
        <w:t>陕西省公路局</w:t>
      </w:r>
    </w:p>
    <w:p>
      <w:pPr>
        <w:pStyle w:val="null3"/>
        <w:jc w:val="center"/>
        <w:outlineLvl w:val="2"/>
      </w:pPr>
      <w:r>
        <w:rPr>
          <w:rFonts w:ascii="仿宋_GB2312" w:hAnsi="仿宋_GB2312" w:cs="仿宋_GB2312" w:eastAsia="仿宋_GB2312"/>
          <w:sz w:val="28"/>
          <w:b/>
        </w:rPr>
        <w:t>华春建设工程项目管理有限责任公司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2026年05月21日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华春建设工程项目管理有限责任公司</w:t>
      </w:r>
      <w:r>
        <w:rPr>
          <w:rFonts w:ascii="仿宋_GB2312" w:hAnsi="仿宋_GB2312" w:cs="仿宋_GB2312" w:eastAsia="仿宋_GB2312"/>
        </w:rPr>
        <w:t>（以下简称“代理机构”）受</w:t>
      </w:r>
      <w:r>
        <w:rPr>
          <w:rFonts w:ascii="仿宋_GB2312" w:hAnsi="仿宋_GB2312" w:cs="仿宋_GB2312" w:eastAsia="仿宋_GB2312"/>
        </w:rPr>
        <w:t>陕西省公路局</w:t>
      </w:r>
      <w:r>
        <w:rPr>
          <w:rFonts w:ascii="仿宋_GB2312" w:hAnsi="仿宋_GB2312" w:cs="仿宋_GB2312" w:eastAsia="仿宋_GB2312"/>
        </w:rPr>
        <w:t>委托，拟对</w:t>
      </w:r>
      <w:r>
        <w:rPr>
          <w:rFonts w:ascii="仿宋_GB2312" w:hAnsi="仿宋_GB2312" w:cs="仿宋_GB2312" w:eastAsia="仿宋_GB2312"/>
        </w:rPr>
        <w:t>公路养护工程质量行业抽检</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HCKPZY-ZB-2026022</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公路养护工程质量行业抽检</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完成15个以上高速公路总投资400万元以上由高速公路经营管理单位自行审批的养护工程项目的质量抽检（包括项目管理行为检查、施工工艺检查、原材料抽检以及工程实体检查等方面）；完成全省30个以上普通干线公路养护大中修工程、路面改造和专项养护工程项目的质量抽检（包括项目管理行为检查、施工工艺检查、原材料抽检以及工程实体检查等方面）。高速和普通干线公路检测指标总数量（点或组）不少于4000个，形成工程质量抽检报告和年度分析报告。</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1、法定代表人授权委托书：法定代表人授权书(附法定代表人、被授权人身份证复印件)及被授权人身份证复印件(法定代表人直接参加投标的，须提供法定代表人身份证明及身份证复印件)；非法人单位参照执行。</w:t>
      </w:r>
    </w:p>
    <w:p>
      <w:pPr>
        <w:pStyle w:val="null3"/>
      </w:pPr>
      <w:r>
        <w:rPr>
          <w:rFonts w:ascii="仿宋_GB2312" w:hAnsi="仿宋_GB2312" w:cs="仿宋_GB2312" w:eastAsia="仿宋_GB2312"/>
        </w:rPr>
        <w:t>2、供应商关联关系声明：供应商关联关系声明：单位负责人为同一人或者存在直接控股、管理关系的不同供应商，不得参加同一项目的招标活动。（提供承诺书）</w:t>
      </w:r>
    </w:p>
    <w:p>
      <w:pPr>
        <w:pStyle w:val="null3"/>
      </w:pPr>
      <w:r>
        <w:rPr>
          <w:rFonts w:ascii="仿宋_GB2312" w:hAnsi="仿宋_GB2312" w:cs="仿宋_GB2312" w:eastAsia="仿宋_GB2312"/>
        </w:rPr>
        <w:t>3、信用查询：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p>
      <w:pPr>
        <w:pStyle w:val="null3"/>
      </w:pPr>
      <w:r>
        <w:rPr>
          <w:rFonts w:ascii="仿宋_GB2312" w:hAnsi="仿宋_GB2312" w:cs="仿宋_GB2312" w:eastAsia="仿宋_GB2312"/>
        </w:rPr>
        <w:t>4、企业资质：供应商须具有行政主管部门颁发的公路水运工程质量检测机构公路工程甲级资质或公路工程试验检测综合甲级资质。</w:t>
      </w:r>
    </w:p>
    <w:p>
      <w:pPr>
        <w:pStyle w:val="null3"/>
      </w:pPr>
      <w:r>
        <w:rPr>
          <w:rFonts w:ascii="仿宋_GB2312" w:hAnsi="仿宋_GB2312" w:cs="仿宋_GB2312" w:eastAsia="仿宋_GB2312"/>
        </w:rPr>
        <w:t>5、非联合体声明：不允许组成联合体投标。（提供承诺书）</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s://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在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在线客服：通过陕西省政府采购网-在线服务进行咨询。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CA及签章服务：通过陕西省政府采购网-办事指南-CA及签章服务查看CA办理流程。</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问题，促进供应商依法诚信参加政府采购活动，有融资需求的供应商可登录陕西省政府采购网—陕西省政府采购金融服务平台（https://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陕西省公路局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西安市含光北路110号</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710068</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张杰</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 xml:space="preserve"> 029-88408551</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华春建设工程项目管理有限责任公司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陕西省西安市南二环西段58号成长大厦8楼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 xml:space="preserve"> 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郭雄龙、张驰、李娜、张聪、冯建正</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18092116036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采购包1：1,000,000.00元</w:t>
            </w:r>
          </w:p>
          <w:p>
            <w:pPr>
              <w:pStyle w:val="null3"/>
            </w:pP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1.两个以上供应商可以组成一个联合体，以一个供应商的身份参加采购活动。以联合体形式参加政府采购活动的，联合体各方不得再单独参加或者与其他供应商另外组成联合体参加同一合同项下的政府采购活动。</w:t>
            </w:r>
          </w:p>
          <w:p>
            <w:pPr>
              <w:pStyle w:val="null3"/>
            </w:pPr>
            <w:r>
              <w:rPr>
                <w:rFonts w:ascii="仿宋_GB2312" w:hAnsi="仿宋_GB2312" w:cs="仿宋_GB2312" w:eastAsia="仿宋_GB2312"/>
              </w:rPr>
              <w:t>2.参加联合体的供应商均应当具备本法第二十二条规定的条件，并应当向采购人提交联合协议，载明联合体各方承担的工作和义务。联合体中有同类资质的供应商按照联合体分工承担相同工作的，应当按照资质等级较低的供应商确定资质等级。</w:t>
            </w:r>
          </w:p>
          <w:p>
            <w:pPr>
              <w:pStyle w:val="null3"/>
            </w:pPr>
            <w:r>
              <w:rPr>
                <w:rFonts w:ascii="仿宋_GB2312" w:hAnsi="仿宋_GB2312" w:cs="仿宋_GB2312" w:eastAsia="仿宋_GB2312"/>
              </w:rPr>
              <w:t>3.联合体各方应当共同与采购人签订采购合同，就采购合同约定的事项对采购人承担连带责任。</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本国产品价格扣除（若采购项目适用本国产品标准）</w:t>
            </w:r>
          </w:p>
        </w:tc>
        <w:tc>
          <w:tcPr>
            <w:tcW w:type="dxa" w:w="5004"/>
          </w:tcPr>
          <w:p>
            <w:pPr>
              <w:pStyle w:val="null3"/>
            </w:pPr>
            <w:r>
              <w:rPr>
                <w:rFonts w:ascii="仿宋_GB2312" w:hAnsi="仿宋_GB2312" w:cs="仿宋_GB2312" w:eastAsia="仿宋_GB2312"/>
              </w:rPr>
              <w:t xml:space="preserve"> 本项目应执行《国务院办公厅关于在政府采购中实施本国产品标准及相关政策的通知》（国办发〔2025〕34号）及《关于贯彻落实&lt;国务院办公厅关于在政府采购中实施本国产品标准及相关政策的通知&gt;的意见》（财库〔2025〕30号）的要求，本项目采购包中执行本国产品价格扣除情况，具体扣除比例及规则见采购文件第六章。</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异常低价审查</w:t>
            </w:r>
          </w:p>
        </w:tc>
        <w:tc>
          <w:tcPr>
            <w:tcW w:type="dxa" w:w="5004"/>
          </w:tcPr>
          <w:p>
            <w:pPr>
              <w:pStyle w:val="null3"/>
            </w:pPr>
            <w:r>
              <w:rPr>
                <w:rFonts w:ascii="仿宋_GB2312" w:hAnsi="仿宋_GB2312" w:cs="仿宋_GB2312" w:eastAsia="仿宋_GB2312"/>
              </w:rPr>
              <w:t xml:space="preserve"> 本项目应执行财政部《关于推动解决政府采购异常低价问题的通知》（财库〔2026〕2号）的要求，具体内容见采购文件第六章。</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采购包1保证金金额：20,000.00元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开户名称：华春建设工程项目管理有限责任公司</w:t>
            </w:r>
          </w:p>
          <w:p>
            <w:pPr>
              <w:pStyle w:val="null3"/>
            </w:pPr>
            <w:r>
              <w:rPr>
                <w:rFonts w:ascii="仿宋_GB2312" w:hAnsi="仿宋_GB2312" w:cs="仿宋_GB2312" w:eastAsia="仿宋_GB2312"/>
              </w:rPr>
              <w:t>开户银行：平安银行西安分行营业部</w:t>
            </w:r>
          </w:p>
          <w:p>
            <w:pPr>
              <w:pStyle w:val="null3"/>
            </w:pPr>
            <w:r>
              <w:rPr>
                <w:rFonts w:ascii="仿宋_GB2312" w:hAnsi="仿宋_GB2312" w:cs="仿宋_GB2312" w:eastAsia="仿宋_GB2312"/>
              </w:rPr>
              <w:t>银行账号：30208471002856</w:t>
            </w:r>
          </w:p>
          <w:p>
            <w:pPr>
              <w:pStyle w:val="null3"/>
            </w:pPr>
            <w:r>
              <w:rPr>
                <w:rFonts w:ascii="仿宋_GB2312" w:hAnsi="仿宋_GB2312" w:cs="仿宋_GB2312" w:eastAsia="仿宋_GB2312"/>
              </w:rPr>
              <w:t>注：电子保函可通过陕西省政府采购金融服务平台申请办理。</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采购包1：缴纳</w:t>
            </w:r>
          </w:p>
          <w:p>
            <w:pPr>
              <w:pStyle w:val="null3"/>
            </w:pPr>
            <w:r>
              <w:rPr>
                <w:rFonts w:ascii="仿宋_GB2312" w:hAnsi="仿宋_GB2312" w:cs="仿宋_GB2312" w:eastAsia="仿宋_GB2312"/>
              </w:rPr>
              <w:t>本采购包履约保证金为合同金额的5%</w:t>
            </w:r>
          </w:p>
          <w:p>
            <w:pPr>
              <w:pStyle w:val="null3"/>
            </w:pPr>
            <w:r>
              <w:rPr>
                <w:rFonts w:ascii="仿宋_GB2312" w:hAnsi="仿宋_GB2312" w:cs="仿宋_GB2312" w:eastAsia="仿宋_GB2312"/>
              </w:rPr>
              <w:t>说明：合同签订前，供应商向采购人缴纳合同总金额5%的履约保证金。经采购人履约验收合格，保证期到期且无任何纠纷后一次性无息退还。</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依据《国家发展改革委关于进一步放开建设项目专业服务价格的通知》（发改价格〔2015〕299号），并参考《招标代理服务收费管理暂行办法》（计价格［2002］1980号）规定的标准计算，下浮20%计取，在领取中标通知书时，向代理机构一次性全额支付代理服务费。</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20</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21</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r>
        <w:tc>
          <w:tcPr>
            <w:tcW w:type="dxa" w:w="1051"/>
          </w:tcPr>
          <w:p>
            <w:pPr>
              <w:pStyle w:val="null3"/>
            </w:pPr>
            <w:r>
              <w:rPr>
                <w:rFonts w:ascii="仿宋_GB2312" w:hAnsi="仿宋_GB2312" w:cs="仿宋_GB2312" w:eastAsia="仿宋_GB2312"/>
              </w:rPr>
              <w:t>22</w:t>
            </w:r>
          </w:p>
        </w:tc>
        <w:tc>
          <w:tcPr>
            <w:tcW w:type="dxa" w:w="2252"/>
          </w:tcPr>
          <w:p>
            <w:pPr>
              <w:pStyle w:val="null3"/>
            </w:pPr>
            <w:r>
              <w:rPr>
                <w:rFonts w:ascii="仿宋_GB2312" w:hAnsi="仿宋_GB2312" w:cs="仿宋_GB2312" w:eastAsia="仿宋_GB2312"/>
              </w:rPr>
              <w:t>其他说明</w:t>
            </w:r>
          </w:p>
        </w:tc>
        <w:tc>
          <w:tcPr>
            <w:tcW w:type="dxa" w:w="5004"/>
          </w:tcPr>
          <w:p>
            <w:pPr>
              <w:pStyle w:val="null3"/>
            </w:pPr>
            <w:r>
              <w:rPr>
                <w:rFonts w:ascii="仿宋_GB2312" w:hAnsi="仿宋_GB2312" w:cs="仿宋_GB2312" w:eastAsia="仿宋_GB2312"/>
              </w:rPr>
              <w:t>本磋商文件所称的“以上”、“以下”、“内”、“以内”、“不少于”包括本数；所称的“不足”、“低于”、“超过”不包括本数。</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陕西省公路局</w:t>
      </w:r>
      <w:r>
        <w:rPr>
          <w:rFonts w:ascii="仿宋_GB2312" w:hAnsi="仿宋_GB2312" w:cs="仿宋_GB2312" w:eastAsia="仿宋_GB2312"/>
        </w:rPr>
        <w:t>和</w:t>
      </w:r>
      <w:r>
        <w:rPr>
          <w:rFonts w:ascii="仿宋_GB2312" w:hAnsi="仿宋_GB2312" w:cs="仿宋_GB2312" w:eastAsia="仿宋_GB2312"/>
        </w:rPr>
        <w:t>华春建设工程项目管理有限责任公司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陕西省公路局</w:t>
      </w:r>
      <w:r>
        <w:rPr>
          <w:rFonts w:ascii="仿宋_GB2312" w:hAnsi="仿宋_GB2312" w:cs="仿宋_GB2312" w:eastAsia="仿宋_GB2312"/>
        </w:rPr>
        <w:t>负责解释。除上述磋商文件内容，其他内容由</w:t>
      </w:r>
      <w:r>
        <w:rPr>
          <w:rFonts w:ascii="仿宋_GB2312" w:hAnsi="仿宋_GB2312" w:cs="仿宋_GB2312" w:eastAsia="仿宋_GB2312"/>
        </w:rPr>
        <w:t>华春建设工程项目管理有限责任公司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陕西省公路局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华春建设工程项目管理有限责任公司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一、响应文件应当根据磋商文件进行编制，供应商应通过陕西省政府采购网-办事指南-CA及签章服务下载投标（响应）客户端，使用客户端编制响应文件。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三、供应商完成响应文件编制后，应按照响应文件第一章明确的签章要求，使用互认的证书及签章对响应文件进行电子签章和加密。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一、采购人应在成交通知书发出之日起二十五日内与成交供应商签订采购合同。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按照《陕百省公路局政府采购项目腐的验收办法》及政府采购合同的定的技术、服务、安全标准组汉对供应商每一项技术、服务、安全标准的履约情兄进行验收，并出具验收书。</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华春建设工程项目管理有限责任公司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联系人：李娜</w:t>
      </w:r>
    </w:p>
    <w:p>
      <w:pPr>
        <w:pStyle w:val="null3"/>
      </w:pPr>
      <w:r>
        <w:rPr>
          <w:rFonts w:ascii="仿宋_GB2312" w:hAnsi="仿宋_GB2312" w:cs="仿宋_GB2312" w:eastAsia="仿宋_GB2312"/>
        </w:rPr>
        <w:t>联系电话：18092116036</w:t>
      </w:r>
    </w:p>
    <w:p>
      <w:pPr>
        <w:pStyle w:val="null3"/>
      </w:pPr>
      <w:r>
        <w:rPr>
          <w:rFonts w:ascii="仿宋_GB2312" w:hAnsi="仿宋_GB2312" w:cs="仿宋_GB2312" w:eastAsia="仿宋_GB2312"/>
        </w:rPr>
        <w:t>地址：陕西省西安市碑林区南二环西段 58 号成长大厦8楼</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完成15个以上高速公路总投资400万元以上由高速公路经营管理单位自行审批的养护工程项目的质量抽检（包括项目管理行为检查、施工工艺检查、原材料抽检以及工程实体检查等方面）；完成全省30个以上普通干线公路养护大中修工程、路面改造和专项养护工程项目的质量抽检（包括项目管理行为检查、施工工艺检查、原材料抽检以及工程实体检查等方面）。高速和普通干线公路检测指标总数量（点或组）不少于4000个，形成工程质量抽检报告和年度分析报告。</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1,000,000.00</w:t>
      </w:r>
    </w:p>
    <w:p>
      <w:pPr>
        <w:pStyle w:val="null3"/>
      </w:pPr>
      <w:r>
        <w:rPr>
          <w:rFonts w:ascii="仿宋_GB2312" w:hAnsi="仿宋_GB2312" w:cs="仿宋_GB2312" w:eastAsia="仿宋_GB2312"/>
        </w:rPr>
        <w:t>采购包最高限价（元）: 1,000,000.00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755"/>
        <w:gridCol w:w="755"/>
        <w:gridCol w:w="755"/>
        <w:gridCol w:w="755"/>
        <w:gridCol w:w="755"/>
        <w:gridCol w:w="755"/>
        <w:gridCol w:w="755"/>
        <w:gridCol w:w="755"/>
        <w:gridCol w:w="755"/>
        <w:gridCol w:w="755"/>
        <w:gridCol w:w="755"/>
      </w:tblGrid>
      <w:tr>
        <w:tc>
          <w:tcPr>
            <w:tcW w:type="dxa" w:w="755"/>
          </w:tcPr>
          <w:p>
            <w:pPr>
              <w:pStyle w:val="null3"/>
            </w:pPr>
            <w:r>
              <w:rPr>
                <w:rFonts w:ascii="仿宋_GB2312" w:hAnsi="仿宋_GB2312" w:cs="仿宋_GB2312" w:eastAsia="仿宋_GB2312"/>
              </w:rPr>
              <w:t>序号</w:t>
            </w:r>
          </w:p>
        </w:tc>
        <w:tc>
          <w:tcPr>
            <w:tcW w:type="dxa" w:w="755"/>
          </w:tcPr>
          <w:p>
            <w:pPr>
              <w:pStyle w:val="null3"/>
            </w:pPr>
            <w:r>
              <w:rPr>
                <w:rFonts w:ascii="仿宋_GB2312" w:hAnsi="仿宋_GB2312" w:cs="仿宋_GB2312" w:eastAsia="仿宋_GB2312"/>
              </w:rPr>
              <w:t>标的名称</w:t>
            </w:r>
          </w:p>
        </w:tc>
        <w:tc>
          <w:tcPr>
            <w:tcW w:type="dxa" w:w="755"/>
          </w:tcPr>
          <w:p>
            <w:pPr>
              <w:pStyle w:val="null3"/>
            </w:pPr>
            <w:r>
              <w:rPr>
                <w:rFonts w:ascii="仿宋_GB2312" w:hAnsi="仿宋_GB2312" w:cs="仿宋_GB2312" w:eastAsia="仿宋_GB2312"/>
              </w:rPr>
              <w:t>数量</w:t>
            </w:r>
          </w:p>
        </w:tc>
        <w:tc>
          <w:tcPr>
            <w:tcW w:type="dxa" w:w="755"/>
          </w:tcPr>
          <w:p>
            <w:pPr>
              <w:pStyle w:val="null3"/>
            </w:pPr>
            <w:r>
              <w:rPr>
                <w:rFonts w:ascii="仿宋_GB2312" w:hAnsi="仿宋_GB2312" w:cs="仿宋_GB2312" w:eastAsia="仿宋_GB2312"/>
              </w:rPr>
              <w:t>标的金额 （元）</w:t>
            </w:r>
          </w:p>
        </w:tc>
        <w:tc>
          <w:tcPr>
            <w:tcW w:type="dxa" w:w="755"/>
          </w:tcPr>
          <w:p>
            <w:pPr>
              <w:pStyle w:val="null3"/>
            </w:pPr>
            <w:r>
              <w:rPr>
                <w:rFonts w:ascii="仿宋_GB2312" w:hAnsi="仿宋_GB2312" w:cs="仿宋_GB2312" w:eastAsia="仿宋_GB2312"/>
              </w:rPr>
              <w:t>计量单位</w:t>
            </w:r>
          </w:p>
        </w:tc>
        <w:tc>
          <w:tcPr>
            <w:tcW w:type="dxa" w:w="755"/>
          </w:tcPr>
          <w:p>
            <w:pPr>
              <w:pStyle w:val="null3"/>
            </w:pPr>
            <w:r>
              <w:rPr>
                <w:rFonts w:ascii="仿宋_GB2312" w:hAnsi="仿宋_GB2312" w:cs="仿宋_GB2312" w:eastAsia="仿宋_GB2312"/>
              </w:rPr>
              <w:t>所属行业</w:t>
            </w:r>
          </w:p>
        </w:tc>
        <w:tc>
          <w:tcPr>
            <w:tcW w:type="dxa" w:w="755"/>
          </w:tcPr>
          <w:p>
            <w:pPr>
              <w:pStyle w:val="null3"/>
            </w:pPr>
            <w:r>
              <w:rPr>
                <w:rFonts w:ascii="仿宋_GB2312" w:hAnsi="仿宋_GB2312" w:cs="仿宋_GB2312" w:eastAsia="仿宋_GB2312"/>
              </w:rPr>
              <w:t>是否核心产品</w:t>
            </w:r>
          </w:p>
        </w:tc>
        <w:tc>
          <w:tcPr>
            <w:tcW w:type="dxa" w:w="755"/>
          </w:tcPr>
          <w:p>
            <w:pPr>
              <w:pStyle w:val="null3"/>
            </w:pPr>
            <w:r>
              <w:rPr>
                <w:rFonts w:ascii="仿宋_GB2312" w:hAnsi="仿宋_GB2312" w:cs="仿宋_GB2312" w:eastAsia="仿宋_GB2312"/>
              </w:rPr>
              <w:t>是否允许进口产品</w:t>
            </w:r>
          </w:p>
        </w:tc>
        <w:tc>
          <w:tcPr>
            <w:tcW w:type="dxa" w:w="755"/>
          </w:tcPr>
          <w:p>
            <w:pPr>
              <w:pStyle w:val="null3"/>
            </w:pPr>
            <w:r>
              <w:rPr>
                <w:rFonts w:ascii="仿宋_GB2312" w:hAnsi="仿宋_GB2312" w:cs="仿宋_GB2312" w:eastAsia="仿宋_GB2312"/>
              </w:rPr>
              <w:t>是否属于节能产品</w:t>
            </w:r>
          </w:p>
        </w:tc>
        <w:tc>
          <w:tcPr>
            <w:tcW w:type="dxa" w:w="755"/>
          </w:tcPr>
          <w:p>
            <w:pPr>
              <w:pStyle w:val="null3"/>
            </w:pPr>
            <w:r>
              <w:rPr>
                <w:rFonts w:ascii="仿宋_GB2312" w:hAnsi="仿宋_GB2312" w:cs="仿宋_GB2312" w:eastAsia="仿宋_GB2312"/>
              </w:rPr>
              <w:t>是否属于环境标志产品</w:t>
            </w:r>
          </w:p>
        </w:tc>
        <w:tc>
          <w:tcPr>
            <w:tcW w:type="dxa" w:w="755"/>
          </w:tcPr>
          <w:p>
            <w:pPr>
              <w:pStyle w:val="null3"/>
            </w:pPr>
            <w:r>
              <w:rPr>
                <w:rFonts w:ascii="仿宋_GB2312" w:hAnsi="仿宋_GB2312" w:cs="仿宋_GB2312" w:eastAsia="仿宋_GB2312"/>
              </w:rPr>
              <w:t>是否实施本国产品政策</w:t>
            </w:r>
          </w:p>
        </w:tc>
      </w:tr>
      <w:tr>
        <w:tc>
          <w:tcPr>
            <w:tcW w:type="dxa" w:w="755"/>
          </w:tcPr>
          <w:p>
            <w:pPr>
              <w:pStyle w:val="null3"/>
            </w:pPr>
            <w:r>
              <w:rPr>
                <w:rFonts w:ascii="仿宋_GB2312" w:hAnsi="仿宋_GB2312" w:cs="仿宋_GB2312" w:eastAsia="仿宋_GB2312"/>
              </w:rPr>
              <w:t>1</w:t>
            </w:r>
          </w:p>
        </w:tc>
        <w:tc>
          <w:tcPr>
            <w:tcW w:type="dxa" w:w="755"/>
          </w:tcPr>
          <w:p>
            <w:pPr>
              <w:pStyle w:val="null3"/>
            </w:pPr>
            <w:r>
              <w:rPr>
                <w:rFonts w:ascii="仿宋_GB2312" w:hAnsi="仿宋_GB2312" w:cs="仿宋_GB2312" w:eastAsia="仿宋_GB2312"/>
              </w:rPr>
              <w:t>公路养护工程质量行业抽检</w:t>
            </w:r>
          </w:p>
        </w:tc>
        <w:tc>
          <w:tcPr>
            <w:tcW w:type="dxa" w:w="755"/>
          </w:tcPr>
          <w:p>
            <w:pPr>
              <w:pStyle w:val="null3"/>
              <w:jc w:val="right"/>
            </w:pPr>
            <w:r>
              <w:rPr>
                <w:rFonts w:ascii="仿宋_GB2312" w:hAnsi="仿宋_GB2312" w:cs="仿宋_GB2312" w:eastAsia="仿宋_GB2312"/>
              </w:rPr>
              <w:t>1.00</w:t>
            </w:r>
          </w:p>
        </w:tc>
        <w:tc>
          <w:tcPr>
            <w:tcW w:type="dxa" w:w="755"/>
          </w:tcPr>
          <w:p>
            <w:pPr>
              <w:pStyle w:val="null3"/>
              <w:jc w:val="right"/>
            </w:pPr>
            <w:r>
              <w:rPr>
                <w:rFonts w:ascii="仿宋_GB2312" w:hAnsi="仿宋_GB2312" w:cs="仿宋_GB2312" w:eastAsia="仿宋_GB2312"/>
              </w:rPr>
              <w:t>1,000,000.00</w:t>
            </w:r>
          </w:p>
        </w:tc>
        <w:tc>
          <w:tcPr>
            <w:tcW w:type="dxa" w:w="755"/>
          </w:tcPr>
          <w:p>
            <w:pPr>
              <w:pStyle w:val="null3"/>
            </w:pPr>
            <w:r>
              <w:rPr>
                <w:rFonts w:ascii="仿宋_GB2312" w:hAnsi="仿宋_GB2312" w:cs="仿宋_GB2312" w:eastAsia="仿宋_GB2312"/>
              </w:rPr>
              <w:t>标段</w:t>
            </w:r>
          </w:p>
        </w:tc>
        <w:tc>
          <w:tcPr>
            <w:tcW w:type="dxa" w:w="755"/>
          </w:tcPr>
          <w:p>
            <w:pPr>
              <w:pStyle w:val="null3"/>
            </w:pPr>
            <w:r>
              <w:rPr>
                <w:rFonts w:ascii="仿宋_GB2312" w:hAnsi="仿宋_GB2312" w:cs="仿宋_GB2312" w:eastAsia="仿宋_GB2312"/>
              </w:rPr>
              <w:t>其他未列明行业</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c>
          <w:tcPr>
            <w:tcW w:type="dxa" w:w="755"/>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标的名称：公路养护工程质量行业抽检</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jc w:val="both"/>
            </w:pPr>
            <w:r>
              <w:rPr>
                <w:rFonts w:ascii="仿宋_GB2312" w:hAnsi="仿宋_GB2312" w:cs="仿宋_GB2312" w:eastAsia="仿宋_GB2312"/>
                <w:sz w:val="24"/>
                <w:b/>
              </w:rPr>
              <w:t>一</w:t>
            </w:r>
            <w:r>
              <w:rPr>
                <w:rFonts w:ascii="仿宋_GB2312" w:hAnsi="仿宋_GB2312" w:cs="仿宋_GB2312" w:eastAsia="仿宋_GB2312"/>
                <w:sz w:val="24"/>
                <w:b/>
              </w:rPr>
              <w:t>、试验检测标准、规范</w:t>
            </w:r>
          </w:p>
          <w:p>
            <w:pPr>
              <w:pStyle w:val="null3"/>
              <w:ind w:firstLine="480"/>
              <w:jc w:val="both"/>
            </w:pPr>
            <w:r>
              <w:rPr>
                <w:rFonts w:ascii="仿宋_GB2312" w:hAnsi="仿宋_GB2312" w:cs="仿宋_GB2312" w:eastAsia="仿宋_GB2312"/>
                <w:sz w:val="24"/>
              </w:rPr>
              <w:t>本次工程质量抽检按照施工技术规范、试验检测规程，批准的施工图文件、招标及合同文件，行政主管部门的有关批复、批示文件等进行。包括但不限于以下标准、规范：</w:t>
            </w:r>
          </w:p>
          <w:p>
            <w:pPr>
              <w:pStyle w:val="null3"/>
              <w:numPr>
                <w:ilvl w:val="0"/>
                <w:numId w:val="1"/>
              </w:numPr>
              <w:jc w:val="both"/>
            </w:pPr>
            <w:r>
              <w:rPr>
                <w:rFonts w:ascii="仿宋_GB2312" w:hAnsi="仿宋_GB2312" w:cs="仿宋_GB2312" w:eastAsia="仿宋_GB2312"/>
                <w:sz w:val="24"/>
              </w:rPr>
              <w:t>部颁《公路工程质量检验评定标准</w:t>
            </w:r>
            <w:r>
              <w:rPr>
                <w:rFonts w:ascii="仿宋_GB2312" w:hAnsi="仿宋_GB2312" w:cs="仿宋_GB2312" w:eastAsia="仿宋_GB2312"/>
                <w:sz w:val="24"/>
              </w:rPr>
              <w:t>第一册，土建工程》（</w:t>
            </w:r>
            <w:r>
              <w:rPr>
                <w:rFonts w:ascii="仿宋_GB2312" w:hAnsi="仿宋_GB2312" w:cs="仿宋_GB2312" w:eastAsia="仿宋_GB2312"/>
                <w:sz w:val="24"/>
              </w:rPr>
              <w:t>JTG F80/1-2017）；</w:t>
            </w:r>
          </w:p>
          <w:p>
            <w:pPr>
              <w:pStyle w:val="null3"/>
              <w:spacing w:after="120"/>
              <w:jc w:val="both"/>
            </w:pPr>
            <w:r>
              <w:rPr>
                <w:rFonts w:ascii="仿宋_GB2312" w:hAnsi="仿宋_GB2312" w:cs="仿宋_GB2312" w:eastAsia="仿宋_GB2312"/>
                <w:sz w:val="24"/>
              </w:rPr>
              <w:t>（</w:t>
            </w:r>
            <w:r>
              <w:rPr>
                <w:rFonts w:ascii="仿宋_GB2312" w:hAnsi="仿宋_GB2312" w:cs="仿宋_GB2312" w:eastAsia="仿宋_GB2312"/>
                <w:sz w:val="24"/>
              </w:rPr>
              <w:t>2）部颁《公路养护工程质量检验评定标准 第一册，土建工程》（JTG 5220-2020）；</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3）部颁《公路养护技术标准》（JTG 5110-2023）；</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4）部颁《公路工程路基施工技术规范》（JTG/T3610-2019）；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5）部颁《公路路面基层施工技术细则》（JTG/T F20-2015）；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6）部颁《公路沥青路面施工技术规范》（JTG F40-2004）；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7）部颁《公路水泥混凝土路面施工技术细则》（JTG/T F30-2014）；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8）部颁《公路桥涵施工技术规范》（JTG/T F50-2011）；</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9）部颁《公路隧道施工技术规范》（JTG F60-2009）；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10）部颁《公路工程路基路面现场测试规程》（JTG 3450-2019）；</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11）铁标《铁路沿线斜坡柔性安全防护网》（TB/T3089-2004）;</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12）国标《锚杆喷射混凝土支护技术规范》（GB 50086-2015）</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13）部颁《公路安全生命防护工程实施技术指南》</w:t>
            </w:r>
          </w:p>
          <w:p>
            <w:pPr>
              <w:pStyle w:val="null3"/>
              <w:ind w:firstLine="638"/>
              <w:jc w:val="both"/>
            </w:pPr>
            <w:r>
              <w:rPr>
                <w:rFonts w:ascii="仿宋_GB2312" w:hAnsi="仿宋_GB2312" w:cs="仿宋_GB2312" w:eastAsia="仿宋_GB2312"/>
                <w:sz w:val="24"/>
              </w:rPr>
              <w:t>(14)《公路交通安全设施设施设计细则》（JTG/TD81-2017）；</w:t>
            </w:r>
          </w:p>
          <w:p>
            <w:pPr>
              <w:pStyle w:val="null3"/>
              <w:ind w:firstLine="638"/>
              <w:jc w:val="both"/>
            </w:pPr>
            <w:r>
              <w:rPr>
                <w:rFonts w:ascii="仿宋_GB2312" w:hAnsi="仿宋_GB2312" w:cs="仿宋_GB2312" w:eastAsia="仿宋_GB2312"/>
                <w:sz w:val="24"/>
              </w:rPr>
              <w:t>(15)《陕西省公路隧道提质升级专项行动技术指南》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16）《陕西省提升桥梁安全防护能力专项行动技术指南》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17）《陕西省提升连续长陡下坡安全通行能力专项行动技术指南》</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18）相关国标、部标规定的集料、无机结合料、水泥、钢材、沥青等材料试验及工程实体、构造物检测规程；以及省公路局《试验检测及配合比设计指南》，省公路局国省干线公路“五化”施工指南、批准的施工图文件，批准的招标文件及合同文本，行政主管部门的有关批复文件进行。</w:t>
            </w:r>
          </w:p>
          <w:p>
            <w:pPr>
              <w:pStyle w:val="null3"/>
              <w:jc w:val="both"/>
            </w:pPr>
            <w:r>
              <w:rPr>
                <w:rFonts w:ascii="仿宋_GB2312" w:hAnsi="仿宋_GB2312" w:cs="仿宋_GB2312" w:eastAsia="仿宋_GB2312"/>
                <w:sz w:val="24"/>
                <w:b/>
              </w:rPr>
              <w:t>二</w:t>
            </w:r>
            <w:r>
              <w:rPr>
                <w:rFonts w:ascii="仿宋_GB2312" w:hAnsi="仿宋_GB2312" w:cs="仿宋_GB2312" w:eastAsia="仿宋_GB2312"/>
                <w:sz w:val="24"/>
                <w:b/>
              </w:rPr>
              <w:t>、抽检内容</w:t>
            </w:r>
          </w:p>
          <w:p>
            <w:pPr>
              <w:pStyle w:val="null3"/>
              <w:spacing w:before="150" w:after="150"/>
              <w:ind w:right="120" w:firstLine="480"/>
              <w:jc w:val="left"/>
            </w:pPr>
            <w:r>
              <w:rPr>
                <w:rFonts w:ascii="仿宋_GB2312" w:hAnsi="仿宋_GB2312" w:cs="仿宋_GB2312" w:eastAsia="仿宋_GB2312"/>
                <w:sz w:val="24"/>
              </w:rPr>
              <w:t>1</w:t>
            </w:r>
            <w:r>
              <w:rPr>
                <w:rFonts w:ascii="仿宋_GB2312" w:hAnsi="仿宋_GB2312" w:cs="仿宋_GB2312" w:eastAsia="仿宋_GB2312"/>
                <w:sz w:val="24"/>
              </w:rPr>
              <w:t>. 项目建设质量管理</w:t>
            </w:r>
            <w:r>
              <w:rPr>
                <w:rFonts w:ascii="仿宋_GB2312" w:hAnsi="仿宋_GB2312" w:cs="仿宋_GB2312" w:eastAsia="仿宋_GB2312"/>
                <w:sz w:val="24"/>
              </w:rPr>
              <w:t>行为</w:t>
            </w:r>
            <w:r>
              <w:rPr>
                <w:rFonts w:ascii="仿宋_GB2312" w:hAnsi="仿宋_GB2312" w:cs="仿宋_GB2312" w:eastAsia="仿宋_GB2312"/>
                <w:sz w:val="24"/>
              </w:rPr>
              <w:t>检查</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.1项目业主：</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1）目标和制度：质量管理目标是否明确，质量责任、检查、制度是否合理可操作</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2）明确职责：质量管理岗位职责是否明确，责任是否落实。</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3）基础条件：是否依法依规办理质量监督手续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4）质量管控：是否有效开展项目自查，定期考核，管理措施是否有效、针对性强。</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5）问题与隐患整改：对自查及交通运输局、质量监管机构抽查出的质量问题是否及时组织整改到位。</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.2监理单位：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1）主要人员条件及岗位职责：总监、驻地监理工程师、试验室主任、专业监理工程师条件和能力是否符合投标(文件)承诺，质量监理责任是否明确。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2）监理细则：监理细则对关键环节等是否具有针对性和可控性。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3）审批报验：施工组织设计及专项施工方案审查程序是否规范，审批是否及时，是否符合强制性标准要求。</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4）旁站巡视：是否按规定旁站和巡视，记录准确、详细、连续。</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5）监理指令：指令是否闭合，要求是否准确。</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6）隐蔽工程交验：验收及评定是否及时、规范，资料是否真实可信。</w:t>
            </w:r>
          </w:p>
          <w:p>
            <w:pPr>
              <w:pStyle w:val="null3"/>
              <w:ind w:firstLine="480"/>
              <w:jc w:val="left"/>
            </w:pPr>
            <w:r>
              <w:rPr>
                <w:rFonts w:ascii="仿宋_GB2312" w:hAnsi="仿宋_GB2312" w:cs="仿宋_GB2312" w:eastAsia="仿宋_GB2312"/>
                <w:sz w:val="24"/>
              </w:rPr>
              <w:t>1</w:t>
            </w:r>
            <w:r>
              <w:rPr>
                <w:rFonts w:ascii="仿宋_GB2312" w:hAnsi="仿宋_GB2312" w:cs="仿宋_GB2312" w:eastAsia="仿宋_GB2312"/>
                <w:sz w:val="24"/>
              </w:rPr>
              <w:t>.3施工单位：</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1）目标和制度：是否质量管理目标与合同一致性，质量制度是否合理、有针对性。</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2）明确职责：质量管理机构和岗位职责是否明确，责任是否落实，相关证件是否齐全。</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3）施工组织设计及专项施工方案：施工组织设计及专项施工方案是否符合工程实际，是否具有针对性和可操作性，是否按规定程序审查、审批；大型临时工程设计方案是否计算资料齐全、 校验审核程序规范。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4）特种、大型设备：相关证书是否齐全、有效、检验合格，管理台账是否规范。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5）施工技术交底与培训：是否交底到一线人员，是否记录详实。施工单位或项目部培训制度是否健全、有计划，是否有记录、有检查。</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6）原材料及产品：原材料、产品出厂合格证是否齐全；自验规定是否健全，程序是否规范。</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7）施工自检：体系是否健全，管理是否规范，测量和自检数据和报告是否客观、真实、完整。</w:t>
            </w:r>
          </w:p>
          <w:p>
            <w:pPr>
              <w:pStyle w:val="null3"/>
              <w:ind w:firstLine="480"/>
              <w:jc w:val="left"/>
            </w:pPr>
            <w:r>
              <w:rPr>
                <w:rFonts w:ascii="仿宋_GB2312" w:hAnsi="仿宋_GB2312" w:cs="仿宋_GB2312" w:eastAsia="仿宋_GB2312"/>
                <w:sz w:val="24"/>
              </w:rPr>
              <w:t>（</w:t>
            </w:r>
            <w:r>
              <w:rPr>
                <w:rFonts w:ascii="仿宋_GB2312" w:hAnsi="仿宋_GB2312" w:cs="仿宋_GB2312" w:eastAsia="仿宋_GB2312"/>
                <w:sz w:val="24"/>
              </w:rPr>
              <w:t>8）质量问题整改：对交通运输局、质量监督机构、建设和监理单位检查(监理指令)提出的质量问题是否举一反三，是否对照要求及时整改落实到位。</w:t>
            </w:r>
          </w:p>
          <w:p>
            <w:pPr>
              <w:pStyle w:val="null3"/>
              <w:ind w:firstLine="600"/>
              <w:jc w:val="both"/>
            </w:pPr>
            <w:r>
              <w:rPr>
                <w:rFonts w:ascii="仿宋_GB2312" w:hAnsi="仿宋_GB2312" w:cs="仿宋_GB2312" w:eastAsia="仿宋_GB2312"/>
                <w:sz w:val="24"/>
              </w:rPr>
              <w:t>检查内容包括原材料成品半成品抽检、工程实体抽检、外观检查和内业资料检查四方面内容。</w:t>
            </w:r>
          </w:p>
          <w:p>
            <w:pPr>
              <w:pStyle w:val="null3"/>
              <w:ind w:left="555"/>
            </w:pPr>
            <w:r>
              <w:rPr>
                <w:rFonts w:ascii="仿宋_GB2312" w:hAnsi="仿宋_GB2312" w:cs="仿宋_GB2312" w:eastAsia="仿宋_GB2312"/>
                <w:sz w:val="24"/>
                <w:b/>
              </w:rPr>
              <w:t>2原材料及混合料抽检</w:t>
            </w:r>
          </w:p>
          <w:p>
            <w:pPr>
              <w:pStyle w:val="null3"/>
              <w:ind w:firstLine="480"/>
              <w:jc w:val="both"/>
            </w:pPr>
            <w:r>
              <w:rPr>
                <w:rFonts w:ascii="仿宋_GB2312" w:hAnsi="仿宋_GB2312" w:cs="仿宋_GB2312" w:eastAsia="仿宋_GB2312"/>
                <w:sz w:val="24"/>
              </w:rPr>
              <w:t>主要抽检工程所用主要原材料、混合料、成品、半成品，其检验参数按照相应施工规范的要求确定。原则上每个标段每种规格原材料，每料源抽检</w:t>
            </w:r>
            <w:r>
              <w:rPr>
                <w:rFonts w:ascii="仿宋_GB2312" w:hAnsi="仿宋_GB2312" w:cs="仿宋_GB2312" w:eastAsia="仿宋_GB2312"/>
                <w:sz w:val="24"/>
              </w:rPr>
              <w:t>1组。具体抽检材料及其检验参数见表1。其中，沥青、钢材、钢绞线、隧道防水板等要求对产地、品牌、等级、标号、厂家等进行核实和登记（通过合同、进货和材质单核实），沥青样品应从存储罐中放取。</w:t>
            </w:r>
          </w:p>
          <w:p>
            <w:pPr>
              <w:pStyle w:val="null3"/>
              <w:ind w:firstLine="482"/>
              <w:jc w:val="center"/>
            </w:pPr>
            <w:r>
              <w:rPr>
                <w:rFonts w:ascii="仿宋_GB2312" w:hAnsi="仿宋_GB2312" w:cs="仿宋_GB2312" w:eastAsia="仿宋_GB2312"/>
                <w:sz w:val="24"/>
                <w:b/>
              </w:rPr>
              <w:t>表</w:t>
            </w:r>
            <w:r>
              <w:rPr>
                <w:rFonts w:ascii="仿宋_GB2312" w:hAnsi="仿宋_GB2312" w:cs="仿宋_GB2312" w:eastAsia="仿宋_GB2312"/>
                <w:sz w:val="24"/>
                <w:b/>
              </w:rPr>
              <w:t>1：原材料及混合料抽检</w:t>
            </w:r>
          </w:p>
          <w:tbl>
            <w:tblPr>
              <w:tblInd w:type="dxa" w:w="225"/>
              <w:tblBorders>
                <w:top w:val="none" w:color="000000" w:sz="4"/>
                <w:left w:val="none" w:color="000000" w:sz="4"/>
                <w:bottom w:val="none" w:color="000000" w:sz="4"/>
                <w:right w:val="none" w:color="000000" w:sz="4"/>
                <w:insideH w:val="none"/>
                <w:insideV w:val="none"/>
              </w:tblBorders>
            </w:tblPr>
            <w:tblGrid>
              <w:gridCol w:w="183"/>
              <w:gridCol w:w="321"/>
              <w:gridCol w:w="306"/>
              <w:gridCol w:w="657"/>
              <w:gridCol w:w="489"/>
              <w:gridCol w:w="459"/>
              <w:gridCol w:w="138"/>
            </w:tblGrid>
            <w:tr>
              <w:tc>
                <w:tcPr>
                  <w:tcW w:type="dxa" w:w="183"/>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32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使用部位</w:t>
                  </w:r>
                </w:p>
              </w:tc>
              <w:tc>
                <w:tcPr>
                  <w:tcW w:type="dxa" w:w="30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材料名称</w:t>
                  </w:r>
                </w:p>
                <w:p>
                  <w:pPr>
                    <w:pStyle w:val="null3"/>
                    <w:jc w:val="center"/>
                  </w:pPr>
                  <w:r>
                    <w:rPr>
                      <w:rFonts w:ascii="仿宋_GB2312" w:hAnsi="仿宋_GB2312" w:cs="仿宋_GB2312" w:eastAsia="仿宋_GB2312"/>
                      <w:sz w:val="24"/>
                    </w:rPr>
                    <w:t>（类型）</w:t>
                  </w:r>
                </w:p>
              </w:tc>
              <w:tc>
                <w:tcPr>
                  <w:tcW w:type="dxa" w:w="65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检验指标</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c>
                <w:tcPr>
                  <w:tcW w:type="dxa" w:w="45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判定依据</w:t>
                  </w:r>
                </w:p>
              </w:tc>
              <w:tc>
                <w:tcPr>
                  <w:tcW w:type="dxa" w:w="13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23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路面大中修工程</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w:t>
                  </w:r>
                </w:p>
                <w:p>
                  <w:pPr>
                    <w:pStyle w:val="null3"/>
                    <w:jc w:val="center"/>
                  </w:pPr>
                  <w:r>
                    <w:rPr>
                      <w:rFonts w:ascii="仿宋_GB2312" w:hAnsi="仿宋_GB2312" w:cs="仿宋_GB2312" w:eastAsia="仿宋_GB2312"/>
                      <w:sz w:val="24"/>
                    </w:rPr>
                    <w:t>底基层</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GB/T1346-2011</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F20-2015</w:t>
                  </w:r>
                </w:p>
                <w:p>
                  <w:pPr>
                    <w:pStyle w:val="null3"/>
                    <w:jc w:val="center"/>
                  </w:pPr>
                  <w:r>
                    <w:rPr>
                      <w:rFonts w:ascii="仿宋_GB2312" w:hAnsi="仿宋_GB2312" w:cs="仿宋_GB2312" w:eastAsia="仿宋_GB2312"/>
                      <w:sz w:val="24"/>
                    </w:rPr>
                    <w:t>GB175-2007</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结合项目实际情况按进场材料抽取</w:t>
                  </w: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3d胶砂强度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GB/T17671-1999</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粉煤灰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比表面积</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E51-2009</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F20-2015</w:t>
                  </w: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烧失量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生石灰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有效氧化钙、镁含量</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E51-2009</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未消化残渣含量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消石灰</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细度</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E51-2009</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有效氧化钙、镁含量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压碎值</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F20-2015</w:t>
                  </w: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0.075mm颗粒含量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无机结合混合料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灰剂量</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E51-2009</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F20-2015</w:t>
                  </w: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沥青面层</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沥青或改性沥青</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薄膜加热后耐老化性能（质量损失、残留针入度比、残留延度）</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E20-2011</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F40-2004</w:t>
                  </w: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针入度及针入度指数</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软化点</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低温延度（基质沥青</w:t>
                  </w:r>
                  <w:r>
                    <w:rPr>
                      <w:rFonts w:ascii="仿宋_GB2312" w:hAnsi="仿宋_GB2312" w:cs="仿宋_GB2312" w:eastAsia="仿宋_GB2312"/>
                      <w:sz w:val="24"/>
                    </w:rPr>
                    <w:t>10℃，改性沥青5℃）</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改性沥青</w:t>
                  </w:r>
                  <w:r>
                    <w:rPr>
                      <w:rFonts w:ascii="仿宋_GB2312" w:hAnsi="仿宋_GB2312" w:cs="仿宋_GB2312" w:eastAsia="仿宋_GB2312"/>
                      <w:sz w:val="24"/>
                    </w:rPr>
                    <w:t>135℃运动</w:t>
                  </w:r>
                </w:p>
                <w:p>
                  <w:pPr>
                    <w:pStyle w:val="null3"/>
                    <w:jc w:val="center"/>
                  </w:pPr>
                  <w:r>
                    <w:rPr>
                      <w:rFonts w:ascii="仿宋_GB2312" w:hAnsi="仿宋_GB2312" w:cs="仿宋_GB2312" w:eastAsia="仿宋_GB2312"/>
                      <w:sz w:val="24"/>
                    </w:rPr>
                    <w:t>粘度</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改性沥青弹性恢复</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乳化沥青或改性乳化沥青</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乳化沥青蒸发残留物（含量、针入度）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E20-2011</w:t>
                  </w:r>
                </w:p>
              </w:tc>
              <w:tc>
                <w:tcPr>
                  <w:tcW w:type="dxa" w:w="45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F40-2004</w:t>
                  </w: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沥青面层</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针片状</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F40-2004</w:t>
                  </w: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压碎值</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洛杉矶磨耗值</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软石含量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w:t>
                  </w:r>
                  <w:r>
                    <w:rPr>
                      <w:rFonts w:ascii="仿宋_GB2312" w:hAnsi="仿宋_GB2312" w:cs="仿宋_GB2312" w:eastAsia="仿宋_GB2312"/>
                      <w:sz w:val="24"/>
                    </w:rPr>
                    <w:t>0.075mm颗粒含量</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机制砂砂当量（</w:t>
                  </w:r>
                  <w:r>
                    <w:rPr>
                      <w:rFonts w:ascii="仿宋_GB2312" w:hAnsi="仿宋_GB2312" w:cs="仿宋_GB2312" w:eastAsia="仿宋_GB2312"/>
                      <w:sz w:val="24"/>
                    </w:rPr>
                    <w:t>2.36～4.75mm）</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机制砂亚甲蓝（</w:t>
                  </w:r>
                  <w:r>
                    <w:rPr>
                      <w:rFonts w:ascii="仿宋_GB2312" w:hAnsi="仿宋_GB2312" w:cs="仿宋_GB2312" w:eastAsia="仿宋_GB2312"/>
                      <w:sz w:val="24"/>
                    </w:rPr>
                    <w:t>0～2.36mm）</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矿粉</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亲水系数</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粒度范围</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沥青混合料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沥青用量、油石比和矿料级配</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E20-2011</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F40-2004</w:t>
                  </w: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马歇尔试验（稳定度、流值、孔隙率）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水泥砼面层</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GB/T1346-2011</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F20-2014</w:t>
                  </w:r>
                </w:p>
                <w:p>
                  <w:pPr>
                    <w:pStyle w:val="null3"/>
                    <w:jc w:val="center"/>
                  </w:pPr>
                  <w:r>
                    <w:rPr>
                      <w:rFonts w:ascii="仿宋_GB2312" w:hAnsi="仿宋_GB2312" w:cs="仿宋_GB2312" w:eastAsia="仿宋_GB2312"/>
                      <w:sz w:val="24"/>
                    </w:rPr>
                    <w:t>GB175-2007</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3d胶砂强度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GB/T17671-1999</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F20-2014</w:t>
                  </w:r>
                </w:p>
                <w:p>
                  <w:pPr>
                    <w:pStyle w:val="null3"/>
                    <w:jc w:val="center"/>
                  </w:p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机制砂石粉含量</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针片状</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压碎值</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屈服强度</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GB/T228.1-2010</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GB1499.1-2017</w:t>
                  </w:r>
                </w:p>
                <w:p>
                  <w:pPr>
                    <w:pStyle w:val="null3"/>
                    <w:jc w:val="center"/>
                  </w:pPr>
                  <w:r>
                    <w:rPr>
                      <w:rFonts w:ascii="仿宋_GB2312" w:hAnsi="仿宋_GB2312" w:cs="仿宋_GB2312" w:eastAsia="仿宋_GB2312"/>
                      <w:sz w:val="24"/>
                    </w:rPr>
                    <w:t>GB1499.2-2018</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极限强度</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伸长率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23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桥梁隧道安防等专项工程</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w:t>
                  </w:r>
                </w:p>
                <w:p>
                  <w:pPr>
                    <w:pStyle w:val="null3"/>
                    <w:jc w:val="center"/>
                  </w:pPr>
                  <w:r>
                    <w:rPr>
                      <w:rFonts w:ascii="仿宋_GB2312" w:hAnsi="仿宋_GB2312" w:cs="仿宋_GB2312" w:eastAsia="仿宋_GB2312"/>
                      <w:sz w:val="24"/>
                    </w:rPr>
                    <w:t>隧道及隧道提质升级、桥梁安全防护、连续长陡下坡提升安全防护能力工程</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GB/T1346-2011</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GB175-2007</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3d胶砂强度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GB/T17671-1999</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F50-2011</w:t>
                  </w: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针片状</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tcBorders>
                    <w:top w:val="none" w:color="000000" w:sz="4"/>
                    <w:left w:val="none" w:color="000000" w:sz="4"/>
                    <w:bottom w:val="single" w:color="000000" w:sz="4"/>
                    <w:right w:val="single" w:color="000000" w:sz="4"/>
                  </w:tcBorders>
                </w:tcP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压碎值</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屈服强度</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GB/T228.1-2010</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GB1499.1-2017</w:t>
                  </w:r>
                </w:p>
                <w:p>
                  <w:pPr>
                    <w:pStyle w:val="null3"/>
                    <w:jc w:val="center"/>
                  </w:pPr>
                  <w:r>
                    <w:rPr>
                      <w:rFonts w:ascii="仿宋_GB2312" w:hAnsi="仿宋_GB2312" w:cs="仿宋_GB2312" w:eastAsia="仿宋_GB2312"/>
                      <w:sz w:val="24"/>
                    </w:rPr>
                    <w:t>GB1499.2-2018</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含焊接接头及机械连接接头</w:t>
                  </w: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极限强度</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伸长率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钢绞线</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最大力</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GB/T21839-2008</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GB/T5224-2014</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最大力总伸长率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隧道工程</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防水板</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厚度</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E50-2006</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JT/T664-2006</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拉伸强度</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伸长率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2370"/>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水毁修复工程</w:t>
                  </w: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排水、防护工程</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凝结时间</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GB/T1346-2011</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GB175-2007</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安定性</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3d胶砂强度</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GB/T17671-1999</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细集料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JTG/T F50-2011</w:t>
                  </w: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粗集料</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针片状</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E42-2005</w:t>
                  </w: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压碎值</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含泥量</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32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锚杆、锚索、防护网</w:t>
                  </w: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锚杆（钢筋）</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屈服强度</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GB/T228.1-2010</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GB1499.1-2017</w:t>
                  </w:r>
                </w:p>
                <w:p>
                  <w:pPr>
                    <w:pStyle w:val="null3"/>
                    <w:jc w:val="center"/>
                  </w:pPr>
                  <w:r>
                    <w:rPr>
                      <w:rFonts w:ascii="仿宋_GB2312" w:hAnsi="仿宋_GB2312" w:cs="仿宋_GB2312" w:eastAsia="仿宋_GB2312"/>
                      <w:sz w:val="24"/>
                    </w:rPr>
                    <w:t>GB1499.2-2018</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极限强度</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伸长率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锚索（钢绞线）</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最大力</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GB/T21839-2008</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GB/T5224-2014</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最大力总伸长率</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绞索网（或钢丝网）</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网片破断拉力</w:t>
                  </w:r>
                </w:p>
                <w:p>
                  <w:pPr>
                    <w:pStyle w:val="null3"/>
                    <w:jc w:val="center"/>
                  </w:pPr>
                  <w:r>
                    <w:rPr>
                      <w:rFonts w:ascii="仿宋_GB2312" w:hAnsi="仿宋_GB2312" w:cs="仿宋_GB2312" w:eastAsia="仿宋_GB2312"/>
                      <w:sz w:val="24"/>
                    </w:rPr>
                    <w:t>或抗错动拉力</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TB/T3089-2004</w:t>
                  </w:r>
                </w:p>
              </w:tc>
              <w:tc>
                <w:tcPr>
                  <w:tcW w:type="dxa" w:w="45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TB/T3089-2004</w:t>
                  </w:r>
                </w:p>
                <w:p>
                  <w:pPr>
                    <w:pStyle w:val="null3"/>
                    <w:jc w:val="center"/>
                  </w:pPr>
                  <w:r>
                    <w:rPr>
                      <w:rFonts w:ascii="仿宋_GB2312" w:hAnsi="仿宋_GB2312" w:cs="仿宋_GB2312" w:eastAsia="仿宋_GB2312"/>
                      <w:sz w:val="24"/>
                    </w:rPr>
                    <w:t>、设计文件</w:t>
                  </w:r>
                </w:p>
              </w:tc>
              <w:tc>
                <w:tcPr>
                  <w:tcW w:type="dxa" w:w="138"/>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3"/>
                  <w:vMerge/>
                  <w:tcBorders>
                    <w:top w:val="none" w:color="000000" w:sz="4"/>
                    <w:left w:val="single" w:color="000000" w:sz="4"/>
                    <w:bottom w:val="single" w:color="000000" w:sz="4"/>
                    <w:right w:val="single" w:color="000000" w:sz="4"/>
                  </w:tcBorders>
                </w:tcPr>
                <w:p/>
              </w:tc>
              <w:tc>
                <w:tcPr>
                  <w:tcW w:type="dxa" w:w="321"/>
                  <w:vMerge/>
                  <w:tcBorders>
                    <w:top w:val="none" w:color="000000" w:sz="4"/>
                    <w:left w:val="none" w:color="000000" w:sz="4"/>
                    <w:bottom w:val="single" w:color="000000" w:sz="4"/>
                    <w:right w:val="single" w:color="000000" w:sz="4"/>
                  </w:tcBorders>
                </w:tcPr>
                <w:p/>
              </w:tc>
              <w:tc>
                <w:tcPr>
                  <w:tcW w:type="dxa" w:w="306"/>
                  <w:vMerge/>
                  <w:tcBorders>
                    <w:top w:val="none" w:color="000000" w:sz="4"/>
                    <w:left w:val="none" w:color="000000" w:sz="4"/>
                    <w:bottom w:val="single" w:color="000000" w:sz="4"/>
                    <w:right w:val="single" w:color="000000" w:sz="4"/>
                  </w:tcBorders>
                </w:tcP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环链破断拉力</w:t>
                  </w:r>
                </w:p>
                <w:p>
                  <w:pPr>
                    <w:pStyle w:val="null3"/>
                    <w:jc w:val="center"/>
                  </w:pPr>
                  <w:r>
                    <w:rPr>
                      <w:rFonts w:ascii="仿宋_GB2312" w:hAnsi="仿宋_GB2312" w:cs="仿宋_GB2312" w:eastAsia="仿宋_GB2312"/>
                      <w:sz w:val="24"/>
                    </w:rPr>
                    <w:t>或抗脱落拉力</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vMerge/>
                  <w:tcBorders>
                    <w:top w:val="none" w:color="000000" w:sz="4"/>
                    <w:left w:val="none" w:color="000000" w:sz="4"/>
                    <w:bottom w:val="single" w:color="000000" w:sz="4"/>
                    <w:right w:val="single" w:color="000000" w:sz="4"/>
                  </w:tcBorders>
                </w:tcPr>
                <w:p/>
              </w:tc>
            </w:tr>
            <w:tr>
              <w:tc>
                <w:tcPr>
                  <w:tcW w:type="dxa" w:w="183"/>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321"/>
                  <w:vMerge/>
                  <w:tcBorders>
                    <w:top w:val="none" w:color="000000" w:sz="4"/>
                    <w:left w:val="none" w:color="000000" w:sz="4"/>
                    <w:bottom w:val="single" w:color="000000" w:sz="4"/>
                    <w:right w:val="single" w:color="000000" w:sz="4"/>
                  </w:tcBorders>
                </w:tcPr>
                <w:p/>
              </w:tc>
              <w:tc>
                <w:tcPr>
                  <w:tcW w:type="dxa" w:w="3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支撑绳或缝合绳</w:t>
                  </w:r>
                </w:p>
              </w:tc>
              <w:tc>
                <w:tcPr>
                  <w:tcW w:type="dxa" w:w="65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单根钢丝抗力强度</w:t>
                  </w:r>
                </w:p>
              </w:tc>
              <w:tc>
                <w:tcPr>
                  <w:tcW w:type="dxa" w:w="489"/>
                  <w:vMerge/>
                  <w:tcBorders>
                    <w:top w:val="none" w:color="000000" w:sz="4"/>
                    <w:left w:val="none" w:color="000000" w:sz="4"/>
                    <w:bottom w:val="single" w:color="000000" w:sz="4"/>
                    <w:right w:val="single" w:color="000000" w:sz="4"/>
                  </w:tcBorders>
                </w:tcPr>
                <w:p/>
              </w:tc>
              <w:tc>
                <w:tcPr>
                  <w:tcW w:type="dxa" w:w="459"/>
                  <w:vMerge/>
                  <w:tcBorders>
                    <w:top w:val="none" w:color="000000" w:sz="4"/>
                    <w:left w:val="none" w:color="000000" w:sz="4"/>
                    <w:bottom w:val="single" w:color="000000" w:sz="4"/>
                    <w:right w:val="single" w:color="000000" w:sz="4"/>
                  </w:tcBorders>
                </w:tcPr>
                <w:p/>
              </w:tc>
              <w:tc>
                <w:tcPr>
                  <w:tcW w:type="dxa" w:w="13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2.2工程实体抽检</w:t>
            </w:r>
          </w:p>
          <w:p>
            <w:pPr>
              <w:pStyle w:val="null3"/>
              <w:ind w:firstLine="480"/>
              <w:jc w:val="both"/>
            </w:pPr>
            <w:r>
              <w:rPr>
                <w:rFonts w:ascii="仿宋_GB2312" w:hAnsi="仿宋_GB2312" w:cs="仿宋_GB2312" w:eastAsia="仿宋_GB2312"/>
                <w:sz w:val="24"/>
              </w:rPr>
              <w:t>本次检查实体抽检参数按照相应施工规范和公路工程质量检验评定标准要求执行，原则上采取随机抽检方式，突出质量控制薄弱部位。同时，按照相关规范和我省有关</w:t>
            </w:r>
            <w:r>
              <w:rPr>
                <w:rFonts w:ascii="仿宋_GB2312" w:hAnsi="仿宋_GB2312" w:cs="仿宋_GB2312" w:eastAsia="仿宋_GB2312"/>
                <w:sz w:val="24"/>
              </w:rPr>
              <w:t>“五化”标准指南要求对料场、试验室、施工工艺、质量外观等进行检查。</w:t>
            </w:r>
          </w:p>
          <w:p>
            <w:pPr>
              <w:pStyle w:val="null3"/>
              <w:ind w:firstLine="482"/>
              <w:jc w:val="center"/>
            </w:pPr>
            <w:r>
              <w:rPr>
                <w:rFonts w:ascii="仿宋_GB2312" w:hAnsi="仿宋_GB2312" w:cs="仿宋_GB2312" w:eastAsia="仿宋_GB2312"/>
                <w:sz w:val="24"/>
                <w:b/>
              </w:rPr>
              <w:t>表</w:t>
            </w:r>
            <w:r>
              <w:rPr>
                <w:rFonts w:ascii="仿宋_GB2312" w:hAnsi="仿宋_GB2312" w:cs="仿宋_GB2312" w:eastAsia="仿宋_GB2312"/>
                <w:sz w:val="24"/>
                <w:b/>
              </w:rPr>
              <w:t>2：工程实体抽检</w:t>
            </w:r>
          </w:p>
          <w:tbl>
            <w:tblPr>
              <w:tblInd w:type="dxa" w:w="225"/>
              <w:tblBorders>
                <w:top w:val="none" w:color="000000" w:sz="4"/>
                <w:left w:val="none" w:color="000000" w:sz="4"/>
                <w:bottom w:val="none" w:color="000000" w:sz="4"/>
                <w:right w:val="none" w:color="000000" w:sz="4"/>
                <w:insideH w:val="none"/>
                <w:insideV w:val="none"/>
              </w:tblBorders>
            </w:tblPr>
            <w:tblGrid>
              <w:gridCol w:w="185"/>
              <w:gridCol w:w="215"/>
              <w:gridCol w:w="215"/>
              <w:gridCol w:w="554"/>
              <w:gridCol w:w="631"/>
              <w:gridCol w:w="477"/>
              <w:gridCol w:w="277"/>
            </w:tblGrid>
            <w:tr>
              <w:tc>
                <w:tcPr>
                  <w:tcW w:type="dxa" w:w="185"/>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单位</w:t>
                  </w:r>
                </w:p>
                <w:p>
                  <w:pPr>
                    <w:pStyle w:val="null3"/>
                    <w:jc w:val="center"/>
                  </w:pPr>
                  <w:r>
                    <w:rPr>
                      <w:rFonts w:ascii="仿宋_GB2312" w:hAnsi="仿宋_GB2312" w:cs="仿宋_GB2312" w:eastAsia="仿宋_GB2312"/>
                      <w:sz w:val="24"/>
                    </w:rPr>
                    <w:t>工程</w:t>
                  </w:r>
                </w:p>
              </w:tc>
              <w:tc>
                <w:tcPr>
                  <w:tcW w:type="dxa" w:w="21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分部</w:t>
                  </w:r>
                </w:p>
                <w:p>
                  <w:pPr>
                    <w:pStyle w:val="null3"/>
                    <w:jc w:val="center"/>
                  </w:pPr>
                  <w:r>
                    <w:rPr>
                      <w:rFonts w:ascii="仿宋_GB2312" w:hAnsi="仿宋_GB2312" w:cs="仿宋_GB2312" w:eastAsia="仿宋_GB2312"/>
                      <w:sz w:val="24"/>
                    </w:rPr>
                    <w:t>工程</w:t>
                  </w:r>
                </w:p>
              </w:tc>
              <w:tc>
                <w:tcPr>
                  <w:tcW w:type="dxa" w:w="55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检验指标</w:t>
                  </w:r>
                </w:p>
              </w:tc>
              <w:tc>
                <w:tcPr>
                  <w:tcW w:type="dxa" w:w="63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检测方法</w:t>
                  </w:r>
                </w:p>
              </w:tc>
              <w:tc>
                <w:tcPr>
                  <w:tcW w:type="dxa" w:w="4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判定依据</w:t>
                  </w:r>
                </w:p>
              </w:tc>
              <w:tc>
                <w:tcPr>
                  <w:tcW w:type="dxa" w:w="27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236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养护大中修工程（排水、防护工程抽检参数与水毁修复工程相同）</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w:t>
                  </w:r>
                </w:p>
                <w:p>
                  <w:pPr>
                    <w:pStyle w:val="null3"/>
                    <w:jc w:val="center"/>
                  </w:pPr>
                  <w:r>
                    <w:rPr>
                      <w:rFonts w:ascii="仿宋_GB2312" w:hAnsi="仿宋_GB2312" w:cs="仿宋_GB2312" w:eastAsia="仿宋_GB2312"/>
                      <w:sz w:val="24"/>
                    </w:rPr>
                    <w:t>工程</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基层、</w:t>
                  </w:r>
                </w:p>
                <w:p>
                  <w:pPr>
                    <w:pStyle w:val="null3"/>
                    <w:jc w:val="center"/>
                  </w:pPr>
                  <w:r>
                    <w:rPr>
                      <w:rFonts w:ascii="仿宋_GB2312" w:hAnsi="仿宋_GB2312" w:cs="仿宋_GB2312" w:eastAsia="仿宋_GB2312"/>
                      <w:sz w:val="24"/>
                    </w:rPr>
                    <w:t>底基层</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压实度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灌砂法</w:t>
                  </w:r>
                </w:p>
                <w:p>
                  <w:pPr>
                    <w:pStyle w:val="null3"/>
                    <w:jc w:val="center"/>
                  </w:pPr>
                  <w:r>
                    <w:rPr>
                      <w:rFonts w:ascii="仿宋_GB2312" w:hAnsi="仿宋_GB2312" w:cs="仿宋_GB2312" w:eastAsia="仿宋_GB2312"/>
                      <w:sz w:val="24"/>
                    </w:rPr>
                    <w:t>JTG 3450-2019</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5220-2020、JTG/T F20-2015</w:t>
                  </w:r>
                </w:p>
                <w:p>
                  <w:pPr>
                    <w:pStyle w:val="null3"/>
                    <w:jc w:val="center"/>
                  </w:pPr>
                  <w:r>
                    <w:rPr>
                      <w:rFonts w:ascii="仿宋_GB2312" w:hAnsi="仿宋_GB2312" w:cs="仿宋_GB2312" w:eastAsia="仿宋_GB2312"/>
                      <w:sz w:val="24"/>
                    </w:rPr>
                    <w:t>及设计文件</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除平整度外，每公里抽检</w:t>
                  </w:r>
                  <w:r>
                    <w:rPr>
                      <w:rFonts w:ascii="仿宋_GB2312" w:hAnsi="仿宋_GB2312" w:cs="仿宋_GB2312" w:eastAsia="仿宋_GB2312"/>
                      <w:sz w:val="24"/>
                    </w:rPr>
                    <w:t>2点，并根据实际情况随机抽检</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钻芯法、挖坑法</w:t>
                  </w:r>
                </w:p>
                <w:p>
                  <w:pPr>
                    <w:pStyle w:val="null3"/>
                    <w:jc w:val="center"/>
                  </w:pPr>
                  <w:r>
                    <w:rPr>
                      <w:rFonts w:ascii="仿宋_GB2312" w:hAnsi="仿宋_GB2312" w:cs="仿宋_GB2312" w:eastAsia="仿宋_GB2312"/>
                      <w:sz w:val="24"/>
                    </w:rPr>
                    <w:t>JTG 3450-2019</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3m直尺法</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水准仪</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芯样完整性</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钻芯法</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沥青面层</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压实度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表干法、蜡封法</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5220-2020、JTG/T F20-2015</w:t>
                  </w:r>
                </w:p>
                <w:p>
                  <w:pPr>
                    <w:pStyle w:val="null3"/>
                    <w:jc w:val="center"/>
                  </w:pPr>
                  <w:r>
                    <w:rPr>
                      <w:rFonts w:ascii="仿宋_GB2312" w:hAnsi="仿宋_GB2312" w:cs="仿宋_GB2312" w:eastAsia="仿宋_GB2312"/>
                      <w:sz w:val="24"/>
                    </w:rPr>
                    <w:t>及设计文件</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除平整度外，每公里抽检</w:t>
                  </w:r>
                  <w:r>
                    <w:rPr>
                      <w:rFonts w:ascii="仿宋_GB2312" w:hAnsi="仿宋_GB2312" w:cs="仿宋_GB2312" w:eastAsia="仿宋_GB2312"/>
                      <w:sz w:val="24"/>
                    </w:rPr>
                    <w:t>2点，并根据实际情况随机抽检</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钻芯法</w:t>
                  </w:r>
                </w:p>
                <w:p>
                  <w:pPr>
                    <w:pStyle w:val="null3"/>
                    <w:jc w:val="center"/>
                  </w:pPr>
                  <w:r>
                    <w:rPr>
                      <w:rFonts w:ascii="仿宋_GB2312" w:hAnsi="仿宋_GB2312" w:cs="仿宋_GB2312" w:eastAsia="仿宋_GB2312"/>
                      <w:sz w:val="24"/>
                    </w:rPr>
                    <w:t>JTG E60-2008</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3m直尺法或连续平整度仪</w:t>
                  </w:r>
                </w:p>
                <w:p>
                  <w:pPr>
                    <w:pStyle w:val="null3"/>
                    <w:jc w:val="center"/>
                  </w:pPr>
                  <w:r>
                    <w:rPr>
                      <w:rFonts w:ascii="仿宋_GB2312" w:hAnsi="仿宋_GB2312" w:cs="仿宋_GB2312" w:eastAsia="仿宋_GB2312"/>
                      <w:sz w:val="24"/>
                    </w:rPr>
                    <w:t>JTG E60-2008</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水准仪</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w:t>
                  </w: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渗水系数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渗水试验仪</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w:t>
                  </w: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摩擦系数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满足设计要求，摆式仪</w:t>
                  </w:r>
                </w:p>
              </w:tc>
              <w:tc>
                <w:tcPr>
                  <w:tcW w:type="dxa" w:w="4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w:t>
                  </w: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水泥砼</w:t>
                  </w:r>
                </w:p>
                <w:p>
                  <w:pPr>
                    <w:pStyle w:val="null3"/>
                    <w:jc w:val="center"/>
                  </w:pPr>
                  <w:r>
                    <w:rPr>
                      <w:rFonts w:ascii="仿宋_GB2312" w:hAnsi="仿宋_GB2312" w:cs="仿宋_GB2312" w:eastAsia="仿宋_GB2312"/>
                      <w:sz w:val="24"/>
                    </w:rPr>
                    <w:t>面层</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强度</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钻芯法、</w:t>
                  </w:r>
                </w:p>
                <w:p>
                  <w:pPr>
                    <w:pStyle w:val="null3"/>
                    <w:jc w:val="center"/>
                  </w:pPr>
                  <w:r>
                    <w:rPr>
                      <w:rFonts w:ascii="仿宋_GB2312" w:hAnsi="仿宋_GB2312" w:cs="仿宋_GB2312" w:eastAsia="仿宋_GB2312"/>
                      <w:sz w:val="24"/>
                    </w:rPr>
                    <w:t>JTG E60-2008</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 JTG/T F30-2014</w:t>
                  </w:r>
                </w:p>
                <w:p>
                  <w:pPr>
                    <w:pStyle w:val="null3"/>
                    <w:jc w:val="center"/>
                  </w:pPr>
                  <w:r>
                    <w:rPr>
                      <w:rFonts w:ascii="仿宋_GB2312" w:hAnsi="仿宋_GB2312" w:cs="仿宋_GB2312" w:eastAsia="仿宋_GB2312"/>
                      <w:sz w:val="24"/>
                    </w:rPr>
                    <w:t>及设计文件</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强度、厚度每公里抽检</w:t>
                  </w:r>
                  <w:r>
                    <w:rPr>
                      <w:rFonts w:ascii="仿宋_GB2312" w:hAnsi="仿宋_GB2312" w:cs="仿宋_GB2312" w:eastAsia="仿宋_GB2312"/>
                      <w:sz w:val="24"/>
                    </w:rPr>
                    <w:t>3点，并根据实际情况随机抽检</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厚度</w:t>
                  </w:r>
                </w:p>
              </w:tc>
              <w:tc>
                <w:tcPr>
                  <w:tcW w:type="dxa" w:w="631"/>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平整度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3m直尺法</w:t>
                  </w:r>
                </w:p>
                <w:p>
                  <w:pPr>
                    <w:pStyle w:val="null3"/>
                    <w:jc w:val="center"/>
                  </w:pPr>
                  <w:r>
                    <w:rPr>
                      <w:rFonts w:ascii="仿宋_GB2312" w:hAnsi="仿宋_GB2312" w:cs="仿宋_GB2312" w:eastAsia="仿宋_GB2312"/>
                      <w:sz w:val="24"/>
                    </w:rPr>
                    <w:t>JTG E60-2008</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相邻板高差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抗滑构造深度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手动铺砂法</w:t>
                  </w:r>
                </w:p>
                <w:p>
                  <w:pPr>
                    <w:pStyle w:val="null3"/>
                    <w:jc w:val="center"/>
                  </w:pPr>
                  <w:r>
                    <w:rPr>
                      <w:rFonts w:ascii="仿宋_GB2312" w:hAnsi="仿宋_GB2312" w:cs="仿宋_GB2312" w:eastAsia="仿宋_GB2312"/>
                      <w:sz w:val="24"/>
                    </w:rPr>
                    <w:t>JTG E60-2008</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236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桥梁隧道安防等工程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桥梁工程</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上部、下部结构、桥面系</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顶板厚度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钻孔及钢尺量测</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w:t>
                  </w:r>
                </w:p>
                <w:p>
                  <w:pPr>
                    <w:pStyle w:val="null3"/>
                    <w:jc w:val="center"/>
                  </w:pPr>
                  <w:r>
                    <w:rPr>
                      <w:rFonts w:ascii="仿宋_GB2312" w:hAnsi="仿宋_GB2312" w:cs="仿宋_GB2312" w:eastAsia="仿宋_GB2312"/>
                      <w:sz w:val="24"/>
                    </w:rPr>
                    <w:t>JTG/T F50-2011</w:t>
                  </w:r>
                </w:p>
                <w:p>
                  <w:pPr>
                    <w:pStyle w:val="null3"/>
                    <w:jc w:val="center"/>
                  </w:pPr>
                  <w:r>
                    <w:rPr>
                      <w:rFonts w:ascii="仿宋_GB2312" w:hAnsi="仿宋_GB2312" w:cs="仿宋_GB2312" w:eastAsia="仿宋_GB2312"/>
                      <w:sz w:val="24"/>
                    </w:rPr>
                    <w:t>及设计文件</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几何尺寸主要检测梁板、墩柱、承台等主要构件。</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砼强度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w:t>
                  </w:r>
                  <w:r>
                    <w:rPr>
                      <w:rFonts w:ascii="仿宋_GB2312" w:hAnsi="仿宋_GB2312" w:cs="仿宋_GB2312" w:eastAsia="仿宋_GB2312"/>
                      <w:sz w:val="24"/>
                    </w:rPr>
                    <w:t>JGJ/T23-2011</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钢筋保护层厚度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钢筋位置测定仪法</w:t>
                  </w:r>
                  <w:r>
                    <w:rPr>
                      <w:rFonts w:ascii="仿宋_GB2312" w:hAnsi="仿宋_GB2312" w:cs="仿宋_GB2312" w:eastAsia="仿宋_GB2312"/>
                      <w:sz w:val="24"/>
                    </w:rPr>
                    <w:t>JGJ/T152-2008</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受力钢筋间距</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尺量、钢筋位置测定仪法</w:t>
                  </w:r>
                  <w:r>
                    <w:rPr>
                      <w:rFonts w:ascii="仿宋_GB2312" w:hAnsi="仿宋_GB2312" w:cs="仿宋_GB2312" w:eastAsia="仿宋_GB2312"/>
                      <w:sz w:val="24"/>
                    </w:rPr>
                    <w:t>JGJ/T152-2008</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钢筋骨架尺寸</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尺量</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梁板、墩柱、护栏等几何尺寸（</w:t>
                  </w:r>
                  <w:r>
                    <w:rPr>
                      <w:rFonts w:ascii="仿宋_GB2312" w:hAnsi="仿宋_GB2312" w:cs="仿宋_GB2312" w:eastAsia="仿宋_GB2312"/>
                      <w:sz w:val="24"/>
                    </w:rPr>
                    <w:t>mm）</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相邻梁板顶面高差</w:t>
                  </w:r>
                </w:p>
              </w:tc>
              <w:tc>
                <w:tcPr>
                  <w:tcW w:type="dxa" w:w="631"/>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隧道工程</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二衬</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砼强度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w:t>
                  </w:r>
                  <w:r>
                    <w:rPr>
                      <w:rFonts w:ascii="仿宋_GB2312" w:hAnsi="仿宋_GB2312" w:cs="仿宋_GB2312" w:eastAsia="仿宋_GB2312"/>
                      <w:sz w:val="24"/>
                    </w:rPr>
                    <w:t>JGJ/T23-2011</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w:t>
                  </w:r>
                </w:p>
                <w:p>
                  <w:pPr>
                    <w:pStyle w:val="null3"/>
                    <w:jc w:val="center"/>
                  </w:pPr>
                  <w:r>
                    <w:rPr>
                      <w:rFonts w:ascii="仿宋_GB2312" w:hAnsi="仿宋_GB2312" w:cs="仿宋_GB2312" w:eastAsia="仿宋_GB2312"/>
                      <w:sz w:val="24"/>
                    </w:rPr>
                    <w:t>JTG F60-2009</w:t>
                  </w:r>
                </w:p>
                <w:p>
                  <w:pPr>
                    <w:pStyle w:val="null3"/>
                    <w:jc w:val="center"/>
                  </w:pPr>
                  <w:r>
                    <w:rPr>
                      <w:rFonts w:ascii="仿宋_GB2312" w:hAnsi="仿宋_GB2312" w:cs="仿宋_GB2312" w:eastAsia="仿宋_GB2312"/>
                      <w:sz w:val="24"/>
                    </w:rPr>
                    <w:t>及设计文件</w:t>
                  </w:r>
                </w:p>
              </w:tc>
              <w:tc>
                <w:tcPr>
                  <w:tcW w:type="dxa" w:w="2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隧道路面的检测指标与养护工程路面相同</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衬砌厚度</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雷达法</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衬砌背后密实状况</w:t>
                  </w:r>
                </w:p>
              </w:tc>
              <w:tc>
                <w:tcPr>
                  <w:tcW w:type="dxa" w:w="631"/>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防水层</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防水板缝宽</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防水板搭接长度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数量</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10米内逐根清点</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锚杆拉拔力</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拉拔仪检测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钢架</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榀数</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钢尺量测或雷达法</w:t>
                  </w:r>
                </w:p>
                <w:p>
                  <w:pPr>
                    <w:pStyle w:val="null3"/>
                    <w:jc w:val="center"/>
                  </w:pPr>
                  <w:r>
                    <w:rPr>
                      <w:rFonts w:ascii="仿宋_GB2312" w:hAnsi="仿宋_GB2312" w:cs="仿宋_GB2312" w:eastAsia="仿宋_GB2312"/>
                      <w:sz w:val="24"/>
                    </w:rPr>
                    <w:t>JTG F80/1-2017</w:t>
                  </w:r>
                </w:p>
                <w:p>
                  <w:pPr>
                    <w:pStyle w:val="null3"/>
                    <w:jc w:val="center"/>
                  </w:pPr>
                  <w:r>
                    <w:rPr>
                      <w:rFonts w:ascii="仿宋_GB2312" w:hAnsi="仿宋_GB2312" w:cs="仿宋_GB2312" w:eastAsia="仿宋_GB2312"/>
                      <w:sz w:val="24"/>
                    </w:rPr>
                    <w:t>附录</w:t>
                  </w:r>
                  <w:r>
                    <w:rPr>
                      <w:rFonts w:ascii="仿宋_GB2312" w:hAnsi="仿宋_GB2312" w:cs="仿宋_GB2312" w:eastAsia="仿宋_GB2312"/>
                      <w:sz w:val="24"/>
                    </w:rPr>
                    <w:t>R</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间距</w:t>
                  </w:r>
                </w:p>
              </w:tc>
              <w:tc>
                <w:tcPr>
                  <w:tcW w:type="dxa" w:w="631"/>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排水沟（管）</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壁厚</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纵坡</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vMerge/>
                  <w:tcBorders>
                    <w:top w:val="none" w:color="000000" w:sz="4"/>
                    <w:left w:val="none" w:color="000000" w:sz="4"/>
                    <w:bottom w:val="single" w:color="000000" w:sz="4"/>
                    <w:right w:val="single" w:color="000000" w:sz="4"/>
                  </w:tcBorders>
                </w:tc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三</w:t>
                  </w:r>
                </w:p>
              </w:tc>
              <w:tc>
                <w:tcPr>
                  <w:tcW w:type="dxa" w:w="236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水毁修复工程（路面工程、桥梁工程的检验指标与养护大中修工程、危桥加固工程相同）</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路基工程</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排水工程</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预制管内径</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w:t>
                  </w:r>
                </w:p>
                <w:p>
                  <w:pPr>
                    <w:pStyle w:val="null3"/>
                    <w:jc w:val="center"/>
                  </w:pPr>
                  <w:r>
                    <w:rPr>
                      <w:rFonts w:ascii="仿宋_GB2312" w:hAnsi="仿宋_GB2312" w:cs="仿宋_GB2312" w:eastAsia="仿宋_GB2312"/>
                      <w:sz w:val="24"/>
                    </w:rPr>
                    <w:t>及设计文件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预制管壁厚</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排水管基础厚</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开挖或施工断面用钢尺量测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水沟断面尺寸</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水沟铺砌厚度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开挖或施工断面用钢尺量测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水沟直顺度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20m拉线量测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防护工程</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断面尺寸</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钢尺量测，破口检查</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墙背压实度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灌砂法</w:t>
                  </w:r>
                </w:p>
                <w:p>
                  <w:pPr>
                    <w:pStyle w:val="null3"/>
                    <w:jc w:val="center"/>
                  </w:pPr>
                  <w:r>
                    <w:rPr>
                      <w:rFonts w:ascii="仿宋_GB2312" w:hAnsi="仿宋_GB2312" w:cs="仿宋_GB2312" w:eastAsia="仿宋_GB2312"/>
                      <w:sz w:val="24"/>
                    </w:rPr>
                    <w:t>JTG E60-2008</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墙面坡度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铅锤法量测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表面平整度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2m直尺量测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涵洞工程</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内径</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净高</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盖板相邻板</w:t>
                  </w:r>
                </w:p>
                <w:p>
                  <w:pPr>
                    <w:pStyle w:val="null3"/>
                    <w:jc w:val="center"/>
                  </w:pPr>
                  <w:r>
                    <w:rPr>
                      <w:rFonts w:ascii="仿宋_GB2312" w:hAnsi="仿宋_GB2312" w:cs="仿宋_GB2312" w:eastAsia="仿宋_GB2312"/>
                      <w:sz w:val="24"/>
                    </w:rPr>
                    <w:t>最大高差</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主要部件厚度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板厚或壁厚</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路基工程</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路基工程</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路基压实度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灌砂法</w:t>
                  </w:r>
                </w:p>
                <w:p>
                  <w:pPr>
                    <w:pStyle w:val="null3"/>
                    <w:jc w:val="center"/>
                  </w:pPr>
                  <w:r>
                    <w:rPr>
                      <w:rFonts w:ascii="仿宋_GB2312" w:hAnsi="仿宋_GB2312" w:cs="仿宋_GB2312" w:eastAsia="仿宋_GB2312"/>
                      <w:sz w:val="24"/>
                    </w:rPr>
                    <w:t>JTG E60-2008</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w:t>
                  </w:r>
                </w:p>
                <w:p>
                  <w:pPr>
                    <w:pStyle w:val="null3"/>
                    <w:jc w:val="center"/>
                  </w:pPr>
                  <w:r>
                    <w:rPr>
                      <w:rFonts w:ascii="仿宋_GB2312" w:hAnsi="仿宋_GB2312" w:cs="仿宋_GB2312" w:eastAsia="仿宋_GB2312"/>
                      <w:sz w:val="24"/>
                    </w:rPr>
                    <w:t>及设计文件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台阶宽度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边坡坡度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水平尺、锤球配合钢尺量测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锚杆、锚索、</w:t>
                  </w:r>
                  <w:r>
                    <w:rPr>
                      <w:rFonts w:ascii="仿宋_GB2312" w:hAnsi="仿宋_GB2312" w:cs="仿宋_GB2312" w:eastAsia="仿宋_GB2312"/>
                      <w:sz w:val="24"/>
                    </w:rPr>
                    <w:t>SNS防护</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锚杆间距</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TB/T3089-2004</w:t>
                  </w:r>
                </w:p>
                <w:p>
                  <w:pPr>
                    <w:pStyle w:val="null3"/>
                    <w:jc w:val="center"/>
                  </w:pPr>
                  <w:r>
                    <w:rPr>
                      <w:rFonts w:ascii="仿宋_GB2312" w:hAnsi="仿宋_GB2312" w:cs="仿宋_GB2312" w:eastAsia="仿宋_GB2312"/>
                      <w:sz w:val="24"/>
                    </w:rPr>
                    <w:t>GB/T8918-1996</w:t>
                  </w:r>
                </w:p>
                <w:p>
                  <w:pPr>
                    <w:pStyle w:val="null3"/>
                    <w:jc w:val="center"/>
                  </w:pPr>
                  <w:r>
                    <w:rPr>
                      <w:rFonts w:ascii="仿宋_GB2312" w:hAnsi="仿宋_GB2312" w:cs="仿宋_GB2312" w:eastAsia="仿宋_GB2312"/>
                      <w:sz w:val="24"/>
                    </w:rPr>
                    <w:t>GB/T343-1994、JTG 5220-202</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钢筋锚杆或钢丝绳锚杆</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锚杆、锚索抗拔力</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拉拔仪检测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立柱竖直度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铅锤法量测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上支撑绳下垂量</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拉线，钢尺量测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钢丝绳直径</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镀锌层厚度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涂层测厚仪量测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卡扣、钢柱、减压环、钢丝绳</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四</w:t>
                  </w:r>
                </w:p>
              </w:tc>
              <w:tc>
                <w:tcPr>
                  <w:tcW w:type="dxa" w:w="2369"/>
                  <w:gridSpan w:val="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安保工程</w:t>
                  </w: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交通安全设施</w:t>
                  </w: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波形梁钢护栏</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波形梁板基地金属厚度</w:t>
                  </w:r>
                </w:p>
              </w:tc>
              <w:tc>
                <w:tcPr>
                  <w:tcW w:type="dxa" w:w="631"/>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千分尺配合涂层测厚仪量测</w:t>
                  </w:r>
                </w:p>
              </w:tc>
              <w:tc>
                <w:tcPr>
                  <w:tcW w:type="dxa" w:w="477"/>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JTG F80/1-2017、JTG 5220-2020</w:t>
                  </w:r>
                </w:p>
                <w:p>
                  <w:pPr>
                    <w:pStyle w:val="null3"/>
                    <w:jc w:val="center"/>
                  </w:pPr>
                  <w:r>
                    <w:rPr>
                      <w:rFonts w:ascii="仿宋_GB2312" w:hAnsi="仿宋_GB2312" w:cs="仿宋_GB2312" w:eastAsia="仿宋_GB2312"/>
                      <w:sz w:val="24"/>
                    </w:rPr>
                    <w:t>及设计文件</w:t>
                  </w: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立柱基底金属壁厚</w:t>
                  </w:r>
                </w:p>
              </w:tc>
              <w:tc>
                <w:tcPr>
                  <w:tcW w:type="dxa" w:w="631"/>
                  <w:vMerge/>
                  <w:tcBorders>
                    <w:top w:val="none" w:color="000000" w:sz="4"/>
                    <w:left w:val="none" w:color="000000" w:sz="4"/>
                    <w:bottom w:val="single" w:color="000000" w:sz="4"/>
                    <w:right w:val="single" w:color="000000" w:sz="4"/>
                  </w:tcBorders>
                </w:tcP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横梁中心高度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立柱埋入深度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螺栓终拧扭矩</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扭力扳手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混凝土护栏</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混凝土强度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回弹法</w:t>
                  </w:r>
                  <w:r>
                    <w:rPr>
                      <w:rFonts w:ascii="仿宋_GB2312" w:hAnsi="仿宋_GB2312" w:cs="仿宋_GB2312" w:eastAsia="仿宋_GB2312"/>
                      <w:sz w:val="24"/>
                    </w:rPr>
                    <w:t>JGJ/T23-2011</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断面尺寸（高度、宽度、底宽）</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标志</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标志板反光膜逆反射系数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逆反射标志检测仪</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立柱竖直度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垂线法量测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混凝土基础尺寸</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尺量</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标线</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逆反射亮度系数</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逆反射标志检测仪</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厚度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标线厚度测量仪量测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宽度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钢尺量测</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215"/>
                  <w:vMerge/>
                  <w:tcBorders>
                    <w:top w:val="none" w:color="000000" w:sz="4"/>
                    <w:left w:val="none" w:color="000000" w:sz="4"/>
                    <w:bottom w:val="single" w:color="000000" w:sz="4"/>
                    <w:right w:val="single" w:color="000000" w:sz="4"/>
                  </w:tcBorders>
                </w:tcPr>
                <w:p/>
              </w:tc>
              <w:tc>
                <w:tcPr>
                  <w:tcW w:type="dxa" w:w="215"/>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轮廓标</w:t>
                  </w: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安装角度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万能角尺等</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反射器中心高度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尺量</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18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215"/>
                  <w:vMerge/>
                  <w:tcBorders>
                    <w:top w:val="none" w:color="000000" w:sz="4"/>
                    <w:left w:val="none" w:color="000000" w:sz="4"/>
                    <w:bottom w:val="single" w:color="000000" w:sz="4"/>
                    <w:right w:val="single" w:color="000000" w:sz="4"/>
                  </w:tcBorders>
                </w:tcPr>
                <w:p/>
              </w:tc>
              <w:tc>
                <w:tcPr>
                  <w:tcW w:type="dxa" w:w="215"/>
                  <w:vMerge/>
                  <w:tcBorders>
                    <w:top w:val="none" w:color="000000" w:sz="4"/>
                    <w:left w:val="none" w:color="000000" w:sz="4"/>
                    <w:bottom w:val="single" w:color="000000" w:sz="4"/>
                    <w:right w:val="single" w:color="000000" w:sz="4"/>
                  </w:tcBorders>
                </w:tcPr>
                <w:p/>
              </w:tc>
              <w:tc>
                <w:tcPr>
                  <w:tcW w:type="dxa" w:w="55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柱式轮廓标竖直度</w:t>
                  </w:r>
                </w:p>
              </w:tc>
              <w:tc>
                <w:tcPr>
                  <w:tcW w:type="dxa" w:w="63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垂线法</w:t>
                  </w:r>
                </w:p>
              </w:tc>
              <w:tc>
                <w:tcPr>
                  <w:tcW w:type="dxa" w:w="477"/>
                  <w:vMerge/>
                  <w:tcBorders>
                    <w:top w:val="none" w:color="000000" w:sz="4"/>
                    <w:left w:val="none" w:color="000000" w:sz="4"/>
                    <w:bottom w:val="single" w:color="000000" w:sz="4"/>
                    <w:right w:val="single" w:color="000000" w:sz="4"/>
                  </w:tcBorders>
                </w:tcPr>
                <w:p/>
              </w:tc>
              <w:tc>
                <w:tcPr>
                  <w:tcW w:type="dxa" w:w="27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pPr>
              <w:pStyle w:val="null3"/>
            </w:pPr>
            <w:r>
              <w:rPr>
                <w:rFonts w:ascii="仿宋_GB2312" w:hAnsi="仿宋_GB2312" w:cs="仿宋_GB2312" w:eastAsia="仿宋_GB2312"/>
                <w:sz w:val="24"/>
                <w:b/>
              </w:rPr>
              <w:t>2.3外观及工艺检查</w:t>
            </w:r>
          </w:p>
          <w:p>
            <w:pPr>
              <w:pStyle w:val="null3"/>
              <w:ind w:firstLine="480"/>
              <w:jc w:val="both"/>
            </w:pPr>
            <w:r>
              <w:rPr>
                <w:rFonts w:ascii="仿宋_GB2312" w:hAnsi="仿宋_GB2312" w:cs="仿宋_GB2312" w:eastAsia="仿宋_GB2312"/>
                <w:sz w:val="24"/>
              </w:rPr>
              <w:t>外观及施工工艺检查采取现场查看的方式随机检查。各项目沥青面层拌和站、基层或底基层拌和站、砼拌和站</w:t>
            </w:r>
            <w:r>
              <w:rPr>
                <w:rFonts w:ascii="仿宋_GB2312" w:hAnsi="仿宋_GB2312" w:cs="仿宋_GB2312" w:eastAsia="仿宋_GB2312"/>
                <w:sz w:val="24"/>
              </w:rPr>
              <w:t>100%检查。结合项目施工进度情况，在沿线巡查的基础上，随机确定抽检部位，原则上每项目抽查1-2个标段，每个分部工程至少抽检1处施工段落或部位进行现场查看，记录存在问题，必要情况下要用影像资料记录，并指出处理意见。施工工艺检查方法及频率具体参照部颁《公路工程质量检验评定标准 第一册，土建工程》（JTG F80/1-2017）、《公路养护工程质量检验评定标准 第一册，土建工程》（JTG 5220-2020）和省局下发“两化”指南及行业制度办法管理文件。</w:t>
            </w:r>
          </w:p>
          <w:p>
            <w:pPr>
              <w:pStyle w:val="null3"/>
              <w:ind w:firstLine="482"/>
              <w:jc w:val="both"/>
            </w:pPr>
            <w:r>
              <w:rPr>
                <w:rFonts w:ascii="仿宋_GB2312" w:hAnsi="仿宋_GB2312" w:cs="仿宋_GB2312" w:eastAsia="仿宋_GB2312"/>
                <w:sz w:val="24"/>
                <w:b/>
              </w:rPr>
              <w:t>2.4</w:t>
            </w:r>
            <w:r>
              <w:rPr>
                <w:rFonts w:ascii="仿宋_GB2312" w:hAnsi="仿宋_GB2312" w:cs="仿宋_GB2312" w:eastAsia="仿宋_GB2312"/>
                <w:sz w:val="24"/>
                <w:b/>
              </w:rPr>
              <w:t>质量印证资料</w:t>
            </w:r>
            <w:r>
              <w:rPr>
                <w:rFonts w:ascii="仿宋_GB2312" w:hAnsi="仿宋_GB2312" w:cs="仿宋_GB2312" w:eastAsia="仿宋_GB2312"/>
                <w:sz w:val="24"/>
                <w:b/>
              </w:rPr>
              <w:t>检查</w:t>
            </w:r>
          </w:p>
          <w:p>
            <w:pPr>
              <w:pStyle w:val="null3"/>
              <w:ind w:firstLine="480"/>
              <w:jc w:val="both"/>
            </w:pPr>
            <w:r>
              <w:rPr>
                <w:rFonts w:ascii="仿宋_GB2312" w:hAnsi="仿宋_GB2312" w:cs="仿宋_GB2312" w:eastAsia="仿宋_GB2312"/>
                <w:sz w:val="24"/>
              </w:rPr>
              <w:t>进行试验室及内业资料检查的项目、标段与原材料抽检和实体检测的施工项目、标段相一致。采用随机抽取资料的方式进行抽查，每项目抽检</w:t>
            </w:r>
            <w:r>
              <w:rPr>
                <w:rFonts w:ascii="仿宋_GB2312" w:hAnsi="仿宋_GB2312" w:cs="仿宋_GB2312" w:eastAsia="仿宋_GB2312"/>
                <w:sz w:val="24"/>
              </w:rPr>
              <w:t>1个施工、1个监理标段，每种资料抽取1-2份检查，记录存在问题，必要情况下要用影像资料记录，并指出处理意见。试验室及内业资料检查方法及频率见表3。对市质监站和各公路管理局检查通报中存在的问题应作为重点进行检查。</w:t>
            </w:r>
          </w:p>
          <w:p>
            <w:pPr>
              <w:pStyle w:val="null3"/>
              <w:ind w:firstLine="361"/>
              <w:jc w:val="both"/>
            </w:pPr>
            <w:r>
              <w:rPr>
                <w:rFonts w:ascii="仿宋_GB2312" w:hAnsi="仿宋_GB2312" w:cs="仿宋_GB2312" w:eastAsia="仿宋_GB2312"/>
                <w:sz w:val="24"/>
                <w:b/>
              </w:rPr>
              <w:t>表</w:t>
            </w:r>
            <w:r>
              <w:rPr>
                <w:rFonts w:ascii="仿宋_GB2312" w:hAnsi="仿宋_GB2312" w:cs="仿宋_GB2312" w:eastAsia="仿宋_GB2312"/>
                <w:sz w:val="24"/>
                <w:b/>
              </w:rPr>
              <w:t xml:space="preserve">3：   </w:t>
            </w:r>
            <w:r>
              <w:rPr>
                <w:rFonts w:ascii="仿宋_GB2312" w:hAnsi="仿宋_GB2312" w:cs="仿宋_GB2312" w:eastAsia="仿宋_GB2312"/>
                <w:sz w:val="24"/>
                <w:b/>
              </w:rPr>
              <w:t>质量印证资料</w:t>
            </w:r>
            <w:r>
              <w:rPr>
                <w:rFonts w:ascii="仿宋_GB2312" w:hAnsi="仿宋_GB2312" w:cs="仿宋_GB2312" w:eastAsia="仿宋_GB2312"/>
                <w:sz w:val="24"/>
                <w:b/>
              </w:rPr>
              <w:t>及试验室检查内容、方法、频率表</w:t>
            </w:r>
          </w:p>
          <w:tbl>
            <w:tblPr>
              <w:tblInd w:type="dxa" w:w="225"/>
              <w:tblBorders>
                <w:top w:val="none" w:color="000000" w:sz="4"/>
                <w:left w:val="none" w:color="000000" w:sz="4"/>
                <w:bottom w:val="none" w:color="000000" w:sz="4"/>
                <w:right w:val="none" w:color="000000" w:sz="4"/>
                <w:insideH w:val="none"/>
                <w:insideV w:val="none"/>
              </w:tblBorders>
            </w:tblPr>
            <w:tblGrid>
              <w:gridCol w:w="167"/>
              <w:gridCol w:w="273"/>
              <w:gridCol w:w="1087"/>
              <w:gridCol w:w="580"/>
              <w:gridCol w:w="446"/>
            </w:tblGrid>
            <w:tr>
              <w:tc>
                <w:tcPr>
                  <w:tcW w:type="dxa" w:w="1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27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检查项目及</w:t>
                  </w:r>
                </w:p>
                <w:p>
                  <w:pPr>
                    <w:pStyle w:val="null3"/>
                    <w:jc w:val="center"/>
                  </w:pPr>
                  <w:r>
                    <w:rPr>
                      <w:rFonts w:ascii="仿宋_GB2312" w:hAnsi="仿宋_GB2312" w:cs="仿宋_GB2312" w:eastAsia="仿宋_GB2312"/>
                      <w:sz w:val="24"/>
                    </w:rPr>
                    <w:t>主要内容</w:t>
                  </w:r>
                </w:p>
              </w:tc>
              <w:tc>
                <w:tcPr>
                  <w:tcW w:type="dxa" w:w="108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检查方法</w:t>
                  </w:r>
                </w:p>
              </w:tc>
              <w:tc>
                <w:tcPr>
                  <w:tcW w:type="dxa" w:w="58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检查频率</w:t>
                  </w:r>
                </w:p>
              </w:tc>
              <w:tc>
                <w:tcPr>
                  <w:tcW w:type="dxa" w:w="44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备注</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一</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内业资料</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料源检验及</w:t>
                  </w:r>
                </w:p>
                <w:p>
                  <w:pPr>
                    <w:pStyle w:val="null3"/>
                    <w:jc w:val="center"/>
                  </w:pPr>
                  <w:r>
                    <w:rPr>
                      <w:rFonts w:ascii="仿宋_GB2312" w:hAnsi="仿宋_GB2312" w:cs="仿宋_GB2312" w:eastAsia="仿宋_GB2312"/>
                      <w:sz w:val="24"/>
                    </w:rPr>
                    <w:t>批复资料</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取水泥、钢筋、集料、支座、锚具、钢绞线、外加剂、石灰、粉煤灰、沥青等料源检验报告（检查指标）及批复文件，核查使用部位、检验指标、批复程序是否规范；对沥青、钢材、钢绞线产地、品牌、等级、标号、厂家等进行核实和登记（通过合同、进货和材质单核实）；钢材、水泥、沥青等材料进场资料（合格证、质保书、检测报告、出厂检验合格证）是否齐全</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每标段结合进度情况抽检</w:t>
                  </w:r>
                  <w:r>
                    <w:rPr>
                      <w:rFonts w:ascii="仿宋_GB2312" w:hAnsi="仿宋_GB2312" w:cs="仿宋_GB2312" w:eastAsia="仿宋_GB2312"/>
                      <w:sz w:val="24"/>
                    </w:rPr>
                    <w:t>2-3种主要材料料源检验报告及批复文件</w:t>
                  </w:r>
                </w:p>
              </w:tc>
              <w:tc>
                <w:tcPr>
                  <w:tcW w:type="dxa" w:w="4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与项目质量管理文件相结合审核表格格式及填写方法</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进场材料</w:t>
                  </w:r>
                </w:p>
                <w:p>
                  <w:pPr>
                    <w:pStyle w:val="null3"/>
                    <w:jc w:val="center"/>
                  </w:pPr>
                  <w:r>
                    <w:rPr>
                      <w:rFonts w:ascii="仿宋_GB2312" w:hAnsi="仿宋_GB2312" w:cs="仿宋_GB2312" w:eastAsia="仿宋_GB2312"/>
                      <w:sz w:val="24"/>
                    </w:rPr>
                    <w:t>检验资料</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抽检各种材料的进场检验台账及检验报告（含外委试验报告）、审核试验记录、报告中的错误，核对检验频率，核查台帐与试验资料、评定资料的对应性和真实性</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每标段结合进度情况抽检</w:t>
                  </w:r>
                  <w:r>
                    <w:rPr>
                      <w:rFonts w:ascii="仿宋_GB2312" w:hAnsi="仿宋_GB2312" w:cs="仿宋_GB2312" w:eastAsia="仿宋_GB2312"/>
                      <w:sz w:val="24"/>
                    </w:rPr>
                    <w:t>2-3种主要材料检验报告及进料台账</w:t>
                  </w:r>
                </w:p>
              </w:tc>
              <w:tc>
                <w:tcPr>
                  <w:tcW w:type="dxa" w:w="446"/>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标准试验</w:t>
                  </w:r>
                </w:p>
                <w:p>
                  <w:pPr>
                    <w:pStyle w:val="null3"/>
                    <w:jc w:val="center"/>
                  </w:pPr>
                  <w:r>
                    <w:rPr>
                      <w:rFonts w:ascii="仿宋_GB2312" w:hAnsi="仿宋_GB2312" w:cs="仿宋_GB2312" w:eastAsia="仿宋_GB2312"/>
                      <w:sz w:val="24"/>
                    </w:rPr>
                    <w:t>资料</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抽取各分部工程涉及的标准击实、配合比等标准试验资料及批复文件，检查试验参数、方法是否正确，审批手续、批文是否规范</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每标段结合进度情况抽检每种标准试验资料</w:t>
                  </w:r>
                  <w:r>
                    <w:rPr>
                      <w:rFonts w:ascii="仿宋_GB2312" w:hAnsi="仿宋_GB2312" w:cs="仿宋_GB2312" w:eastAsia="仿宋_GB2312"/>
                      <w:sz w:val="24"/>
                    </w:rPr>
                    <w:t>1份</w:t>
                  </w:r>
                </w:p>
              </w:tc>
              <w:tc>
                <w:tcPr>
                  <w:tcW w:type="dxa" w:w="446"/>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工艺试验</w:t>
                  </w:r>
                </w:p>
                <w:p>
                  <w:pPr>
                    <w:pStyle w:val="null3"/>
                    <w:jc w:val="center"/>
                  </w:pPr>
                  <w:r>
                    <w:rPr>
                      <w:rFonts w:ascii="仿宋_GB2312" w:hAnsi="仿宋_GB2312" w:cs="仿宋_GB2312" w:eastAsia="仿宋_GB2312"/>
                      <w:sz w:val="24"/>
                    </w:rPr>
                    <w:t>资料</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抽取各分部工程试验段资料是否规范、检验方法、指标及总结资料是否正确、齐全，能够指导工程施工（含沥青、基层、底基层拌合楼调试及试拌试铺）</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每标段结合进度情况抽检每种试验段资料及总结报告</w:t>
                  </w:r>
                </w:p>
              </w:tc>
              <w:tc>
                <w:tcPr>
                  <w:tcW w:type="dxa" w:w="446"/>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二</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工地试验室</w:t>
                  </w:r>
                </w:p>
                <w:p>
                  <w:pPr>
                    <w:pStyle w:val="null3"/>
                    <w:jc w:val="center"/>
                  </w:pPr>
                  <w:r>
                    <w:rPr>
                      <w:rFonts w:ascii="仿宋_GB2312" w:hAnsi="仿宋_GB2312" w:cs="仿宋_GB2312" w:eastAsia="仿宋_GB2312"/>
                      <w:sz w:val="24"/>
                    </w:rPr>
                    <w:t>管理</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c>
                <w:tcPr>
                  <w:tcW w:type="dxa" w:w="44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试验室资质及人员能力</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检查母体授权资料、备案资料及批复文件是否齐全，核对授权参数，检查试验室技术人员的能力资格。</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每标段检查</w:t>
                  </w:r>
                </w:p>
              </w:tc>
              <w:tc>
                <w:tcPr>
                  <w:tcW w:type="dxa" w:w="44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按照省厅</w:t>
                  </w:r>
                </w:p>
                <w:p>
                  <w:pPr>
                    <w:pStyle w:val="null3"/>
                    <w:jc w:val="center"/>
                  </w:pPr>
                  <w:r>
                    <w:rPr>
                      <w:rFonts w:ascii="仿宋_GB2312" w:hAnsi="仿宋_GB2312" w:cs="仿宋_GB2312" w:eastAsia="仿宋_GB2312"/>
                      <w:sz w:val="24"/>
                    </w:rPr>
                    <w:t>、业主相关文件检查</w:t>
                  </w: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试验室内部管理体系</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检查工地试验室质量管理文件，核对进场人员资质，母体检测机构检查资料</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每标段检查，重点检查文件及上墙制度是否齐全</w:t>
                  </w:r>
                </w:p>
              </w:tc>
              <w:tc>
                <w:tcPr>
                  <w:tcW w:type="dxa" w:w="446"/>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试验室环境</w:t>
                  </w:r>
                </w:p>
                <w:p>
                  <w:pPr>
                    <w:pStyle w:val="null3"/>
                    <w:jc w:val="center"/>
                  </w:pPr>
                  <w:r>
                    <w:rPr>
                      <w:rFonts w:ascii="仿宋_GB2312" w:hAnsi="仿宋_GB2312" w:cs="仿宋_GB2312" w:eastAsia="仿宋_GB2312"/>
                      <w:sz w:val="24"/>
                    </w:rPr>
                    <w:t>及设备</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检查试验室各室划分是否合理，试验室温度、湿度是否满足试验及环保、安全工作要求，是否配备必要的设施，试验仪器是否满足授权参数及现场质量控制要求，安装是否合理</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每标段检查</w:t>
                  </w:r>
                </w:p>
              </w:tc>
              <w:tc>
                <w:tcPr>
                  <w:tcW w:type="dxa" w:w="446"/>
                  <w:vMerge/>
                  <w:tcBorders>
                    <w:top w:val="none" w:color="000000" w:sz="4"/>
                    <w:left w:val="none" w:color="000000" w:sz="4"/>
                    <w:bottom w:val="single" w:color="000000" w:sz="4"/>
                    <w:right w:val="single" w:color="000000" w:sz="4"/>
                  </w:tcBorders>
                </w:tcPr>
                <w:p/>
              </w:tc>
            </w:tr>
            <w:tr>
              <w:tc>
                <w:tcPr>
                  <w:tcW w:type="dxa" w:w="1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27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试验室管理</w:t>
                  </w:r>
                </w:p>
                <w:p>
                  <w:pPr>
                    <w:pStyle w:val="null3"/>
                    <w:jc w:val="center"/>
                  </w:pPr>
                  <w:r>
                    <w:rPr>
                      <w:rFonts w:ascii="仿宋_GB2312" w:hAnsi="仿宋_GB2312" w:cs="仿宋_GB2312" w:eastAsia="仿宋_GB2312"/>
                      <w:sz w:val="24"/>
                    </w:rPr>
                    <w:t>资料</w:t>
                  </w:r>
                </w:p>
              </w:tc>
              <w:tc>
                <w:tcPr>
                  <w:tcW w:type="dxa" w:w="1087"/>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检查试验室各类台账是否齐全（样品、检验等），仪器、人员管理档案是否齐全，仪器计量检定</w:t>
                  </w:r>
                  <w:r>
                    <w:rPr>
                      <w:rFonts w:ascii="仿宋_GB2312" w:hAnsi="仿宋_GB2312" w:cs="仿宋_GB2312" w:eastAsia="仿宋_GB2312"/>
                      <w:sz w:val="24"/>
                    </w:rPr>
                    <w:t>/校准管理资料集台账是否齐全，仪器使用记录填写是否齐全，样品、仪器标识管理是否规范，所使用的标准、规范、规程等技术文件是否齐全且现行有效</w:t>
                  </w:r>
                </w:p>
              </w:tc>
              <w:tc>
                <w:tcPr>
                  <w:tcW w:type="dxa" w:w="58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每标段检查</w:t>
                  </w:r>
                </w:p>
              </w:tc>
              <w:tc>
                <w:tcPr>
                  <w:tcW w:type="dxa" w:w="446"/>
                  <w:vMerge/>
                  <w:tcBorders>
                    <w:top w:val="none" w:color="000000" w:sz="4"/>
                    <w:left w:val="none" w:color="000000" w:sz="4"/>
                    <w:bottom w:val="single" w:color="000000" w:sz="4"/>
                    <w:right w:val="single" w:color="000000" w:sz="4"/>
                  </w:tcBorders>
                </w:tcPr>
                <w:p/>
              </w:tc>
            </w:tr>
          </w:tbl>
          <w:p>
            <w:pPr>
              <w:pStyle w:val="null3"/>
              <w:ind w:firstLine="480"/>
              <w:jc w:val="both"/>
            </w:pPr>
            <w:r>
              <w:rPr>
                <w:rFonts w:ascii="仿宋_GB2312" w:hAnsi="仿宋_GB2312" w:cs="仿宋_GB2312" w:eastAsia="仿宋_GB2312"/>
                <w:sz w:val="24"/>
                <w:b/>
              </w:rPr>
              <w:t>三</w:t>
            </w:r>
            <w:r>
              <w:rPr>
                <w:rFonts w:ascii="仿宋_GB2312" w:hAnsi="仿宋_GB2312" w:cs="仿宋_GB2312" w:eastAsia="仿宋_GB2312"/>
                <w:sz w:val="24"/>
                <w:b/>
              </w:rPr>
              <w:t>、工作注意事项</w:t>
            </w:r>
          </w:p>
          <w:p>
            <w:pPr>
              <w:pStyle w:val="null3"/>
              <w:ind w:firstLine="480"/>
              <w:jc w:val="both"/>
            </w:pPr>
            <w:r>
              <w:rPr>
                <w:rFonts w:ascii="仿宋_GB2312" w:hAnsi="仿宋_GB2312" w:cs="仿宋_GB2312" w:eastAsia="仿宋_GB2312"/>
                <w:sz w:val="24"/>
              </w:rPr>
              <w:t>3.1 突出关键指标：工程量及报价清单中打的各项检测指标作为关键指标，至少应分别完成招标文件规定点组数量的70%，其余30%可以在打的各项关键检测指标之间进行调剂，关键指标</w:t>
            </w:r>
            <w:r>
              <w:rPr>
                <w:rFonts w:ascii="仿宋_GB2312" w:hAnsi="仿宋_GB2312" w:cs="仿宋_GB2312" w:eastAsia="仿宋_GB2312"/>
                <w:sz w:val="24"/>
                <w:u w:val="single"/>
              </w:rPr>
              <w:t>超出招标文件规定点组数量的，按合同单价及实际发生量计算费用，但总计量支付费用不能超过本次招标合同总价，中标的检测单位在工作过程中应充分考虑此约定。</w:t>
            </w:r>
          </w:p>
          <w:p>
            <w:pPr>
              <w:pStyle w:val="null3"/>
              <w:ind w:firstLine="480"/>
              <w:jc w:val="both"/>
            </w:pPr>
            <w:r>
              <w:rPr>
                <w:rFonts w:ascii="仿宋_GB2312" w:hAnsi="仿宋_GB2312" w:cs="仿宋_GB2312" w:eastAsia="仿宋_GB2312"/>
                <w:sz w:val="24"/>
              </w:rPr>
              <w:t>3.2 工程量及报价清单中未打的检测指标作为一般指标，一般指标完成检测的点组数量超出招标文件规定数量的不予支付超出部分的费用。</w:t>
            </w:r>
          </w:p>
          <w:p>
            <w:pPr>
              <w:pStyle w:val="null3"/>
              <w:ind w:firstLine="480"/>
              <w:jc w:val="both"/>
            </w:pPr>
            <w:r>
              <w:rPr>
                <w:rFonts w:ascii="仿宋_GB2312" w:hAnsi="仿宋_GB2312" w:cs="仿宋_GB2312" w:eastAsia="仿宋_GB2312"/>
                <w:sz w:val="24"/>
              </w:rPr>
              <w:t>3.3超工作范围处理：</w:t>
            </w:r>
            <w:r>
              <w:rPr>
                <w:rFonts w:ascii="仿宋_GB2312" w:hAnsi="仿宋_GB2312" w:cs="仿宋_GB2312" w:eastAsia="仿宋_GB2312"/>
                <w:sz w:val="24"/>
                <w:u w:val="single"/>
              </w:rPr>
              <w:t>不属于本招标文件《工程量及报价清单》检测指标范围确需检测的，检测单位应及时与采购人商榷后抽检，但合同总价保持不变。</w:t>
            </w:r>
          </w:p>
          <w:p>
            <w:pPr>
              <w:pStyle w:val="null3"/>
              <w:ind w:firstLine="480"/>
              <w:jc w:val="both"/>
            </w:pPr>
            <w:r>
              <w:rPr>
                <w:rFonts w:ascii="仿宋_GB2312" w:hAnsi="仿宋_GB2312" w:cs="仿宋_GB2312" w:eastAsia="仿宋_GB2312"/>
                <w:sz w:val="24"/>
              </w:rPr>
              <w:t>3.4专业检测单位应配备携带赴现场开展工作的仪器，同时可利用现场工地试验室及仪器设备。</w:t>
            </w:r>
            <w:r>
              <w:rPr>
                <w:rFonts w:ascii="仿宋_GB2312" w:hAnsi="仿宋_GB2312" w:cs="仿宋_GB2312" w:eastAsia="仿宋_GB2312"/>
                <w:sz w:val="24"/>
                <w:u w:val="single"/>
              </w:rPr>
              <w:t>除必须要送回专业检测单位自身中心试验室进行检测的指标外，其它数据应尽量现场试验和检测，检测结果现场通报。</w:t>
            </w:r>
          </w:p>
          <w:p>
            <w:pPr>
              <w:pStyle w:val="null3"/>
              <w:jc w:val="both"/>
            </w:pPr>
            <w:r>
              <w:rPr>
                <w:rFonts w:ascii="仿宋_GB2312" w:hAnsi="仿宋_GB2312" w:cs="仿宋_GB2312" w:eastAsia="仿宋_GB2312"/>
                <w:sz w:val="24"/>
                <w:b/>
              </w:rPr>
              <w:t>四</w:t>
            </w:r>
            <w:r>
              <w:rPr>
                <w:rFonts w:ascii="仿宋_GB2312" w:hAnsi="仿宋_GB2312" w:cs="仿宋_GB2312" w:eastAsia="仿宋_GB2312"/>
                <w:sz w:val="24"/>
                <w:b/>
              </w:rPr>
              <w:t>、检查报告要求</w:t>
            </w:r>
          </w:p>
          <w:p>
            <w:pPr>
              <w:pStyle w:val="null3"/>
              <w:ind w:firstLine="525"/>
              <w:jc w:val="both"/>
            </w:pPr>
            <w:r>
              <w:rPr>
                <w:rFonts w:ascii="仿宋_GB2312" w:hAnsi="仿宋_GB2312" w:cs="仿宋_GB2312" w:eastAsia="仿宋_GB2312"/>
                <w:sz w:val="24"/>
              </w:rPr>
              <w:t>4.1每次现场检测结束后，必须在当天完成试验及检测数据的处理和计算工作，随时向相关带队领导汇报检测结果。</w:t>
            </w:r>
          </w:p>
          <w:p>
            <w:pPr>
              <w:pStyle w:val="null3"/>
              <w:ind w:firstLine="525"/>
              <w:jc w:val="both"/>
            </w:pPr>
            <w:r>
              <w:rPr>
                <w:rFonts w:ascii="仿宋_GB2312" w:hAnsi="仿宋_GB2312" w:cs="仿宋_GB2312" w:eastAsia="仿宋_GB2312"/>
                <w:sz w:val="24"/>
              </w:rPr>
              <w:t>4.2每地市检测结束后，汇总检测数据，整理存在问题意见，经检查组负责人审核，及时现场通报并提出整改要求，并形成书面通报材料在该项目检测结束2日内提交省局养护处。</w:t>
            </w:r>
          </w:p>
          <w:p>
            <w:pPr>
              <w:pStyle w:val="null3"/>
              <w:ind w:firstLine="525"/>
              <w:jc w:val="both"/>
            </w:pPr>
            <w:r>
              <w:rPr>
                <w:rFonts w:ascii="仿宋_GB2312" w:hAnsi="仿宋_GB2312" w:cs="仿宋_GB2312" w:eastAsia="仿宋_GB2312"/>
                <w:sz w:val="24"/>
              </w:rPr>
              <w:t>4.3现场检测结束后10个工作日内完成所有室内试验和报告编制工作。报告按地市编制，完成一家提供一家。对关键指标合格率小于95%或一般项目单点合格率小于80%的抽检项目单独列出，并说明具体情况，分析问题原因。</w:t>
            </w:r>
          </w:p>
          <w:p>
            <w:pPr>
              <w:pStyle w:val="null3"/>
              <w:ind w:firstLine="525"/>
              <w:jc w:val="both"/>
            </w:pPr>
            <w:r>
              <w:rPr>
                <w:rFonts w:ascii="仿宋_GB2312" w:hAnsi="仿宋_GB2312" w:cs="仿宋_GB2312" w:eastAsia="仿宋_GB2312"/>
                <w:sz w:val="24"/>
              </w:rPr>
              <w:t>4.4检测报告内容主要包括：项目概述、检测依据、检测组织情况、总体及各项目检测内容、结果总体分析（存在问题、原因分析及整改建议），不合格原材料及成品材料问题一览表（包括抽取项目、频率、生产厂家、进货企业、施工单位等）。</w:t>
            </w:r>
          </w:p>
          <w:p>
            <w:pPr>
              <w:pStyle w:val="null3"/>
              <w:ind w:firstLine="525"/>
              <w:jc w:val="both"/>
            </w:pPr>
            <w:r>
              <w:rPr>
                <w:rFonts w:ascii="仿宋_GB2312" w:hAnsi="仿宋_GB2312" w:cs="仿宋_GB2312" w:eastAsia="仿宋_GB2312"/>
                <w:sz w:val="24"/>
              </w:rPr>
              <w:t>4</w:t>
            </w:r>
            <w:r>
              <w:rPr>
                <w:rFonts w:ascii="仿宋_GB2312" w:hAnsi="仿宋_GB2312" w:cs="仿宋_GB2312" w:eastAsia="仿宋_GB2312"/>
                <w:sz w:val="24"/>
              </w:rPr>
              <w:t>.5全部工作结束，整理形成全省养护大中修工程质量抽检分析报告，主要内容如下：</w:t>
            </w:r>
          </w:p>
          <w:p>
            <w:pPr>
              <w:pStyle w:val="null3"/>
              <w:ind w:firstLine="525"/>
              <w:jc w:val="both"/>
            </w:pPr>
            <w:r>
              <w:rPr>
                <w:rFonts w:ascii="仿宋_GB2312" w:hAnsi="仿宋_GB2312" w:cs="仿宋_GB2312" w:eastAsia="仿宋_GB2312"/>
                <w:sz w:val="24"/>
              </w:rPr>
              <w:t>4</w:t>
            </w:r>
            <w:r>
              <w:rPr>
                <w:rFonts w:ascii="仿宋_GB2312" w:hAnsi="仿宋_GB2312" w:cs="仿宋_GB2312" w:eastAsia="仿宋_GB2312"/>
                <w:sz w:val="24"/>
              </w:rPr>
              <w:t>.5.1检测检查工作概述；</w:t>
            </w:r>
          </w:p>
          <w:p>
            <w:pPr>
              <w:pStyle w:val="null3"/>
              <w:ind w:firstLine="525"/>
              <w:jc w:val="both"/>
            </w:pPr>
            <w:r>
              <w:rPr>
                <w:rFonts w:ascii="仿宋_GB2312" w:hAnsi="仿宋_GB2312" w:cs="仿宋_GB2312" w:eastAsia="仿宋_GB2312"/>
                <w:sz w:val="24"/>
              </w:rPr>
              <w:t>4</w:t>
            </w:r>
            <w:r>
              <w:rPr>
                <w:rFonts w:ascii="仿宋_GB2312" w:hAnsi="仿宋_GB2312" w:cs="仿宋_GB2312" w:eastAsia="仿宋_GB2312"/>
                <w:sz w:val="24"/>
              </w:rPr>
              <w:t>.5.2全省质量抽检总体评价，包括好的做法和存在问题。</w:t>
            </w:r>
          </w:p>
          <w:p>
            <w:pPr>
              <w:pStyle w:val="null3"/>
              <w:ind w:firstLine="525"/>
              <w:jc w:val="both"/>
            </w:pPr>
            <w:r>
              <w:rPr>
                <w:rFonts w:ascii="仿宋_GB2312" w:hAnsi="仿宋_GB2312" w:cs="仿宋_GB2312" w:eastAsia="仿宋_GB2312"/>
                <w:sz w:val="24"/>
              </w:rPr>
              <w:t>4</w:t>
            </w:r>
            <w:r>
              <w:rPr>
                <w:rFonts w:ascii="仿宋_GB2312" w:hAnsi="仿宋_GB2312" w:cs="仿宋_GB2312" w:eastAsia="仿宋_GB2312"/>
                <w:sz w:val="24"/>
              </w:rPr>
              <w:t>.5.3分原材料、实体工程、外观及工艺检查、试验室管理及内业资料分别分析检查结果，梳理分析存在的问题及原因，并提出下阶段工作建议。</w:t>
            </w:r>
          </w:p>
          <w:p>
            <w:pPr>
              <w:pStyle w:val="null3"/>
              <w:ind w:firstLine="240"/>
              <w:jc w:val="both"/>
            </w:pPr>
            <w:r>
              <w:rPr>
                <w:rFonts w:ascii="仿宋_GB2312" w:hAnsi="仿宋_GB2312" w:cs="仿宋_GB2312" w:eastAsia="仿宋_GB2312"/>
                <w:sz w:val="24"/>
                <w:b/>
              </w:rPr>
              <w:t>五</w:t>
            </w:r>
            <w:r>
              <w:rPr>
                <w:rFonts w:ascii="仿宋_GB2312" w:hAnsi="仿宋_GB2312" w:cs="仿宋_GB2312" w:eastAsia="仿宋_GB2312"/>
                <w:sz w:val="24"/>
                <w:b/>
              </w:rPr>
              <w:t>、</w:t>
            </w:r>
            <w:r>
              <w:rPr>
                <w:rFonts w:ascii="仿宋_GB2312" w:hAnsi="仿宋_GB2312" w:cs="仿宋_GB2312" w:eastAsia="仿宋_GB2312"/>
                <w:sz w:val="24"/>
                <w:b/>
              </w:rPr>
              <w:t>人员配置要求</w:t>
            </w:r>
          </w:p>
          <w:tbl>
            <w:tblPr>
              <w:tblBorders>
                <w:top w:val="none" w:color="000000" w:sz="4"/>
                <w:left w:val="none" w:color="000000" w:sz="4"/>
                <w:bottom w:val="none" w:color="000000" w:sz="4"/>
                <w:right w:val="none" w:color="000000" w:sz="4"/>
                <w:insideH w:val="none"/>
                <w:insideV w:val="none"/>
              </w:tblBorders>
            </w:tblPr>
            <w:tblGrid>
              <w:gridCol w:w="539"/>
              <w:gridCol w:w="667"/>
              <w:gridCol w:w="1334"/>
            </w:tblGrid>
            <w:tr>
              <w:tc>
                <w:tcPr>
                  <w:tcW w:type="dxa" w:w="539"/>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right="120"/>
                    <w:jc w:val="center"/>
                  </w:pPr>
                  <w:r>
                    <w:rPr>
                      <w:rFonts w:ascii="仿宋_GB2312" w:hAnsi="仿宋_GB2312" w:cs="仿宋_GB2312" w:eastAsia="仿宋_GB2312"/>
                      <w:sz w:val="20"/>
                    </w:rPr>
                    <w:t>人</w:t>
                  </w:r>
                  <w:r>
                    <w:rPr>
                      <w:rFonts w:ascii="仿宋_GB2312" w:hAnsi="仿宋_GB2312" w:cs="仿宋_GB2312" w:eastAsia="仿宋_GB2312"/>
                      <w:sz w:val="20"/>
                    </w:rPr>
                    <w:t xml:space="preserve">  </w:t>
                  </w:r>
                  <w:r>
                    <w:rPr>
                      <w:rFonts w:ascii="仿宋_GB2312" w:hAnsi="仿宋_GB2312" w:cs="仿宋_GB2312" w:eastAsia="仿宋_GB2312"/>
                      <w:sz w:val="20"/>
                    </w:rPr>
                    <w:t>员</w:t>
                  </w:r>
                </w:p>
              </w:tc>
              <w:tc>
                <w:tcPr>
                  <w:tcW w:type="dxa" w:w="66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center"/>
                  </w:pPr>
                  <w:r>
                    <w:rPr>
                      <w:rFonts w:ascii="仿宋_GB2312" w:hAnsi="仿宋_GB2312" w:cs="仿宋_GB2312" w:eastAsia="仿宋_GB2312"/>
                      <w:sz w:val="20"/>
                    </w:rPr>
                    <w:t>最低数量要求</w:t>
                  </w:r>
                </w:p>
              </w:tc>
              <w:tc>
                <w:tcPr>
                  <w:tcW w:type="dxa" w:w="13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center"/>
                  </w:pPr>
                  <w:r>
                    <w:rPr>
                      <w:rFonts w:ascii="仿宋_GB2312" w:hAnsi="仿宋_GB2312" w:cs="仿宋_GB2312" w:eastAsia="仿宋_GB2312"/>
                      <w:sz w:val="20"/>
                    </w:rPr>
                    <w:t>任职资格</w:t>
                  </w:r>
                  <w:r>
                    <w:rPr>
                      <w:rFonts w:ascii="仿宋_GB2312" w:hAnsi="仿宋_GB2312" w:cs="仿宋_GB2312" w:eastAsia="仿宋_GB2312"/>
                      <w:sz w:val="20"/>
                    </w:rPr>
                    <w:t>最低</w:t>
                  </w:r>
                  <w:r>
                    <w:rPr>
                      <w:rFonts w:ascii="仿宋_GB2312" w:hAnsi="仿宋_GB2312" w:cs="仿宋_GB2312" w:eastAsia="仿宋_GB2312"/>
                      <w:sz w:val="20"/>
                    </w:rPr>
                    <w:t>要求</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right="120"/>
                    <w:jc w:val="center"/>
                  </w:pPr>
                  <w:r>
                    <w:rPr>
                      <w:rFonts w:ascii="仿宋_GB2312" w:hAnsi="仿宋_GB2312" w:cs="仿宋_GB2312" w:eastAsia="仿宋_GB2312"/>
                      <w:sz w:val="20"/>
                    </w:rPr>
                    <w:t>项目负责人</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center"/>
                  </w:pPr>
                  <w:r>
                    <w:rPr>
                      <w:rFonts w:ascii="仿宋_GB2312" w:hAnsi="仿宋_GB2312" w:cs="仿宋_GB2312" w:eastAsia="仿宋_GB2312"/>
                      <w:sz w:val="20"/>
                    </w:rPr>
                    <w:t>1</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left"/>
                  </w:pPr>
                  <w:r>
                    <w:rPr>
                      <w:rFonts w:ascii="仿宋_GB2312" w:hAnsi="仿宋_GB2312" w:cs="仿宋_GB2312" w:eastAsia="仿宋_GB2312"/>
                      <w:sz w:val="20"/>
                    </w:rPr>
                    <w:t>具有试验检测工程师资格证书，具有公路或桥梁专业</w:t>
                  </w:r>
                  <w:r>
                    <w:rPr>
                      <w:rFonts w:ascii="仿宋_GB2312" w:hAnsi="仿宋_GB2312" w:cs="仿宋_GB2312" w:eastAsia="仿宋_GB2312"/>
                      <w:sz w:val="20"/>
                    </w:rPr>
                    <w:t>高</w:t>
                  </w:r>
                  <w:r>
                    <w:rPr>
                      <w:rFonts w:ascii="仿宋_GB2312" w:hAnsi="仿宋_GB2312" w:cs="仿宋_GB2312" w:eastAsia="仿宋_GB2312"/>
                      <w:sz w:val="20"/>
                    </w:rPr>
                    <w:t>级及以上技术职称。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right="120"/>
                    <w:jc w:val="center"/>
                  </w:pPr>
                  <w:r>
                    <w:rPr>
                      <w:rFonts w:ascii="仿宋_GB2312" w:hAnsi="仿宋_GB2312" w:cs="仿宋_GB2312" w:eastAsia="仿宋_GB2312"/>
                      <w:sz w:val="20"/>
                    </w:rPr>
                    <w:t>技术负责人</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center"/>
                  </w:pPr>
                  <w:r>
                    <w:rPr>
                      <w:rFonts w:ascii="仿宋_GB2312" w:hAnsi="仿宋_GB2312" w:cs="仿宋_GB2312" w:eastAsia="仿宋_GB2312"/>
                      <w:sz w:val="20"/>
                    </w:rPr>
                    <w:t>1</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left"/>
                  </w:pPr>
                  <w:r>
                    <w:rPr>
                      <w:rFonts w:ascii="仿宋_GB2312" w:hAnsi="仿宋_GB2312" w:cs="仿宋_GB2312" w:eastAsia="仿宋_GB2312"/>
                      <w:sz w:val="20"/>
                    </w:rPr>
                    <w:t>具有试验检测工程师资格证书，具有公路或桥梁专业</w:t>
                  </w:r>
                  <w:r>
                    <w:rPr>
                      <w:rFonts w:ascii="仿宋_GB2312" w:hAnsi="仿宋_GB2312" w:cs="仿宋_GB2312" w:eastAsia="仿宋_GB2312"/>
                      <w:sz w:val="20"/>
                    </w:rPr>
                    <w:t>高</w:t>
                  </w:r>
                  <w:r>
                    <w:rPr>
                      <w:rFonts w:ascii="仿宋_GB2312" w:hAnsi="仿宋_GB2312" w:cs="仿宋_GB2312" w:eastAsia="仿宋_GB2312"/>
                      <w:sz w:val="20"/>
                    </w:rPr>
                    <w:t>级及以上技术职称。</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right="120"/>
                    <w:jc w:val="center"/>
                  </w:pPr>
                  <w:r>
                    <w:rPr>
                      <w:rFonts w:ascii="仿宋_GB2312" w:hAnsi="仿宋_GB2312" w:cs="仿宋_GB2312" w:eastAsia="仿宋_GB2312"/>
                      <w:sz w:val="20"/>
                    </w:rPr>
                    <w:t>试验检测工程师</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center"/>
                  </w:pPr>
                  <w:r>
                    <w:rPr>
                      <w:rFonts w:ascii="仿宋_GB2312" w:hAnsi="仿宋_GB2312" w:cs="仿宋_GB2312" w:eastAsia="仿宋_GB2312"/>
                      <w:sz w:val="20"/>
                    </w:rPr>
                    <w:t>2</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left"/>
                  </w:pPr>
                  <w:r>
                    <w:rPr>
                      <w:rFonts w:ascii="仿宋_GB2312" w:hAnsi="仿宋_GB2312" w:cs="仿宋_GB2312" w:eastAsia="仿宋_GB2312"/>
                      <w:sz w:val="20"/>
                    </w:rPr>
                    <w:t>具有试验检测工程师资格证书，具有中级及以上技术职称</w:t>
                  </w:r>
                  <w:r>
                    <w:rPr>
                      <w:rFonts w:ascii="仿宋_GB2312" w:hAnsi="仿宋_GB2312" w:cs="仿宋_GB2312" w:eastAsia="仿宋_GB2312"/>
                      <w:sz w:val="20"/>
                    </w:rPr>
                    <w:t>，</w:t>
                  </w:r>
                  <w:r>
                    <w:rPr>
                      <w:rFonts w:ascii="仿宋_GB2312" w:hAnsi="仿宋_GB2312" w:cs="仿宋_GB2312" w:eastAsia="仿宋_GB2312"/>
                      <w:sz w:val="20"/>
                    </w:rPr>
                    <w:t>有</w:t>
                  </w:r>
                  <w:r>
                    <w:rPr>
                      <w:rFonts w:ascii="仿宋_GB2312" w:hAnsi="仿宋_GB2312" w:cs="仿宋_GB2312" w:eastAsia="仿宋_GB2312"/>
                      <w:sz w:val="20"/>
                    </w:rPr>
                    <w:t>3年以上检测工作经验。</w:t>
                  </w:r>
                </w:p>
              </w:tc>
            </w:tr>
            <w:tr>
              <w:tc>
                <w:tcPr>
                  <w:tcW w:type="dxa" w:w="539"/>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right="120"/>
                    <w:jc w:val="center"/>
                  </w:pPr>
                  <w:r>
                    <w:rPr>
                      <w:rFonts w:ascii="仿宋_GB2312" w:hAnsi="仿宋_GB2312" w:cs="仿宋_GB2312" w:eastAsia="仿宋_GB2312"/>
                      <w:sz w:val="20"/>
                    </w:rPr>
                    <w:t>助理</w:t>
                  </w:r>
                  <w:r>
                    <w:rPr>
                      <w:rFonts w:ascii="仿宋_GB2312" w:hAnsi="仿宋_GB2312" w:cs="仿宋_GB2312" w:eastAsia="仿宋_GB2312"/>
                      <w:sz w:val="20"/>
                    </w:rPr>
                    <w:t>试验检测</w:t>
                  </w:r>
                  <w:r>
                    <w:rPr>
                      <w:rFonts w:ascii="仿宋_GB2312" w:hAnsi="仿宋_GB2312" w:cs="仿宋_GB2312" w:eastAsia="仿宋_GB2312"/>
                      <w:sz w:val="20"/>
                    </w:rPr>
                    <w:t>师</w:t>
                  </w:r>
                </w:p>
              </w:tc>
              <w:tc>
                <w:tcPr>
                  <w:tcW w:type="dxa" w:w="667"/>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center"/>
                  </w:pPr>
                  <w:r>
                    <w:rPr>
                      <w:rFonts w:ascii="仿宋_GB2312" w:hAnsi="仿宋_GB2312" w:cs="仿宋_GB2312" w:eastAsia="仿宋_GB2312"/>
                      <w:sz w:val="20"/>
                    </w:rPr>
                    <w:t>4</w:t>
                  </w:r>
                </w:p>
              </w:tc>
              <w:tc>
                <w:tcPr>
                  <w:tcW w:type="dxa" w:w="13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spacing w:before="150" w:after="150"/>
                    <w:ind w:left="120" w:right="120"/>
                    <w:jc w:val="left"/>
                  </w:pPr>
                  <w:r>
                    <w:rPr>
                      <w:rFonts w:ascii="仿宋_GB2312" w:hAnsi="仿宋_GB2312" w:cs="仿宋_GB2312" w:eastAsia="仿宋_GB2312"/>
                      <w:sz w:val="20"/>
                    </w:rPr>
                    <w:t>具有试验检测员资格证书，具有相关专业初级及以上技术职称，有</w:t>
                  </w:r>
                  <w:r>
                    <w:rPr>
                      <w:rFonts w:ascii="仿宋_GB2312" w:hAnsi="仿宋_GB2312" w:cs="仿宋_GB2312" w:eastAsia="仿宋_GB2312"/>
                      <w:sz w:val="20"/>
                    </w:rPr>
                    <w:t>3年以上检测工作经验。</w:t>
                  </w:r>
                </w:p>
              </w:tc>
            </w:tr>
          </w:tbl>
          <w:p>
            <w:pPr>
              <w:pStyle w:val="null3"/>
              <w:ind w:firstLine="482"/>
              <w:jc w:val="both"/>
            </w:pPr>
            <w:r>
              <w:rPr>
                <w:rFonts w:ascii="仿宋_GB2312" w:hAnsi="仿宋_GB2312" w:cs="仿宋_GB2312" w:eastAsia="仿宋_GB2312"/>
                <w:sz w:val="24"/>
                <w:b/>
              </w:rPr>
              <w:t>六</w:t>
            </w:r>
            <w:r>
              <w:rPr>
                <w:rFonts w:ascii="仿宋_GB2312" w:hAnsi="仿宋_GB2312" w:cs="仿宋_GB2312" w:eastAsia="仿宋_GB2312"/>
                <w:sz w:val="24"/>
                <w:b/>
              </w:rPr>
              <w:t>、检测设备仪器要求</w:t>
            </w:r>
          </w:p>
          <w:p>
            <w:pPr>
              <w:pStyle w:val="null3"/>
              <w:ind w:firstLine="480"/>
              <w:jc w:val="both"/>
            </w:pPr>
            <w:r>
              <w:rPr>
                <w:rFonts w:ascii="仿宋_GB2312" w:hAnsi="仿宋_GB2312" w:cs="仿宋_GB2312" w:eastAsia="仿宋_GB2312"/>
                <w:sz w:val="24"/>
              </w:rPr>
              <w:t>供应商应具备不限于以下表格所列的主要检测设备及仪器。</w:t>
            </w:r>
          </w:p>
          <w:p>
            <w:pPr>
              <w:pStyle w:val="null3"/>
              <w:jc w:val="center"/>
            </w:pPr>
            <w:r>
              <w:rPr>
                <w:rFonts w:ascii="仿宋_GB2312" w:hAnsi="仿宋_GB2312" w:cs="仿宋_GB2312" w:eastAsia="仿宋_GB2312"/>
                <w:sz w:val="24"/>
                <w:b/>
              </w:rPr>
              <w:t>配备的主要仪器设备表</w:t>
            </w:r>
          </w:p>
          <w:tbl>
            <w:tblPr>
              <w:tblInd w:type="dxa" w:w="495"/>
              <w:tblBorders>
                <w:top w:val="none" w:color="000000" w:sz="4"/>
                <w:left w:val="none" w:color="000000" w:sz="4"/>
                <w:bottom w:val="none" w:color="000000" w:sz="4"/>
                <w:right w:val="none" w:color="000000" w:sz="4"/>
                <w:insideH w:val="none"/>
                <w:insideV w:val="none"/>
              </w:tblBorders>
            </w:tblPr>
            <w:tblGrid>
              <w:gridCol w:w="171"/>
              <w:gridCol w:w="1576"/>
              <w:gridCol w:w="406"/>
              <w:gridCol w:w="308"/>
              <w:gridCol w:w="91"/>
            </w:tblGrid>
            <w:tr>
              <w:tc>
                <w:tcPr>
                  <w:tcW w:type="dxa" w:w="171"/>
                  <w:vMerge w:val="restart"/>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57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设备仪器名称</w:t>
                  </w:r>
                </w:p>
              </w:tc>
              <w:tc>
                <w:tcPr>
                  <w:tcW w:type="dxa" w:w="406"/>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spacing w:before="120"/>
                    <w:jc w:val="center"/>
                  </w:pPr>
                  <w:r>
                    <w:rPr>
                      <w:rFonts w:ascii="仿宋_GB2312" w:hAnsi="仿宋_GB2312" w:cs="仿宋_GB2312" w:eastAsia="仿宋_GB2312"/>
                      <w:sz w:val="24"/>
                      <w:b/>
                    </w:rPr>
                    <w:t>单位</w:t>
                  </w:r>
                </w:p>
              </w:tc>
              <w:tc>
                <w:tcPr>
                  <w:tcW w:type="dxa" w:w="308"/>
                  <w:vMerge w:val="restart"/>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数量</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vMerge/>
                  <w:tcBorders>
                    <w:top w:val="single" w:color="000000" w:sz="4"/>
                    <w:left w:val="single" w:color="000000" w:sz="4"/>
                    <w:bottom w:val="single" w:color="000000" w:sz="4"/>
                    <w:right w:val="single" w:color="000000" w:sz="4"/>
                  </w:tcBorders>
                </w:tcPr>
                <w:p/>
              </w:tc>
              <w:tc>
                <w:tcPr>
                  <w:tcW w:type="dxa" w:w="1576"/>
                  <w:vMerge/>
                  <w:tcBorders>
                    <w:top w:val="single" w:color="000000" w:sz="4"/>
                    <w:left w:val="none" w:color="000000" w:sz="4"/>
                    <w:bottom w:val="single" w:color="000000" w:sz="4"/>
                    <w:right w:val="single" w:color="000000" w:sz="4"/>
                  </w:tcBorders>
                </w:tcPr>
                <w:p/>
              </w:tc>
              <w:tc>
                <w:tcPr>
                  <w:tcW w:type="dxa" w:w="406"/>
                  <w:vMerge/>
                  <w:tcBorders>
                    <w:top w:val="single" w:color="000000" w:sz="4"/>
                    <w:left w:val="none" w:color="000000" w:sz="4"/>
                    <w:bottom w:val="single" w:color="000000" w:sz="4"/>
                    <w:right w:val="single" w:color="000000" w:sz="4"/>
                  </w:tcBorders>
                </w:tcPr>
                <w:p/>
              </w:tc>
              <w:tc>
                <w:tcPr>
                  <w:tcW w:type="dxa" w:w="308"/>
                  <w:vMerge/>
                  <w:tcBorders>
                    <w:top w:val="single" w:color="000000" w:sz="4"/>
                    <w:left w:val="none" w:color="000000" w:sz="4"/>
                    <w:bottom w:val="single" w:color="000000" w:sz="4"/>
                    <w:right w:val="single" w:color="000000" w:sz="4"/>
                  </w:tcBorders>
                </w:tcP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贝克曼梁弯沉仪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路面取芯机（带钻头）</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钢筋位置及保护层厚度测定仪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回弹仪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锚杆拉拔仪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地质雷达</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断面仪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构造深度测定仪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套</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红外线测温仪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反光标线逆反射系数测定仪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标线厚度测定仪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磁性涂层测厚仪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万能试验机</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压力试验机</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只</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水泥胶砂抗压抗折一体机</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洛杉矶磨耗试验机</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17</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沥青针入度仪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18</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针入度循环水浴</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19</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沥青软化点仪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20</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调温调速沥青延伸度测定仪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21</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沥青薄膜烘箱</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22</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运动粘度仪（布氏旋转粘度计）</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23</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沥青含量离心抽提仪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24</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马歇尔自动击实仪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25</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马歇尔稳定度仪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r>
              <w:tc>
                <w:tcPr>
                  <w:tcW w:type="dxa" w:w="1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26</w:t>
                  </w:r>
                </w:p>
              </w:tc>
              <w:tc>
                <w:tcPr>
                  <w:tcW w:type="dxa" w:w="15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最大理论密度试验仪</w:t>
                  </w:r>
                </w:p>
              </w:tc>
              <w:tc>
                <w:tcPr>
                  <w:tcW w:type="dxa" w:w="40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台</w:t>
                  </w:r>
                </w:p>
              </w:tc>
              <w:tc>
                <w:tcPr>
                  <w:tcW w:type="dxa" w:w="3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91"/>
                  <w:tcBorders>
                    <w:top w:val="none" w:color="000000" w:sz="4"/>
                    <w:left w:val="none" w:color="000000" w:sz="4"/>
                    <w:bottom w:val="none" w:color="000000" w:sz="4"/>
                    <w:right w:val="none" w:color="000000" w:sz="4"/>
                  </w:tcBorders>
                  <w:tcMar>
                    <w:top w:type="dxa" w:w="0"/>
                    <w:left w:type="dxa" w:w="105"/>
                    <w:bottom w:type="dxa" w:w="0"/>
                    <w:right w:type="dxa" w:w="105"/>
                  </w:tcMar>
                  <w:vAlign w:val="top"/>
                </w:tcPr>
                <w:p>
                  <w:pPr>
                    <w:pStyle w:val="null3"/>
                  </w:pPr>
                  <w:r>
                    <w:rPr>
                      <w:rFonts w:ascii="仿宋_GB2312" w:hAnsi="仿宋_GB2312" w:cs="仿宋_GB2312" w:eastAsia="仿宋_GB2312"/>
                      <w:sz w:val="19"/>
                    </w:rPr>
                    <w:t xml:space="preserve"> </w:t>
                  </w:r>
                </w:p>
              </w:tc>
            </w:tr>
          </w:tbl>
          <w:p>
            <w:pPr>
              <w:pStyle w:val="null3"/>
              <w:ind w:firstLine="241"/>
              <w:jc w:val="both"/>
            </w:pPr>
            <w:r>
              <w:rPr>
                <w:rFonts w:ascii="仿宋_GB2312" w:hAnsi="仿宋_GB2312" w:cs="仿宋_GB2312" w:eastAsia="仿宋_GB2312"/>
                <w:sz w:val="24"/>
                <w:b/>
              </w:rPr>
              <w:t>7、服务、产品（如有）执行的标准、规范：</w:t>
            </w:r>
          </w:p>
          <w:p>
            <w:pPr>
              <w:pStyle w:val="null3"/>
              <w:ind w:firstLine="420"/>
              <w:jc w:val="both"/>
            </w:pPr>
            <w:r>
              <w:rPr>
                <w:rFonts w:ascii="仿宋_GB2312" w:hAnsi="仿宋_GB2312" w:cs="仿宋_GB2312" w:eastAsia="仿宋_GB2312"/>
                <w:sz w:val="24"/>
              </w:rPr>
              <w:t>7.1</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1）国家标准、规范；</w:t>
            </w:r>
          </w:p>
          <w:p>
            <w:pPr>
              <w:pStyle w:val="null3"/>
              <w:ind w:firstLine="420"/>
              <w:jc w:val="both"/>
            </w:pPr>
            <w:r>
              <w:rPr>
                <w:rFonts w:ascii="仿宋_GB2312" w:hAnsi="仿宋_GB2312" w:cs="仿宋_GB2312" w:eastAsia="仿宋_GB2312"/>
                <w:sz w:val="24"/>
              </w:rPr>
              <w:t>（</w:t>
            </w:r>
            <w:r>
              <w:rPr>
                <w:rFonts w:ascii="仿宋_GB2312" w:hAnsi="仿宋_GB2312" w:cs="仿宋_GB2312" w:eastAsia="仿宋_GB2312"/>
                <w:sz w:val="24"/>
              </w:rPr>
              <w:t>2）行业标准、规范；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3）地方标准、规范；</w:t>
            </w:r>
          </w:p>
          <w:p>
            <w:pPr>
              <w:pStyle w:val="null3"/>
              <w:ind w:firstLine="480"/>
              <w:jc w:val="both"/>
            </w:pPr>
            <w:r>
              <w:rPr>
                <w:rFonts w:ascii="仿宋_GB2312" w:hAnsi="仿宋_GB2312" w:cs="仿宋_GB2312" w:eastAsia="仿宋_GB2312"/>
                <w:sz w:val="24"/>
              </w:rPr>
              <w:t>（</w:t>
            </w:r>
            <w:r>
              <w:rPr>
                <w:rFonts w:ascii="仿宋_GB2312" w:hAnsi="仿宋_GB2312" w:cs="仿宋_GB2312" w:eastAsia="仿宋_GB2312"/>
                <w:sz w:val="24"/>
              </w:rPr>
              <w:t>4）企业标准、规范。</w:t>
            </w:r>
          </w:p>
          <w:p>
            <w:pPr>
              <w:pStyle w:val="null3"/>
              <w:ind w:firstLine="480"/>
              <w:jc w:val="both"/>
            </w:pPr>
            <w:r>
              <w:rPr>
                <w:rFonts w:ascii="仿宋_GB2312" w:hAnsi="仿宋_GB2312" w:cs="仿宋_GB2312" w:eastAsia="仿宋_GB2312"/>
                <w:sz w:val="24"/>
              </w:rPr>
              <w:t>7.2 本章7.1条未明确服务（产品）执行标准、规范的，按下列方法进行选择：</w:t>
            </w:r>
          </w:p>
          <w:p>
            <w:pPr>
              <w:pStyle w:val="null3"/>
              <w:ind w:left="960"/>
              <w:jc w:val="both"/>
            </w:pPr>
            <w:r>
              <w:rPr>
                <w:rFonts w:ascii="仿宋_GB2312" w:hAnsi="仿宋_GB2312" w:cs="仿宋_GB2312" w:eastAsia="仿宋_GB2312"/>
              </w:rPr>
              <w:t xml:space="preserve">       </w:t>
            </w:r>
            <w:r>
              <w:rPr>
                <w:rFonts w:ascii="仿宋_GB2312" w:hAnsi="仿宋_GB2312" w:cs="仿宋_GB2312" w:eastAsia="仿宋_GB2312"/>
                <w:sz w:val="24"/>
              </w:rPr>
              <w:t>□</w:t>
            </w:r>
            <w:r>
              <w:rPr>
                <w:rFonts w:ascii="仿宋_GB2312" w:hAnsi="仿宋_GB2312" w:cs="仿宋_GB2312" w:eastAsia="仿宋_GB2312"/>
                <w:sz w:val="24"/>
              </w:rPr>
              <w:t xml:space="preserve"> </w:t>
            </w:r>
            <w:r>
              <w:rPr>
                <w:rFonts w:ascii="仿宋_GB2312" w:hAnsi="仿宋_GB2312" w:cs="仿宋_GB2312" w:eastAsia="仿宋_GB2312"/>
                <w:sz w:val="24"/>
              </w:rPr>
              <w:t>顺序执行：国家标准</w:t>
            </w:r>
            <w:r>
              <w:rPr>
                <w:rFonts w:ascii="仿宋_GB2312" w:hAnsi="仿宋_GB2312" w:cs="仿宋_GB2312" w:eastAsia="仿宋_GB2312"/>
                <w:sz w:val="24"/>
              </w:rPr>
              <w:t>→行业标准→地方标准→企业标准（有国家标准按国家标准执行，没有国家标准按行业标准，以此类推）；</w:t>
            </w:r>
          </w:p>
          <w:p>
            <w:pPr>
              <w:pStyle w:val="null3"/>
              <w:ind w:left="960"/>
              <w:jc w:val="both"/>
            </w:pPr>
            <w:r>
              <w:rPr>
                <w:rFonts w:ascii="仿宋_GB2312" w:hAnsi="仿宋_GB2312" w:cs="仿宋_GB2312" w:eastAsia="仿宋_GB2312"/>
              </w:rPr>
              <w:t xml:space="preserve">       </w:t>
            </w:r>
            <w:r>
              <w:rPr>
                <w:rFonts w:ascii="仿宋_GB2312" w:hAnsi="仿宋_GB2312" w:cs="仿宋_GB2312" w:eastAsia="仿宋_GB2312"/>
                <w:sz w:val="24"/>
              </w:rPr>
              <w:t>□ 最高标准执行：国家标准，行业标准，地方标准，企业标准（</w:t>
            </w:r>
            <w:r>
              <w:rPr>
                <w:rFonts w:ascii="仿宋_GB2312" w:hAnsi="仿宋_GB2312" w:cs="仿宋_GB2312" w:eastAsia="仿宋_GB2312"/>
                <w:sz w:val="24"/>
              </w:rPr>
              <w:t>哪</w:t>
            </w:r>
            <w:r>
              <w:rPr>
                <w:rFonts w:ascii="仿宋_GB2312" w:hAnsi="仿宋_GB2312" w:cs="仿宋_GB2312" w:eastAsia="仿宋_GB2312"/>
                <w:sz w:val="24"/>
              </w:rPr>
              <w:t>个标准高执行</w:t>
            </w:r>
            <w:r>
              <w:rPr>
                <w:rFonts w:ascii="仿宋_GB2312" w:hAnsi="仿宋_GB2312" w:cs="仿宋_GB2312" w:eastAsia="仿宋_GB2312"/>
                <w:sz w:val="24"/>
              </w:rPr>
              <w:t>哪</w:t>
            </w:r>
            <w:r>
              <w:rPr>
                <w:rFonts w:ascii="仿宋_GB2312" w:hAnsi="仿宋_GB2312" w:cs="仿宋_GB2312" w:eastAsia="仿宋_GB2312"/>
                <w:sz w:val="24"/>
              </w:rPr>
              <w:t>个标准）</w:t>
            </w:r>
          </w:p>
          <w:p>
            <w:pPr>
              <w:pStyle w:val="null3"/>
            </w:pPr>
            <w:r>
              <w:rPr>
                <w:rFonts w:ascii="仿宋_GB2312" w:hAnsi="仿宋_GB2312" w:cs="仿宋_GB2312" w:eastAsia="仿宋_GB2312"/>
                <w:sz w:val="24"/>
              </w:rPr>
              <w:t>√必须执行：国家（行业）强制性标准。</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满足项目采购要求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合同生效后至2026年12月31日（根据项目进展情况，服务期最晚延伸至2027年6月30日）</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乙方完成合同约定的全部内容后，应向甲方提交书面的服务成果报告及验收申请。同时向甲方提交项目实施过程中的所有资料,以便甲方日后管理和维护该项目。乙方提交的各项成果资料均应满足国家现行的相关技术标准、规范、规程等以及我省公路管理相关规定. （二）甲方收到乙方的验收申请后，组织乙方（必要时请有关专家）进行项目验收。乙方提交合同履约情况总结报告，并经甲方确认。验收合格后，填写项目验收单作为对项目的最终认可。 （三）验收依据：①本合同及附件文本；②竞争性磋商文件、磋商响应文件、澄清表（函）；③国家相应的标准、规范。 技术审查、验收不合格的限期整改，整改过程中产生的一切费用和损失由乙方承担。整改超过二次的，甲方有权单方解除本合同，乙方应无条件退还已收取的全部合同价款，给甲方造成损失的应予以赔偿，且乙方应按合同总金额的10%向甲方支付违约金。</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p>
    <w:p>
      <w:pPr>
        <w:pStyle w:val="null3"/>
        <w:ind w:firstLine="1200"/>
      </w:pPr>
      <w:r>
        <w:rPr>
          <w:rFonts w:ascii="仿宋_GB2312" w:hAnsi="仿宋_GB2312" w:cs="仿宋_GB2312" w:eastAsia="仿宋_GB2312"/>
        </w:rPr>
        <w:t>1、</w:t>
      </w:r>
      <w:r>
        <w:rPr>
          <w:rFonts w:ascii="仿宋_GB2312" w:hAnsi="仿宋_GB2312" w:cs="仿宋_GB2312" w:eastAsia="仿宋_GB2312"/>
        </w:rPr>
        <w:t>进度款，合同签订后，甲方收到乙方提交的履约保证金及合规有效的增值税普通发票之日起，达到付款条件起15个工作日内，支付合同总金额的60.0%</w:t>
      </w:r>
    </w:p>
    <w:p>
      <w:pPr>
        <w:pStyle w:val="null3"/>
        <w:ind w:firstLine="1200"/>
      </w:pPr>
      <w:r>
        <w:rPr>
          <w:rFonts w:ascii="仿宋_GB2312" w:hAnsi="仿宋_GB2312" w:cs="仿宋_GB2312" w:eastAsia="仿宋_GB2312"/>
        </w:rPr>
        <w:t>2、</w:t>
      </w:r>
      <w:r>
        <w:rPr>
          <w:rFonts w:ascii="仿宋_GB2312" w:hAnsi="仿宋_GB2312" w:cs="仿宋_GB2312" w:eastAsia="仿宋_GB2312"/>
        </w:rPr>
        <w:t>进度款，乙方提交项目初步成果并经甲方确认满足要求之日起，达到付款条件起15个工作日内，支付合同总金额的40.0%</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（一）甲乙双方必须遵守本合同并执行合同中的各项规定，保证本合同的正常履行。 （二）如因乙方工作人员在履行职务过程中的疏忽、失职、过错等故意或者过失原因给甲方造成损失或侵害，包括但不限于甲方本身的财产损失、由此而导致的甲方对任何第三方的法律责任等，乙方对此均应承担全部的赔偿责任。 （三）因省财政年度预算拨款等政策要求，甲方向乙方支付全部合同价款不视为双方合同履约结束，乙方仍应按照合同约定，完成全部工作内容，否则将视为乙方存在严重失信行为，甲方将上报省财政厅，将乙方列入信用“黑名单”，并在“中国政府采购网”“信用中国”等网站公示；同时甲方保留要求乙方退还合同价款、赔偿损失的权利。 （四）乙方逾期完成服务的，每逾期一日，向甲方承担合同总价款0.05%的违约金，违约金不超过合同总价款的5%。逾期超60日的，甲方有权单方解除本合同且保留追究乙方违约责任的权利，给甲方造成损失的，乙方还应予以赔偿。 （五）乙方应保证其提交的服务成果不存在侵犯他人权益的情形，否则，因此引发的责任及纠纷由乙方承担，对甲方造成损失的，乙方应予以赔偿，此外，乙方还应向甲方承担合同总价款5%的违约金。 （六）乙方应对其服务及服务成果的合法性、科学性、有效性、客观性、真实性负责，否则，相关责任及纠纷由乙方承担，对甲方造成损失的，乙方应予赔偿，此外，乙方还应向甲方承担合同总价款5%的违约金。 （七）乙方在为甲方提供服务过程中所产生的所有成果，包括但不限于报告、方案、设计、软件等，其知识产权归甲方所有。未经甲方同意，乙方不得将其给予本项目无关的第三方使用。乙方对于甲方提供的一切信息及资料负有严格的保密义务，不得以任何名义以此进行牟利活动，不得发表，也不得向任何第三方透露，否则应赔偿由此给甲方造成的损失。 （八）乙方有责任和义务进行经常性的保密教育和检查，落实各项保密措施，使所属人员知悉与其工作有关的保密范围和各项保密制度。一旦发生泄密涉密事件，乙方应赔偿由此给甲方造成的损失，此外，乙方还应向甲方承担合同总价款5%的违约金。 （九）若乙方违反合同约定，除按照合同约定承担违约金外，对甲方造成损失的，乙方还应予以赔偿。若合同因乙方违约导致解除的，乙方除应承担违约责任赔偿甲方损失外，已收的款项应退还甲方。甲方因乙方违约而产生的维权费用，包括但不限于诉讼费、律师费、保全费、鉴定费、评估费、公证费、差旅费等费用，均由乙方承担。</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1、因本项目采购内容为服务，故不涉及采购产品认证证书等。故磋商文件中所要求有关采购产品认证证书以及产品品牌等描述及要求无需提供和响应。 2、中标供应商在领取中标通知书前向代理机构提供纸质版磋商响应文件（磋商响应文件必须与在陕西省政府采购综合管理平台的项目电子化交易系统中递交的电子响应文件内容一致），磋商响应文件为正本一份，副本二份，电子U盘二个（U盘内容包括Word版本、签字盖章扫描后的PDF版本响应文件）。纸质响应文件均须A4纸打印，分别各自装订成册并编制目录和页码。 3、本项目所属行业为：其他未列明行业。 4、供应商的投标报价是供应商响应项目要求的全部工作内容的价格体现，包括但不限于供应商完成本项目的人工费、服务费、管理费、验收费、资料费、采购代理服务费、利润和税费；在提供服务的过程中的任何遗漏，均由成交供应商免费提供，采购人将不再支付任何费用。 5、如磋商文件中融资相关内容与新政策要求有出入，按照最新要求执行。 6、投标保证金退还时间：开标结束后采购代理机构5日内向未成交供应商无息退还投标保证金至供应商缴纳投标保证金时的基本户，采购人与成交供应商合同签订后5日内退还其保证金。</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资格审查由采购人或代理机构组建的资格审查小组依据法律法规和磋商文件的规定，对响应文件中的资格证明等进行审查，以确定供应商是否具备投标资格，并出具资格审查报告。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1.营业执照：有独立承担民事责任能力的法人、其他组织或自然人，供应商是法人或其他组织的应提供营业执照等证明文件，自然人提供有效的自然人身份证明； 2.完税证明：供应商须提供投标截止时间前一年内，已缴纳的任意一个月的纳税证明或完税证明，纳税证明或完税证明上应有代收机构或税务机关的公章或业务专用章，依法免税的供应商应提供相关文件证明； 3.社保缴纳凭证：投标截止时间前一年内，已缴存的任意一个月的社会保障资金缴存单据或社保机构开具的社会保险参保缴费情况证明，单据或证明上应有社保机构或代收机构的公章或业务专用章。依法不需要缴纳社会保障资金的供应商应提供相关文件证明； 4.无重大违法记录的书面声明：提供参加政府采购活动前三年内，在经营活动中没有重大违法记录的书面声明； 5.履约声明：具有履行合同所必需的设备和专业技术能力的书面声明；。</w:t>
            </w:r>
          </w:p>
        </w:tc>
        <w:tc>
          <w:tcPr>
            <w:tcW w:type="dxa" w:w="1661"/>
          </w:tcPr>
          <w:p>
            <w:pPr>
              <w:pStyle w:val="null3"/>
            </w:pPr>
            <w:r>
              <w:rPr>
                <w:rFonts w:ascii="仿宋_GB2312" w:hAnsi="仿宋_GB2312" w:cs="仿宋_GB2312" w:eastAsia="仿宋_GB2312"/>
              </w:rPr>
              <w:t>服务内容及服务邀请应答表 供应商应提交的相关资格证明材料 供应商资格证明文件.docx 响应函 供应商认为有必要补充的事项.docx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财务状况报告：供应商须提供2024或2025年度经审计的财务报告（包括“四表一注”即《资产负债表》《利润表》《现金流量表》《所有者权益变动表》及其附注；成立时间至提交磋商响应文件截止时间不足一年的可提供成立后任意时段的资产负债表）或基本存款账户开户银行出具的资信证明（资信证明需提供 投标截止时间前6个月内）及基本存款账户开户许可证（基本账户信息）；</w:t>
            </w:r>
          </w:p>
        </w:tc>
        <w:tc>
          <w:tcPr>
            <w:tcW w:type="dxa" w:w="1661"/>
          </w:tcPr>
          <w:p>
            <w:pPr>
              <w:pStyle w:val="null3"/>
            </w:pPr>
            <w:r>
              <w:rPr>
                <w:rFonts w:ascii="仿宋_GB2312" w:hAnsi="仿宋_GB2312" w:cs="仿宋_GB2312" w:eastAsia="仿宋_GB2312"/>
              </w:rPr>
              <w:t>供应商应提交的相关资格证明材料 供应商资格证明文件.docx 供应商认为有必要补充的事项.docx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供应商资格证明文件.docx 响应函 供应商认为有必要补充的事项.docx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法定代表人授权书(附法定代表人、被授权人身份证复印件)及被授权人身份证复印件(法定代表人直接参加投标的，须提供法定代表人身份证明及身份证复印件)；非法人单位参照执行。</w:t>
            </w:r>
          </w:p>
        </w:tc>
        <w:tc>
          <w:tcPr>
            <w:tcW w:type="dxa" w:w="1661"/>
          </w:tcPr>
          <w:p>
            <w:pPr>
              <w:pStyle w:val="null3"/>
            </w:pPr>
            <w:r>
              <w:rPr>
                <w:rFonts w:ascii="仿宋_GB2312" w:hAnsi="仿宋_GB2312" w:cs="仿宋_GB2312" w:eastAsia="仿宋_GB2312"/>
              </w:rPr>
              <w:t>服务内容及服务邀请应答表 供应商资格证明文件.docx 供应商认为有必要补充的事项.docx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供应商关联关系声明</w:t>
            </w:r>
          </w:p>
        </w:tc>
        <w:tc>
          <w:tcPr>
            <w:tcW w:type="dxa" w:w="3322"/>
          </w:tcPr>
          <w:p>
            <w:pPr>
              <w:pStyle w:val="null3"/>
            </w:pPr>
            <w:r>
              <w:rPr>
                <w:rFonts w:ascii="仿宋_GB2312" w:hAnsi="仿宋_GB2312" w:cs="仿宋_GB2312" w:eastAsia="仿宋_GB2312"/>
              </w:rPr>
              <w:t>供应商关联关系声明：单位负责人为同一人或者存在直接控股、管理关系的不同供应商，不得参加同一项目的招标活动。（提供承诺书）</w:t>
            </w:r>
          </w:p>
        </w:tc>
        <w:tc>
          <w:tcPr>
            <w:tcW w:type="dxa" w:w="1661"/>
          </w:tcPr>
          <w:p>
            <w:pPr>
              <w:pStyle w:val="null3"/>
            </w:pPr>
            <w:r>
              <w:rPr>
                <w:rFonts w:ascii="仿宋_GB2312" w:hAnsi="仿宋_GB2312" w:cs="仿宋_GB2312" w:eastAsia="仿宋_GB2312"/>
              </w:rPr>
              <w:t>供应商资格证明文件.docx 供应商认为有必要补充的事项.docx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信用查询</w:t>
            </w:r>
          </w:p>
        </w:tc>
        <w:tc>
          <w:tcPr>
            <w:tcW w:type="dxa" w:w="3322"/>
          </w:tcPr>
          <w:p>
            <w:pPr>
              <w:pStyle w:val="null3"/>
            </w:pPr>
            <w:r>
              <w:rPr>
                <w:rFonts w:ascii="仿宋_GB2312" w:hAnsi="仿宋_GB2312" w:cs="仿宋_GB2312" w:eastAsia="仿宋_GB2312"/>
              </w:rPr>
              <w:t>信用查询：供应商未被“信用中国”网站（www.creditchina.gov.cn）中列入失信被执行人和重大税收违法案件当事人名单，在中国政府采购网（www.ccgp.gov.cn）政府采购严重违法失信行为记录名单中未被财政部门禁止参加政府采购活动的供应商。</w:t>
            </w:r>
          </w:p>
        </w:tc>
        <w:tc>
          <w:tcPr>
            <w:tcW w:type="dxa" w:w="1661"/>
          </w:tcPr>
          <w:p>
            <w:pPr>
              <w:pStyle w:val="null3"/>
            </w:pPr>
            <w:r>
              <w:rPr>
                <w:rFonts w:ascii="仿宋_GB2312" w:hAnsi="仿宋_GB2312" w:cs="仿宋_GB2312" w:eastAsia="仿宋_GB2312"/>
              </w:rPr>
              <w:t>服务内容及服务邀请应答表 供应商资格证明文件.docx 供应商认为有必要补充的事项.docx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企业资质</w:t>
            </w:r>
          </w:p>
        </w:tc>
        <w:tc>
          <w:tcPr>
            <w:tcW w:type="dxa" w:w="3322"/>
          </w:tcPr>
          <w:p>
            <w:pPr>
              <w:pStyle w:val="null3"/>
            </w:pPr>
            <w:r>
              <w:rPr>
                <w:rFonts w:ascii="仿宋_GB2312" w:hAnsi="仿宋_GB2312" w:cs="仿宋_GB2312" w:eastAsia="仿宋_GB2312"/>
              </w:rPr>
              <w:t>供应商须具有行政主管部门颁发的公路水运工程质量检测机构公路工程甲级资质或公路工程试验检测综合甲级资质。</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非联合体声明</w:t>
            </w:r>
          </w:p>
        </w:tc>
        <w:tc>
          <w:tcPr>
            <w:tcW w:type="dxa" w:w="3322"/>
          </w:tcPr>
          <w:p>
            <w:pPr>
              <w:pStyle w:val="null3"/>
            </w:pPr>
            <w:r>
              <w:rPr>
                <w:rFonts w:ascii="仿宋_GB2312" w:hAnsi="仿宋_GB2312" w:cs="仿宋_GB2312" w:eastAsia="仿宋_GB2312"/>
              </w:rPr>
              <w:t>不允许组成联合体投标。（提供承诺书）</w:t>
            </w:r>
          </w:p>
        </w:tc>
        <w:tc>
          <w:tcPr>
            <w:tcW w:type="dxa" w:w="1661"/>
          </w:tcPr>
          <w:p>
            <w:pPr>
              <w:pStyle w:val="null3"/>
            </w:pPr>
            <w:r>
              <w:rPr>
                <w:rFonts w:ascii="仿宋_GB2312" w:hAnsi="仿宋_GB2312" w:cs="仿宋_GB2312" w:eastAsia="仿宋_GB2312"/>
              </w:rPr>
              <w:t>服务内容及服务邀请应答表 供应商资格证明文件.docx 供应商认为有必要补充的事项.docx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1.在评标过程中，评标委员会认为投标人报价明显低于其他实质性响应的投标人报价，有可能 影响产品质量或者不能诚信履约的，评标委员会应当要求其在合理的时间内提供成本构成书面说明，并提交相关证明材料。书面说明应当按照国家财务会计制度的规定要求，逐项就投标人提供的货物、工程和服务的主营业务成本（应根据投标人企业类型予以区别）、税金及附加、销售费用、管理费用、财务费用等成本构成事项详细陈述。2.投标人提交的相关说明和证明材料，应当加盖投标人（法定名称）电子印章，在评标委员会要求的时间内通过项目电子化交易系统进行提交，否则提交的相关证明材料无效。投标人不能证明其投标报价合理性的，评标委员会应当将其投标文件作为无效处理。 3.依据《关于推动解决政府采购异常低价问题的通知》（财库〔2026〕2号）：（一）政府采购评审中出现下列情形之一的，评审委员会应当启动异常低价投标（响应）审查程序：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（2）投标（响应）报价低于通过符合性审查的次低报价供应商投标（响应）报价50%的，即投标（响应）报价&lt;通过符合性审查的次低报价供应商投标（响应）报价×50%； （3）投标（响应）报价低于采购项目最高限价45%的，即投标（响应）报价&lt;采购项目最高限价×45%； 4.评审委员会基于专业判断，认为供应商报价过低，有可能影响产品质量或者不能诚信履约的其他情形。 （二）评审委员会启动异常低价投标（响应）审查后，属于前述第1项至第4项情形的，应当要求相关供应商在评审现场合理的时间内对投标（响应）价格作出解释，提供项目具体成本测算等与报价合理性相关的书面说明及必要的证明材料，包括但不限于原材料成本、人工成本、制造费用等，给予相关供应商的合理时间一般不少于30分钟。其中，属于第3项情形，供应商已随投标（响应）文件一并提交相关书面说明及必要的证明材料的，在评审现场可不再重复提交。 评审委员会依据专业经验，参考同类项目中标（成交）价格、类似产品市场价格水平、行业人工费用标准、国家有关部门指导行业协会发布的行业平均成本等情况，对报价合理性进行判断。投标（响应）供应商不能提供书面说明、证明材料，或者提供的书面说明、证明材料不能证明其报价合理性的，评审委员会应当将其作为无效投标（响应）处理。</w:t>
            </w:r>
          </w:p>
        </w:tc>
        <w:tc>
          <w:tcPr>
            <w:tcW w:type="dxa" w:w="1661"/>
          </w:tcPr>
          <w:p>
            <w:pPr>
              <w:pStyle w:val="null3"/>
            </w:pPr>
            <w:r>
              <w:rPr>
                <w:rFonts w:ascii="仿宋_GB2312" w:hAnsi="仿宋_GB2312" w:cs="仿宋_GB2312" w:eastAsia="仿宋_GB2312"/>
              </w:rPr>
              <w:t>服务内容及服务邀请应答表 中小企业声明函 商务应答表 供应商应提交的相关资格证明材料 报价表 供应商认为有必要补充的事项.docx 响应文件封面 残疾人福利性单位声明函 服务方案 标的清单 供应商资格证明文件.docx 响应函 监狱企业的证明文件</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磋商响应文件签字盖章要求</w:t>
            </w:r>
          </w:p>
        </w:tc>
        <w:tc>
          <w:tcPr>
            <w:tcW w:type="dxa" w:w="3322"/>
          </w:tcPr>
          <w:p>
            <w:pPr>
              <w:pStyle w:val="null3"/>
            </w:pPr>
            <w:r>
              <w:rPr>
                <w:rFonts w:ascii="仿宋_GB2312" w:hAnsi="仿宋_GB2312" w:cs="仿宋_GB2312" w:eastAsia="仿宋_GB2312"/>
              </w:rPr>
              <w:t>供应商应按磋商文件要求对磋商响应文件进行电子签章。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响应文件格式</w:t>
            </w:r>
          </w:p>
        </w:tc>
        <w:tc>
          <w:tcPr>
            <w:tcW w:type="dxa" w:w="3322"/>
          </w:tcPr>
          <w:p>
            <w:pPr>
              <w:pStyle w:val="null3"/>
            </w:pPr>
            <w:r>
              <w:rPr>
                <w:rFonts w:ascii="仿宋_GB2312" w:hAnsi="仿宋_GB2312" w:cs="仿宋_GB2312" w:eastAsia="仿宋_GB2312"/>
              </w:rPr>
              <w:t>应符合"响应文件格式"要求</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报价超过磋商文件中规定的最高限价的</w:t>
            </w:r>
          </w:p>
        </w:tc>
        <w:tc>
          <w:tcPr>
            <w:tcW w:type="dxa" w:w="3322"/>
          </w:tcPr>
          <w:p>
            <w:pPr>
              <w:pStyle w:val="null3"/>
            </w:pPr>
            <w:r>
              <w:rPr>
                <w:rFonts w:ascii="仿宋_GB2312" w:hAnsi="仿宋_GB2312" w:cs="仿宋_GB2312" w:eastAsia="仿宋_GB2312"/>
              </w:rPr>
              <w:t>报价唯一，报价不得超过磋商文件中规定的最高限价。</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投标有效期</w:t>
            </w:r>
          </w:p>
        </w:tc>
        <w:tc>
          <w:tcPr>
            <w:tcW w:type="dxa" w:w="3322"/>
          </w:tcPr>
          <w:p>
            <w:pPr>
              <w:pStyle w:val="null3"/>
            </w:pPr>
            <w:r>
              <w:rPr>
                <w:rFonts w:ascii="仿宋_GB2312" w:hAnsi="仿宋_GB2312" w:cs="仿宋_GB2312" w:eastAsia="仿宋_GB2312"/>
              </w:rPr>
              <w:t>提交磋商响应文件的截止之日起不少于90天</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磋商保证金</w:t>
            </w:r>
          </w:p>
        </w:tc>
        <w:tc>
          <w:tcPr>
            <w:tcW w:type="dxa" w:w="3322"/>
          </w:tcPr>
          <w:p>
            <w:pPr>
              <w:pStyle w:val="null3"/>
            </w:pPr>
            <w:r>
              <w:rPr>
                <w:rFonts w:ascii="仿宋_GB2312" w:hAnsi="仿宋_GB2312" w:cs="仿宋_GB2312" w:eastAsia="仿宋_GB2312"/>
              </w:rPr>
              <w:t>符合磋商文件要求，提供磋商保证金缴纳凭证或担保机构出具的保函</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服务期限</w:t>
            </w:r>
          </w:p>
        </w:tc>
        <w:tc>
          <w:tcPr>
            <w:tcW w:type="dxa" w:w="3322"/>
          </w:tcPr>
          <w:p>
            <w:pPr>
              <w:pStyle w:val="null3"/>
            </w:pPr>
            <w:r>
              <w:rPr>
                <w:rFonts w:ascii="仿宋_GB2312" w:hAnsi="仿宋_GB2312" w:cs="仿宋_GB2312" w:eastAsia="仿宋_GB2312"/>
              </w:rPr>
              <w:t>满足磋商文件中要求的服务期限</w:t>
            </w:r>
          </w:p>
        </w:tc>
        <w:tc>
          <w:tcPr>
            <w:tcW w:type="dxa" w:w="1661"/>
          </w:tcPr>
          <w:p>
            <w:pPr>
              <w:pStyle w:val="null3"/>
            </w:pPr>
            <w:r>
              <w:rPr>
                <w:rFonts w:ascii="仿宋_GB2312" w:hAnsi="仿宋_GB2312" w:cs="仿宋_GB2312" w:eastAsia="仿宋_GB2312"/>
              </w:rPr>
              <w:t>响应文件封面 服务内容及服务邀请应答表 残疾人福利性单位声明函 中小企业声明函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对磋商响应文件响应程度</w:t>
            </w:r>
          </w:p>
        </w:tc>
        <w:tc>
          <w:tcPr>
            <w:tcW w:type="dxa" w:w="3322"/>
          </w:tcPr>
          <w:p>
            <w:pPr>
              <w:pStyle w:val="null3"/>
            </w:pPr>
            <w:r>
              <w:rPr>
                <w:rFonts w:ascii="仿宋_GB2312" w:hAnsi="仿宋_GB2312" w:cs="仿宋_GB2312" w:eastAsia="仿宋_GB2312"/>
              </w:rPr>
              <w:t>要求实质性条款全部响应，不能有采购人不能接受的附加条件</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供应商资格证明文件.docx 响应函 监狱企业的证明文件 供应商认为有必要补充的事项.docx</w:t>
            </w:r>
          </w:p>
        </w:tc>
      </w:tr>
      <w:tr>
        <w:tc>
          <w:tcPr>
            <w:tcW w:type="dxa" w:w="831"/>
          </w:tcPr>
          <w:p>
            <w:pPr>
              <w:pStyle w:val="null3"/>
            </w:pPr>
            <w:r>
              <w:rPr>
                <w:rFonts w:ascii="仿宋_GB2312" w:hAnsi="仿宋_GB2312" w:cs="仿宋_GB2312" w:eastAsia="仿宋_GB2312"/>
              </w:rPr>
              <w:t>9</w:t>
            </w:r>
          </w:p>
        </w:tc>
        <w:tc>
          <w:tcPr>
            <w:tcW w:type="dxa" w:w="2492"/>
          </w:tcPr>
          <w:p>
            <w:pPr>
              <w:pStyle w:val="null3"/>
            </w:pPr>
            <w:r>
              <w:rPr>
                <w:rFonts w:ascii="仿宋_GB2312" w:hAnsi="仿宋_GB2312" w:cs="仿宋_GB2312" w:eastAsia="仿宋_GB2312"/>
              </w:rPr>
              <w:t>其他</w:t>
            </w:r>
          </w:p>
        </w:tc>
        <w:tc>
          <w:tcPr>
            <w:tcW w:type="dxa" w:w="3322"/>
          </w:tcPr>
          <w:p>
            <w:pPr>
              <w:pStyle w:val="null3"/>
            </w:pPr>
            <w:r>
              <w:rPr>
                <w:rFonts w:ascii="仿宋_GB2312" w:hAnsi="仿宋_GB2312" w:cs="仿宋_GB2312" w:eastAsia="仿宋_GB2312"/>
              </w:rPr>
              <w:t>不存在法律、法规和磋商文件规定的其他无效投标情形</w:t>
            </w:r>
          </w:p>
        </w:tc>
        <w:tc>
          <w:tcPr>
            <w:tcW w:type="dxa" w:w="1661"/>
          </w:tcPr>
          <w:p>
            <w:pPr>
              <w:pStyle w:val="null3"/>
            </w:pPr>
            <w:r>
              <w:rPr>
                <w:rFonts w:ascii="仿宋_GB2312" w:hAnsi="仿宋_GB2312" w:cs="仿宋_GB2312" w:eastAsia="仿宋_GB2312"/>
              </w:rPr>
              <w:t>响应文件封面</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二、磋商小组开启报价后，供应商应随时关注项目电子化交易系统信息提醒，登录项目电子化交易系统，通过“评审等候大厅”进行报价并签章后提交。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详细评审85.00分</w:t>
            </w:r>
          </w:p>
          <w:p>
            <w:pPr>
              <w:pStyle w:val="null3"/>
            </w:pPr>
            <w:r>
              <w:rPr>
                <w:rFonts w:ascii="仿宋_GB2312" w:hAnsi="仿宋_GB2312" w:cs="仿宋_GB2312" w:eastAsia="仿宋_GB2312"/>
              </w:rPr>
              <w:t>报价得分15.00分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设备投入</w:t>
            </w:r>
          </w:p>
        </w:tc>
        <w:tc>
          <w:tcPr>
            <w:tcW w:type="dxa" w:w="2492"/>
          </w:tcPr>
          <w:p>
            <w:pPr>
              <w:pStyle w:val="null3"/>
            </w:pPr>
            <w:r>
              <w:rPr>
                <w:rFonts w:ascii="仿宋_GB2312" w:hAnsi="仿宋_GB2312" w:cs="仿宋_GB2312" w:eastAsia="仿宋_GB2312"/>
              </w:rPr>
              <w:t>一、评审内容提出针对本项目的设备投入，评审内容点如下：①检测设备种类、型号及数量配置； ②检测设备技术参数与本项目检测指标匹配度；③检测设备精度、量程满足项目检测规范要求情况； ④设备检定 / 校准、完好性及投入本项目使用保障措施；⑤设备配置整体贴合本项目实际检测工作需求程度。 二、评审标准1.完整性：检测设备配置资料完整，种类、数量、参数、精度、维保及使用保障等内容齐全无缺项；2.适配性：设备技术指标、性能切合本项目实际检测需求，完全匹配项目检测范围及标准；3.可行性：设备条件可支撑本项目全部检测工作落地实施，配置合理、无脱离实际情况。 三、赋分标准（满分10分）1.检测设备配置齐全，完全满足三项评审标准、全面契合项目要求，得 10 分；2.检测设备配置较齐全，较好满足三项评审标准、较契合项目要求，得 8 分；3.检测设备配置一般，基本满足评审标准、可勉强保障项目基础检测需求，得 6 分；4.检测设备配置不齐全，多项不满足评审标准、无法满足项目检测要求，得 3 分；5.未提供检测设备相关资料，或设备配置完全脱离本项目实际工作需求的，得 0 分。（出现以下任意情形视为存在缺陷：内容缺项、不完整或缺少关键设备及核心技术参数、仅有简单罗列无实质性配置说明；非专门针对本项目、套用通用模板或其他项目设备配置内容；设备参数、精度、量程与本项目检测规范及指标不匹配；无检定校准、完好性及进场使用保障措施；前后表述矛盾、存在逻辑漏洞、不符合检测行业常规要求；设备配置不合理，不利于本项目检测工作开展、现有条件无法落地实施等。评委根据缺陷严重程度酌情在对应档次分值内扣减，扣完本项分值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组织机构</w:t>
            </w:r>
          </w:p>
        </w:tc>
        <w:tc>
          <w:tcPr>
            <w:tcW w:type="dxa" w:w="2492"/>
          </w:tcPr>
          <w:p>
            <w:pPr>
              <w:pStyle w:val="null3"/>
            </w:pPr>
            <w:r>
              <w:rPr>
                <w:rFonts w:ascii="仿宋_GB2312" w:hAnsi="仿宋_GB2312" w:cs="仿宋_GB2312" w:eastAsia="仿宋_GB2312"/>
              </w:rPr>
              <w:t>一、评审内容针对本项目的组织机构及主要人员配置，评审内容点如下：① 组织机构架构设计及部门 / 岗位设置；②主要人员（含项目负责人、技术总负责人等核心人员）配备数量、专业背景；③各岗位工作职责、分工协作机制；④保障项目运行的质量管理、进度管理、人员管理等体系措施；⑤核心人员从业经验、工作能力及相关业绩；⑥人员配置与本项目检测需求、服务要求的契合程度。 二、评审标准1.完整性：组织机构及人员配置资料全面详尽，架构、岗位、人员信息、工作职责、管理体系措施等内容无缺项，描述清晰具体；2.合理性：切合项目实际情况，人员数量充足、专业知识覆盖全面，分工科学明确，管理思路清晰，措施具备可操作性；3.针对性：紧扣本项目检测特点和采购核心需求，核心人员资质、经验、业绩满足且适配项目要求，资源配备精准充足。 三、赋分标准（满分10分） 1.完整性（3分）：内容全面详尽，对各方面有详细的描述和说明。检测单位制定的组织机构及主要人员安排内容详尽，各部分工作职责描述清晰，保障项目运行的管理体系措施得力的得3分；机构人员安排内容较详尽、工作职责较清晰，管理措施较得力的得2分；有相应机构人员安排内容，制定相应工作职责以及管理措施的得1分；内容不完备或未提供的不得分。 2.合理性：（3分）切合实际，措施科学明确、思路清晰，科学合理。配备的团队成员专业知识覆盖全面，数量充足，合理分工，优于服务要求的得3分；人员配备数量充足，专业人员基本满足项目实施需要，分工有一定的合理性，基本能满足项目需求得2分；人员配备数量较少，专业人员配备不齐全的得1分；人员配置严重不足或未提供的不得分。 3.针对性（4分）：紧扣项目特点和采购需求，针对性强，资源配备充足。针对检测项目实际，配置项目负责人及技术总负责人等人员经验丰富、工作能力及业绩优于最低要求的得4分；配置人员对质量检测服务经验丰富、工作能力及业绩符合最低要求的得3分；基本符合最低要求的得2分；不满足要求的不得分。 （出现以下任意情形视为存在缺陷：内容缺项、关键信息缺失（如核心人员、岗位职责未明确）；组织机构架构混乱、分工不清晰；人员数量不足、专业配置与项目需求不匹配；管理体系措施空洞无实质内容、不具备可操作性；核心人员经验、业绩不真实或不符合项目要求；套用其他项目模板、未结合本项目实际情况等。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工作方案及进度计划</w:t>
            </w:r>
          </w:p>
        </w:tc>
        <w:tc>
          <w:tcPr>
            <w:tcW w:type="dxa" w:w="2492"/>
          </w:tcPr>
          <w:p>
            <w:pPr>
              <w:pStyle w:val="null3"/>
            </w:pPr>
            <w:r>
              <w:rPr>
                <w:rFonts w:ascii="仿宋_GB2312" w:hAnsi="仿宋_GB2312" w:cs="仿宋_GB2312" w:eastAsia="仿宋_GB2312"/>
              </w:rPr>
              <w:t>一、评审内容针对本项目的工作方案及进度计划，评审内容点如下：① 工作方案对采购需求确定的服务内容、服务要求的覆盖情况；② 检测目标设定、检测流程设计的清晰度与完整性；③ 进度计划的阶段划分、时间节点安排及可执行性；④ 工作方案与进度计划的衔接逻辑、实施保障措施；⑤ 针对项目特点及时限要求的风险识别、把控措施或应急预案；⑥ 方案及计划对本项目核心需求、实施难点的贴合程度。 二、评审标准1.完整性：工作方案及进度计划内容全面，完整覆盖采购需求规定的服务内容、服务要求，无关键环节缺项，描述详尽具体；2.合理性：贴合项目实际情况，检测目标明确、流程清晰，进度安排科学合理，实施步骤具备可操作性，保障措施得力；3.针对性：紧扣本项目特点及采购核心需求，聚焦时限要求和实施风险，风险把控措施精准，能有效支撑项目如期高质量完成。 三、赋分标准（满分15分）1.完整性（5分）：工作方案及进度计划内容全面详尽，完全覆盖采购需求确定的全部服务内容及服务要求，无缺项漏项，完全满足完整性评审标准的，得 5 分；内容基本覆盖服务内容及服务要求，核心环节无缺失，较好满足完整性评审标准的，得3分；内容基本完整，符合项目实际进度需求，但表述简单、关键细节缺失，基本满足完整性评审标准的，得 2 分；未提供相关方案及计划，或内容严重缺项、不满足采购基本要求的，不得分。 2.合理性（5分）：工作方案内容科学合理，检测目标明确、检测流程逻辑清晰，进度计划安排精准且可行性强，完全满足合理性评审标准的，得 5 分；工作方案内容较合理，检测目标、流程较清晰，进度安排具体可行，较好满足合理性评审标准的，得 3 分；工作方案及进度计划逻辑连贯性一般，实施步骤不够清晰，可行性较弱，勉强满足基本实施需求的，得2分；未提供相关方案及计划，或内容明显不合理、不具备落地条件的，不得分。 3.针对性（5 分）工作方案及进度计划紧扣项目特点和采购需求，针对时限要求制定了完善的风险把控措施，切合实际、措施科学，可充分保障项目顺利实施，完全满足针对性评审标准的，得 5 分；方案、计划及风险把控措施 /案基本满足项目要求，但内容较简单、针对性一般，较好满足针对性评审标准的，得 3 分；具备基本的方案及进度计划，但风险把控措施缺乏针对性、未结合项目实际，基本满足针对性评审标准的，得 2 分；未提供相关方案及计划，或措施无效、无法确保项目如期完成的，不得分。（出现以下任意情形视为存在缺陷：内容缺项、未覆盖采购核心服务要求；检测目标模糊、流程混乱或存在逻辑漏洞；进度计划无明确时间节点、安排不合理；方案与计划脱节、无实施保障措施；未识别项目关键风险、风险把控措施套用通用模板、无针对性；内容与本项目特点、需求不匹配，无法支撑项目落地等。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项目的特点及关键性技术问题的对策措施</w:t>
            </w:r>
          </w:p>
        </w:tc>
        <w:tc>
          <w:tcPr>
            <w:tcW w:type="dxa" w:w="2492"/>
          </w:tcPr>
          <w:p>
            <w:pPr>
              <w:pStyle w:val="null3"/>
            </w:pPr>
            <w:r>
              <w:rPr>
                <w:rFonts w:ascii="仿宋_GB2312" w:hAnsi="仿宋_GB2312" w:cs="仿宋_GB2312" w:eastAsia="仿宋_GB2312"/>
              </w:rPr>
              <w:t>一、评审内容针对本项目的特点及关键性技术问题分析与对策措施，评审内容点如下：① 项目核心特点、技术难点的识别与罗列完整性；② 关键性技术问题分析的深度、准确性及全面性；③ 针对各项技术问题制定的对策措施具体内容；④ 对策措施的科学合理性、可操作性及实施价值；⑤ 对策措施与项目特点、采购需求的贴合程度；⑥ 对策措施对解决技术难题、保障项目实施的支撑作用。 二、评审标准1.完整性：全面识别本项目核心特点及全部关键性技术问题，逐条清晰罗列，分析内容无缺项，对策措施覆盖所有识别出的技术问题；2.合理性：技术问题分析符合项目实际情况，对策措施科学可行、思路清晰，具备明确的实施路径和操作价值，能有效解决对应技术问题；3.针对性：紧扣本项目独特特点及采购核心需求，对策措施精准匹配关键性技术问题，不套用通用模板，贴合项目实施场景。 三、赋分标准（满分 15 分）1.完整性（5 分）能全面识别项目特点及所有关键性技术问题，逐条清晰罗列，且制定的对策措施全面覆盖、无遗漏，完全满足完整性评审标准的，得 5 分；项目特点及关键性技术问题分析内容基本全面，核心技术问题无遗漏，提出的解决对策基本满足项目实际需求，较好满足完整性评审标准的，得 3 分；仅识别部分核心技术问题，分析内容简单，对策措施覆盖不全面，可行性一般，基本满足完整性评审标准的，得 2 分；未提供相关分析及对策内容，或技术问题识别严重缺失、对策措施无实质覆盖的，不得分。 2.合理性（5 分）对项目特点及关键性技术问题的分析精准，制定的对策措施科学严谨、切实可行，具有显著实施价值，完全满足合理性评审标准的，得 5 分；技术问题分析基本准确，制定的对策措施能贴合项目特点，逻辑清晰、基本合理可行，较好满足合理性评审标准的，得 3 分；技术问题分析不够深入，对策措施缺乏科学依据，合理性、可行性较差，仅能勉强支撑基础需求的，得 1 分；未提供相关分析及对策内容，或对策措施明显不合理、不具备实施条件的，不得分。 3.针对性（5 分）逐条精准罗列本项目核心特点及关键性技术问题，对策措施紧密贴合项目实际，靶向性强、价值突出，完全满足针对性评审标准的，得 5 分；基本识别项目核心特点及重难点问题，分析内容与对策措施贴合项目实际，具有一定针对性，较好满足针对性评审标准的，得 3 分；对项目特点、关键性及重难点技术问题的分析流于表面，解决对策表述简单、针对性一般，基本满足针对性评审标准的，得 2 分；未提供相关分析及对策内容，或分析与对策脱离项目实际、套用通用模板无针对性的，不得分。供或不满足要求的不得分。（出现以下任意情形视为存在缺陷：未逐条罗列项目特点及技术问题、核心问题识别缺失；技术问题分析与项目实际不符、存在认知偏差；对策措施空洞无实质内容、缺乏具体实施步骤；对策措施与技术问题不匹配、无法有效解决问题；套用其他项目模板、未结合本项目特性；对策措施存在逻辑漏洞、不符合行业技术规范；可行性差、现有条件下无法落地实施等。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质量、安全保证体系</w:t>
            </w:r>
          </w:p>
        </w:tc>
        <w:tc>
          <w:tcPr>
            <w:tcW w:type="dxa" w:w="2492"/>
          </w:tcPr>
          <w:p>
            <w:pPr>
              <w:pStyle w:val="null3"/>
            </w:pPr>
            <w:r>
              <w:rPr>
                <w:rFonts w:ascii="仿宋_GB2312" w:hAnsi="仿宋_GB2312" w:cs="仿宋_GB2312" w:eastAsia="仿宋_GB2312"/>
              </w:rPr>
              <w:t>一、评审内容质量、安全保证体系评审内容点如下：① 供应商质量管理体系认证资质；② 项目质量保证体系及具体保障措施；③ 项目安全保证体系及具体保障措施；④ 后续服务承诺书内容完整性及可行性；⑤ 质量安全措施与后续服务对服务方案落地的支撑程度。 二、评审标准1.合规性：供应商具备有效的质量管理体系认证证书，资质文件真实合规；2.合理性：质量、安全保证体系架构清晰，保障措施科学合理，贴合项目实际需求；3.可行性：后续服务承诺具体明确，能有效支撑服务方案落地实施，可操作性强； 4,完整性：质量安全措施、后续服务承诺书内容全面，无关键环节缺项。 三、赋分标准（满分5分）1.质量管理体系认证资质（1 分）供应商提供有效的质量管理体系认证证书（证书在有效期内、覆盖范围与本项目相关），完全满足 “合规性” 评审标准的，得 1 分；未提供认证证书、证书过期或覆盖范围与本项目无关的，不得分。2.质量安全保障措施及后续服务承诺（4 分）项目质量、安全保证体系完善，保障措施科学合理，后续服务承诺书内容具体详实，能充分保证服务方案可实施性强，完全满足 “合理性、可行性、完整性” 评审标准的，得 4 分；项目质量、安全保证体系基本健全，保障措施基本合理，后续服务承诺明确，能保证服务方案基本可行，较好满足三项评审标准的，得 2 分；未提供质量安全保证体系、保障措施或后续服务承诺书，或内容严重不符合项目要求、无法支撑服务方案落地的，不得分。 （出现以下任意情形视为存在缺陷：质量管理体系认证证书无效、造假或与项目无关；质量 / 安全保证体系架构混乱、保障措施空洞无实质内容；后续服务承诺书未明确具体服务内容、时限及责任；措施与承诺套用通用模板、未结合本项目实际；质量安全措施存在逻辑漏洞、不符合行业规范；后续服务承诺不可行、无法保障服务方案落地等。评委根据缺陷严重程度，在对应档次分值内酌情扣减，扣完本项对应分值为止。）</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近3年完成类似业绩，业绩每个加2分,最高得10分。 注：近3年(2023年1月1日至今)，以合同签订时间为准的业绩，需提供合同复印件、并加盖供应商企业公章。</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人员-项目负责人</w:t>
            </w:r>
          </w:p>
        </w:tc>
        <w:tc>
          <w:tcPr>
            <w:tcW w:type="dxa" w:w="2492"/>
          </w:tcPr>
          <w:p>
            <w:pPr>
              <w:pStyle w:val="null3"/>
            </w:pPr>
            <w:r>
              <w:rPr>
                <w:rFonts w:ascii="仿宋_GB2312" w:hAnsi="仿宋_GB2312" w:cs="仿宋_GB2312" w:eastAsia="仿宋_GB2312"/>
              </w:rPr>
              <w:t>1.具有公路水运工程试验检测师资格证书的得1.5分； 2.具有公路或桥梁专业高级及以上技术职称的得1.5分； 3.近3年(2023年1月1日至今)做为项目负责人承担过类似项目工作的，每提供一个业绩得1分，此项最高4分。 注：业绩以合同签订时间为准，需提供合同复印件、并加盖供应商企业公章。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人员-技术总负责人</w:t>
            </w:r>
          </w:p>
        </w:tc>
        <w:tc>
          <w:tcPr>
            <w:tcW w:type="dxa" w:w="2492"/>
          </w:tcPr>
          <w:p>
            <w:pPr>
              <w:pStyle w:val="null3"/>
            </w:pPr>
            <w:r>
              <w:rPr>
                <w:rFonts w:ascii="仿宋_GB2312" w:hAnsi="仿宋_GB2312" w:cs="仿宋_GB2312" w:eastAsia="仿宋_GB2312"/>
              </w:rPr>
              <w:t>1.具有公路水运工程试验检测师资格证书且与项目负责人有公路水运工程试验检测师资格证书专业相加覆盖公路、桥梁、隧道专业得1.5分，未覆盖得1分。 2.具有公路或桥梁专业高级及以上技术职称的得1.5分。 3.近3年(2023年1月1日至今)做为技术负责人承担过类似项目工作，每提供一个业绩得1分，此项最高4分。 注：业绩以合同签订时间为准，需提供合同复印件、并加盖供应商企业公章。</w:t>
            </w:r>
          </w:p>
        </w:tc>
        <w:tc>
          <w:tcPr>
            <w:tcW w:type="dxa" w:w="831"/>
          </w:tcPr>
          <w:p>
            <w:pPr>
              <w:pStyle w:val="null3"/>
              <w:jc w:val="right"/>
            </w:pPr>
            <w:r>
              <w:rPr>
                <w:rFonts w:ascii="仿宋_GB2312" w:hAnsi="仿宋_GB2312" w:cs="仿宋_GB2312" w:eastAsia="仿宋_GB2312"/>
              </w:rPr>
              <w:t>7.0000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vMerge/>
          </w:tcPr>
          <w:p/>
        </w:tc>
        <w:tc>
          <w:tcPr>
            <w:tcW w:type="dxa" w:w="1661"/>
          </w:tcPr>
          <w:p>
            <w:pPr>
              <w:pStyle w:val="null3"/>
            </w:pPr>
            <w:r>
              <w:rPr>
                <w:rFonts w:ascii="仿宋_GB2312" w:hAnsi="仿宋_GB2312" w:cs="仿宋_GB2312" w:eastAsia="仿宋_GB2312"/>
              </w:rPr>
              <w:t>人员-各组检测工程师及检测员</w:t>
            </w:r>
          </w:p>
        </w:tc>
        <w:tc>
          <w:tcPr>
            <w:tcW w:type="dxa" w:w="2492"/>
          </w:tcPr>
          <w:p>
            <w:pPr>
              <w:pStyle w:val="null3"/>
            </w:pPr>
            <w:r>
              <w:rPr>
                <w:rFonts w:ascii="仿宋_GB2312" w:hAnsi="仿宋_GB2312" w:cs="仿宋_GB2312" w:eastAsia="仿宋_GB2312"/>
              </w:rPr>
              <w:t>组建1个检测组每组的检测工程师具有公路水运工程试验检测师资格证书（与同组内其他主要人员专业相加覆盖公路、桥梁、隧道专业），具有中级及以上技术职称。 试验检测员具有公路水运工程助理试验检测师或者同等资格证书，具有相关专业初级及以上技术职称。 每1组满足要求得2分，不满足不得分；2组满足要求得4分；额外增加1组，共3组得6分。(需提供人员分组名单及资格证明材料） 注：每个检测组包含1名检测工程师及2名试验检测员。</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供应商认为有必要补充的事项.docx</w:t>
            </w:r>
          </w:p>
        </w:tc>
      </w:tr>
      <w:tr>
        <w:tc>
          <w:tcPr>
            <w:tcW w:type="dxa" w:w="831"/>
          </w:tcPr>
          <w:p>
            <w:pPr>
              <w:pStyle w:val="null3"/>
            </w:pPr>
            <w:r>
              <w:rPr>
                <w:rFonts w:ascii="仿宋_GB2312" w:hAnsi="仿宋_GB2312" w:cs="仿宋_GB2312" w:eastAsia="仿宋_GB2312"/>
              </w:rPr>
              <w:t>异常低价审查</w:t>
            </w:r>
          </w:p>
        </w:tc>
        <w:tc>
          <w:tcPr>
            <w:tcW w:type="dxa" w:w="1661"/>
          </w:tcPr>
          <w:p>
            <w:pPr>
              <w:pStyle w:val="null3"/>
            </w:pPr>
            <w:r>
              <w:rPr>
                <w:rFonts w:ascii="仿宋_GB2312" w:hAnsi="仿宋_GB2312" w:cs="仿宋_GB2312" w:eastAsia="仿宋_GB2312"/>
              </w:rPr>
              <w:t>异常低价审查</w:t>
            </w:r>
          </w:p>
        </w:tc>
        <w:tc>
          <w:tcPr>
            <w:tcW w:type="dxa" w:w="2492"/>
          </w:tcPr>
          <w:p>
            <w:pPr>
              <w:pStyle w:val="null3"/>
            </w:pPr>
            <w:r>
              <w:rPr>
                <w:rFonts w:ascii="仿宋_GB2312" w:hAnsi="仿宋_GB2312" w:cs="仿宋_GB2312" w:eastAsia="仿宋_GB2312"/>
              </w:rPr>
              <w:t>根据《关于推动解决政府采购异常低价问题的通知》（财库〔2026〕2号）等相关规定，政府采购评审中出现下列情形之一的，评审委员会应当启动异常低价投标（响应）审查程序： （1）投标（响应）报价低于全部通过符合性审查供应商投标（响应）报价平均值50%的，即投标（响应）报价&lt;全部通过符合性审查供应商投标（响应）报价平均值×50%。 （2）投标（响应）报价低于通过符合性审查且报价次低供应商投标（响应）报价50%的，即投标（响应）报价&lt;通过符合性审查且报价次低供应商投标（响应）报价×50%。 （3）投标（响应）报价低于最高限价45%的，即投标（响应）报价&lt;最高限价×45%。 （4）评标委员会认为投标人的报价明显低于其他通过符合性审查投标人的报价（数量报价下，投标人的报价明显高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 评审委员会启动异常低价投标（响应）审查后，应当要求相关供应商在评审现场合理的时间内提供书面说明及必要的证明材料，对投标（响应）价格作出解释。</w:t>
            </w:r>
          </w:p>
        </w:tc>
        <w:tc>
          <w:tcPr>
            <w:tcW w:type="dxa" w:w="831"/>
          </w:tcPr>
          <w:p>
            <w:pPr>
              <w:pStyle w:val="null3"/>
              <w:jc w:val="right"/>
            </w:pPr>
            <w:r>
              <w:rPr>
                <w:rFonts w:ascii="仿宋_GB2312" w:hAnsi="仿宋_GB2312" w:cs="仿宋_GB2312" w:eastAsia="仿宋_GB2312"/>
              </w:rPr>
              <w:t>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服务内容及服务邀请应答表</w:t>
            </w:r>
          </w:p>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供应商认为有必要补充的事项.docx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采用低价优先法计算，即满足招标文件要求且磋商价格最低的磋商报价为磋商基准价，其价格分为满分。其他供应商的价格分按照下列公式计算：磋商报价得分＝（磋商基准价/磋商报价）×15。小数点后保留2位，四舍五入。</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服务内容及服务邀请应答表</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ind w:firstLine="480"/>
      </w:pPr>
      <w:r>
        <w:rPr>
          <w:rFonts w:ascii="仿宋_GB2312" w:hAnsi="仿宋_GB2312" w:cs="仿宋_GB2312" w:eastAsia="仿宋_GB2312"/>
        </w:rPr>
        <w:t>一、本章所制响应文件格式，除格式中明确将该格式作为实质性要求的，不具有强制性。</w:t>
      </w:r>
    </w:p>
    <w:p>
      <w:pPr>
        <w:pStyle w:val="null3"/>
        <w:ind w:firstLine="480"/>
      </w:pPr>
      <w:r>
        <w:rPr>
          <w:rFonts w:ascii="仿宋_GB2312" w:hAnsi="仿宋_GB2312" w:cs="仿宋_GB2312" w:eastAsia="仿宋_GB2312"/>
        </w:rPr>
        <w:t>二、本章所制响应文件格式有关表格中的备注栏，由供应商根据自身响应情况作解释性说明，不作为必填项。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详见附件：供应商认为有必要补充的事项.docx</w:t>
      </w:r>
    </w:p>
    <w:p>
      <w:pPr>
        <w:pStyle w:val="null3"/>
        <w:ind w:firstLine="960"/>
      </w:pPr>
      <w:r>
        <w:rPr>
          <w:rFonts w:ascii="仿宋_GB2312" w:hAnsi="仿宋_GB2312" w:cs="仿宋_GB2312" w:eastAsia="仿宋_GB2312"/>
        </w:rPr>
        <w:t>详见附件：供应商资格证明文件.docx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详见附件：合同.docx</w:t>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