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C8ACD1">
      <w:pPr>
        <w:pStyle w:val="7"/>
        <w:jc w:val="center"/>
        <w:outlineLvl w:val="1"/>
        <w:rPr>
          <w:rFonts w:ascii="国标仿宋-GB/T 2312" w:hAnsi="国标仿宋-GB/T 2312" w:eastAsia="国标仿宋-GB/T 2312" w:cs="国标仿宋-GB/T 2312"/>
        </w:rPr>
      </w:pPr>
      <w:r>
        <w:rPr>
          <w:rFonts w:ascii="国标仿宋-GB/T 2312" w:hAnsi="国标仿宋-GB/T 2312" w:eastAsia="国标仿宋-GB/T 2312" w:cs="国标仿宋-GB/T 2312"/>
          <w:b/>
          <w:sz w:val="36"/>
        </w:rPr>
        <w:t>第八章 拟签订采购合同文本</w:t>
      </w:r>
    </w:p>
    <w:p w14:paraId="174CD347">
      <w:pPr>
        <w:pStyle w:val="3"/>
        <w:keepNext/>
        <w:keepLines/>
        <w:pageBreakBefore w:val="0"/>
        <w:widowControl w:val="0"/>
        <w:kinsoku/>
        <w:wordWrap/>
        <w:overflowPunct/>
        <w:topLinePunct w:val="0"/>
        <w:autoSpaceDE/>
        <w:autoSpaceDN/>
        <w:bidi w:val="0"/>
        <w:adjustRightInd/>
        <w:snapToGrid/>
        <w:spacing w:before="0" w:after="0" w:line="413" w:lineRule="auto"/>
        <w:jc w:val="center"/>
        <w:textAlignment w:val="auto"/>
        <w:rPr>
          <w:rFonts w:hint="eastAsia" w:ascii="国标仿宋-GB/T 2312" w:hAnsi="国标仿宋-GB/T 2312" w:eastAsia="国标仿宋-GB/T 2312" w:cs="国标仿宋-GB/T 2312"/>
          <w:sz w:val="28"/>
          <w:szCs w:val="28"/>
          <w:lang w:eastAsia="zh-CN"/>
        </w:rPr>
      </w:pPr>
      <w:r>
        <w:rPr>
          <w:rFonts w:hint="eastAsia" w:ascii="国标仿宋-GB/T 2312" w:hAnsi="国标仿宋-GB/T 2312" w:eastAsia="国标仿宋-GB/T 2312" w:cs="国标仿宋-GB/T 2312"/>
          <w:sz w:val="28"/>
          <w:szCs w:val="28"/>
          <w:lang w:val="zh-CN" w:eastAsia="zh-CN"/>
        </w:rPr>
        <w:t>拟签订的合同条款文本</w:t>
      </w:r>
    </w:p>
    <w:p w14:paraId="79F32044">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本表是对合同条款的具体补充和修改，如有矛盾，应以本资料表为准。</w:t>
      </w:r>
    </w:p>
    <w:tbl>
      <w:tblPr>
        <w:tblStyle w:val="5"/>
        <w:tblW w:w="8168" w:type="dxa"/>
        <w:tblInd w:w="5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627"/>
        <w:gridCol w:w="7541"/>
      </w:tblGrid>
      <w:tr w14:paraId="0CA1DE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627" w:type="dxa"/>
            <w:vAlign w:val="center"/>
          </w:tcPr>
          <w:p w14:paraId="571C8A0A">
            <w:pPr>
              <w:spacing w:line="360" w:lineRule="auto"/>
              <w:jc w:val="center"/>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序号</w:t>
            </w:r>
          </w:p>
        </w:tc>
        <w:tc>
          <w:tcPr>
            <w:tcW w:w="7541" w:type="dxa"/>
            <w:vAlign w:val="center"/>
          </w:tcPr>
          <w:p w14:paraId="68BECB7B">
            <w:pPr>
              <w:spacing w:line="360" w:lineRule="auto"/>
              <w:jc w:val="center"/>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内      容</w:t>
            </w:r>
          </w:p>
        </w:tc>
      </w:tr>
      <w:tr w14:paraId="4679E8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79" w:hRule="atLeast"/>
        </w:trPr>
        <w:tc>
          <w:tcPr>
            <w:tcW w:w="627" w:type="dxa"/>
            <w:vAlign w:val="center"/>
          </w:tcPr>
          <w:p w14:paraId="74D42483">
            <w:pPr>
              <w:spacing w:line="360" w:lineRule="auto"/>
              <w:jc w:val="center"/>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w:t>
            </w:r>
          </w:p>
        </w:tc>
        <w:tc>
          <w:tcPr>
            <w:tcW w:w="7541" w:type="dxa"/>
            <w:vAlign w:val="center"/>
          </w:tcPr>
          <w:p w14:paraId="0C670CB2">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采购人（甲方）名称：陕西省公路局</w:t>
            </w:r>
          </w:p>
          <w:p w14:paraId="02197375">
            <w:pPr>
              <w:spacing w:line="360" w:lineRule="auto"/>
              <w:rPr>
                <w:rFonts w:hint="eastAsia" w:ascii="国标仿宋-GB/T 2312" w:hAnsi="国标仿宋-GB/T 2312" w:eastAsia="国标仿宋-GB/T 2312" w:cs="国标仿宋-GB/T 2312"/>
                <w:color w:val="auto"/>
                <w:sz w:val="24"/>
                <w:szCs w:val="24"/>
                <w:highlight w:val="none"/>
                <w:u w:val="single"/>
              </w:rPr>
            </w:pPr>
            <w:r>
              <w:rPr>
                <w:rFonts w:hint="eastAsia" w:ascii="国标仿宋-GB/T 2312" w:hAnsi="国标仿宋-GB/T 2312" w:eastAsia="国标仿宋-GB/T 2312" w:cs="国标仿宋-GB/T 2312"/>
                <w:color w:val="auto"/>
                <w:sz w:val="24"/>
                <w:szCs w:val="24"/>
                <w:highlight w:val="none"/>
              </w:rPr>
              <w:t>地址：</w:t>
            </w:r>
            <w:r>
              <w:rPr>
                <w:rFonts w:hint="eastAsia" w:ascii="国标仿宋-GB/T 2312" w:hAnsi="国标仿宋-GB/T 2312" w:eastAsia="国标仿宋-GB/T 2312" w:cs="国标仿宋-GB/T 2312"/>
                <w:color w:val="auto"/>
                <w:kern w:val="0"/>
                <w:sz w:val="24"/>
                <w:szCs w:val="24"/>
                <w:highlight w:val="none"/>
              </w:rPr>
              <w:t>西安市含光北路110号</w:t>
            </w:r>
          </w:p>
        </w:tc>
      </w:tr>
      <w:tr w14:paraId="5F8278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5" w:hRule="atLeast"/>
        </w:trPr>
        <w:tc>
          <w:tcPr>
            <w:tcW w:w="627" w:type="dxa"/>
            <w:vAlign w:val="center"/>
          </w:tcPr>
          <w:p w14:paraId="51F4702E">
            <w:pPr>
              <w:spacing w:line="360" w:lineRule="auto"/>
              <w:jc w:val="center"/>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w:t>
            </w:r>
          </w:p>
        </w:tc>
        <w:tc>
          <w:tcPr>
            <w:tcW w:w="7541" w:type="dxa"/>
            <w:vAlign w:val="center"/>
          </w:tcPr>
          <w:p w14:paraId="7B7B3F6B">
            <w:pPr>
              <w:spacing w:line="360" w:lineRule="auto"/>
              <w:rPr>
                <w:rFonts w:hint="eastAsia" w:ascii="国标仿宋-GB/T 2312" w:hAnsi="国标仿宋-GB/T 2312" w:eastAsia="国标仿宋-GB/T 2312" w:cs="国标仿宋-GB/T 2312"/>
                <w:color w:val="auto"/>
                <w:sz w:val="24"/>
                <w:szCs w:val="24"/>
                <w:highlight w:val="none"/>
                <w:u w:val="single"/>
              </w:rPr>
            </w:pPr>
            <w:r>
              <w:rPr>
                <w:rFonts w:hint="eastAsia" w:ascii="国标仿宋-GB/T 2312" w:hAnsi="国标仿宋-GB/T 2312" w:eastAsia="国标仿宋-GB/T 2312" w:cs="国标仿宋-GB/T 2312"/>
                <w:color w:val="auto"/>
                <w:sz w:val="24"/>
                <w:szCs w:val="24"/>
                <w:highlight w:val="none"/>
              </w:rPr>
              <w:t>供应商（乙方）：成交人</w:t>
            </w:r>
          </w:p>
        </w:tc>
      </w:tr>
      <w:tr w14:paraId="106B15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2" w:hRule="atLeast"/>
        </w:trPr>
        <w:tc>
          <w:tcPr>
            <w:tcW w:w="627" w:type="dxa"/>
            <w:vAlign w:val="center"/>
          </w:tcPr>
          <w:p w14:paraId="1DAC9DF5">
            <w:pPr>
              <w:spacing w:line="360" w:lineRule="auto"/>
              <w:jc w:val="center"/>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w:t>
            </w:r>
          </w:p>
        </w:tc>
        <w:tc>
          <w:tcPr>
            <w:tcW w:w="7541" w:type="dxa"/>
            <w:vAlign w:val="center"/>
          </w:tcPr>
          <w:p w14:paraId="393FDB34">
            <w:pPr>
              <w:pStyle w:val="7"/>
              <w:spacing w:line="240" w:lineRule="auto"/>
              <w:rPr>
                <w:rFonts w:hint="eastAsia" w:ascii="国标仿宋-GB/T 2312" w:hAnsi="国标仿宋-GB/T 2312" w:eastAsia="国标仿宋-GB/T 2312" w:cs="国标仿宋-GB/T 2312"/>
                <w:color w:val="auto"/>
                <w:sz w:val="24"/>
                <w:szCs w:val="24"/>
                <w:highlight w:val="none"/>
                <w:lang w:val="en-US" w:eastAsia="zh-CN"/>
              </w:rPr>
            </w:pPr>
            <w:r>
              <w:rPr>
                <w:rFonts w:hint="eastAsia" w:ascii="国标仿宋-GB/T 2312" w:hAnsi="国标仿宋-GB/T 2312" w:eastAsia="国标仿宋-GB/T 2312" w:cs="国标仿宋-GB/T 2312"/>
                <w:color w:val="auto"/>
                <w:sz w:val="24"/>
                <w:szCs w:val="24"/>
                <w:highlight w:val="none"/>
              </w:rPr>
              <w:t>服务期：合同生效后至202</w:t>
            </w:r>
            <w:r>
              <w:rPr>
                <w:rFonts w:hint="eastAsia" w:ascii="国标仿宋-GB/T 2312" w:hAnsi="国标仿宋-GB/T 2312" w:eastAsia="国标仿宋-GB/T 2312" w:cs="国标仿宋-GB/T 2312"/>
                <w:color w:val="auto"/>
                <w:sz w:val="24"/>
                <w:szCs w:val="24"/>
                <w:highlight w:val="none"/>
                <w:lang w:val="en-US" w:eastAsia="zh-CN"/>
              </w:rPr>
              <w:t>6</w:t>
            </w:r>
            <w:r>
              <w:rPr>
                <w:rFonts w:hint="eastAsia" w:ascii="国标仿宋-GB/T 2312" w:hAnsi="国标仿宋-GB/T 2312" w:eastAsia="国标仿宋-GB/T 2312" w:cs="国标仿宋-GB/T 2312"/>
                <w:color w:val="auto"/>
                <w:sz w:val="24"/>
                <w:szCs w:val="24"/>
                <w:highlight w:val="none"/>
              </w:rPr>
              <w:t>年12月31日（根据项目进展情况，服务期最晚延伸至202</w:t>
            </w:r>
            <w:r>
              <w:rPr>
                <w:rFonts w:hint="eastAsia" w:ascii="国标仿宋-GB/T 2312" w:hAnsi="国标仿宋-GB/T 2312" w:eastAsia="国标仿宋-GB/T 2312" w:cs="国标仿宋-GB/T 2312"/>
                <w:color w:val="auto"/>
                <w:sz w:val="24"/>
                <w:szCs w:val="24"/>
                <w:highlight w:val="none"/>
                <w:lang w:val="en-US" w:eastAsia="zh-CN"/>
              </w:rPr>
              <w:t>7</w:t>
            </w:r>
            <w:r>
              <w:rPr>
                <w:rFonts w:hint="eastAsia" w:ascii="国标仿宋-GB/T 2312" w:hAnsi="国标仿宋-GB/T 2312" w:eastAsia="国标仿宋-GB/T 2312" w:cs="国标仿宋-GB/T 2312"/>
                <w:color w:val="auto"/>
                <w:sz w:val="24"/>
                <w:szCs w:val="24"/>
                <w:highlight w:val="none"/>
              </w:rPr>
              <w:t>年6月30日）</w:t>
            </w:r>
          </w:p>
        </w:tc>
      </w:tr>
      <w:tr w14:paraId="7CBEF3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627" w:type="dxa"/>
            <w:vAlign w:val="center"/>
          </w:tcPr>
          <w:p w14:paraId="07C094D0">
            <w:pPr>
              <w:spacing w:line="360" w:lineRule="auto"/>
              <w:jc w:val="center"/>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w:t>
            </w:r>
          </w:p>
        </w:tc>
        <w:tc>
          <w:tcPr>
            <w:tcW w:w="7541" w:type="dxa"/>
            <w:vAlign w:val="center"/>
          </w:tcPr>
          <w:p w14:paraId="5DD0B3E5">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1、支付方式：银行转账；</w:t>
            </w:r>
          </w:p>
          <w:p w14:paraId="1E7CA88B">
            <w:pPr>
              <w:spacing w:line="360" w:lineRule="auto"/>
              <w:ind w:left="360" w:hanging="360" w:hangingChars="15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2、付款方式：</w:t>
            </w:r>
          </w:p>
          <w:p w14:paraId="6794C8BC">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（1）合同签订前，乙方向甲方缴纳合同总金额</w:t>
            </w:r>
            <w:r>
              <w:rPr>
                <w:rFonts w:hint="eastAsia" w:ascii="国标仿宋-GB/T 2312" w:hAnsi="国标仿宋-GB/T 2312" w:eastAsia="国标仿宋-GB/T 2312" w:cs="国标仿宋-GB/T 2312"/>
                <w:color w:val="auto"/>
                <w:sz w:val="24"/>
                <w:szCs w:val="24"/>
                <w:highlight w:val="none"/>
                <w:lang w:val="en-US" w:eastAsia="zh-CN"/>
              </w:rPr>
              <w:t>5</w:t>
            </w:r>
            <w:r>
              <w:rPr>
                <w:rFonts w:hint="eastAsia" w:ascii="国标仿宋-GB/T 2312" w:hAnsi="国标仿宋-GB/T 2312" w:eastAsia="国标仿宋-GB/T 2312" w:cs="国标仿宋-GB/T 2312"/>
                <w:color w:val="auto"/>
                <w:sz w:val="24"/>
                <w:szCs w:val="24"/>
                <w:highlight w:val="none"/>
              </w:rPr>
              <w:t>%的履约保证金。经甲方履约验收合格，保证期到期且无任何纠纷后一次性无息退还。</w:t>
            </w:r>
          </w:p>
          <w:p w14:paraId="7C750ED4">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合同签订后，甲方收到乙方提交的履约保证金及合规有效的增值税普通发票之日起15日内，甲方向乙方支付合同总金额的60%;乙方提交项目初步成果并经甲方确认满足要求之日起15日内，甲方向乙方支付合同总金额的40%;若未完成约定全部工作量，甲方按合同单价和乙方实际完成工作量计算并支付剩余合同价款。</w:t>
            </w:r>
          </w:p>
          <w:p w14:paraId="4740D67A">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（3）甲方每次付款前，乙方均应开具等额的税务发票，否则甲方有权拒绝付款，且不应承担迟延付款的责任。</w:t>
            </w:r>
          </w:p>
          <w:p w14:paraId="383CE76B">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（4）乙方超出任务书范围的工程量以及未通过甲方审查的工程量，甲方有权不予结算和支付相应款项。</w:t>
            </w:r>
          </w:p>
          <w:p w14:paraId="59424B42">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（5）甲方有权在项目实施过程中，要求乙方对不满足质量要求的工作进行返工，工期不予顺延。</w:t>
            </w:r>
          </w:p>
          <w:p w14:paraId="42D7BD3E">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（6）检测费金额大于合同金额，应视为乙方可预见风险，按合同总价款支付乙方检测费；检测费金额小于合同金额，按</w:t>
            </w:r>
            <w:r>
              <w:rPr>
                <w:rFonts w:hint="eastAsia" w:ascii="国标仿宋-GB/T 2312" w:hAnsi="国标仿宋-GB/T 2312" w:eastAsia="国标仿宋-GB/T 2312" w:cs="国标仿宋-GB/T 2312"/>
                <w:color w:val="auto"/>
                <w:sz w:val="24"/>
                <w:szCs w:val="24"/>
                <w:highlight w:val="none"/>
                <w:lang w:val="en-US" w:eastAsia="zh-CN"/>
              </w:rPr>
              <w:t>单</w:t>
            </w:r>
            <w:r>
              <w:rPr>
                <w:rFonts w:hint="eastAsia" w:ascii="国标仿宋-GB/T 2312" w:hAnsi="国标仿宋-GB/T 2312" w:eastAsia="国标仿宋-GB/T 2312" w:cs="国标仿宋-GB/T 2312"/>
                <w:color w:val="auto"/>
                <w:sz w:val="24"/>
                <w:szCs w:val="24"/>
                <w:highlight w:val="none"/>
              </w:rPr>
              <w:t>价测算据实结算。</w:t>
            </w:r>
          </w:p>
          <w:p w14:paraId="2C3FB056">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lang w:eastAsia="zh-CN"/>
              </w:rPr>
              <w:t>（</w:t>
            </w:r>
            <w:r>
              <w:rPr>
                <w:rFonts w:hint="eastAsia" w:ascii="国标仿宋-GB/T 2312" w:hAnsi="国标仿宋-GB/T 2312" w:eastAsia="国标仿宋-GB/T 2312" w:cs="国标仿宋-GB/T 2312"/>
                <w:color w:val="auto"/>
                <w:sz w:val="24"/>
                <w:szCs w:val="24"/>
                <w:highlight w:val="none"/>
                <w:lang w:val="en-US" w:eastAsia="zh-CN"/>
              </w:rPr>
              <w:t>7</w:t>
            </w:r>
            <w:r>
              <w:rPr>
                <w:rFonts w:hint="eastAsia" w:ascii="国标仿宋-GB/T 2312" w:hAnsi="国标仿宋-GB/T 2312" w:eastAsia="国标仿宋-GB/T 2312" w:cs="国标仿宋-GB/T 2312"/>
                <w:color w:val="auto"/>
                <w:sz w:val="24"/>
                <w:szCs w:val="24"/>
                <w:highlight w:val="none"/>
                <w:lang w:eastAsia="zh-CN"/>
              </w:rPr>
              <w:t>）</w:t>
            </w:r>
            <w:r>
              <w:rPr>
                <w:rFonts w:hint="eastAsia" w:ascii="国标仿宋-GB/T 2312" w:hAnsi="国标仿宋-GB/T 2312" w:eastAsia="国标仿宋-GB/T 2312" w:cs="国标仿宋-GB/T 2312"/>
                <w:color w:val="auto"/>
                <w:sz w:val="24"/>
                <w:szCs w:val="24"/>
                <w:highlight w:val="none"/>
                <w:lang w:val="en-US" w:eastAsia="zh-CN"/>
              </w:rPr>
              <w:t>乙方未在规定期限内完成工作任务的，每顺延一天罚金合同金额0.2%，</w:t>
            </w:r>
            <w:r>
              <w:rPr>
                <w:rFonts w:hint="eastAsia" w:ascii="国标仿宋-GB/T 2312" w:hAnsi="国标仿宋-GB/T 2312" w:eastAsia="国标仿宋-GB/T 2312" w:cs="国标仿宋-GB/T 2312"/>
                <w:color w:val="auto"/>
                <w:sz w:val="24"/>
                <w:szCs w:val="24"/>
                <w:highlight w:val="none"/>
                <w:lang w:val="zh-CN"/>
              </w:rPr>
              <w:t>如因甲方原因导致产品不能按</w:t>
            </w:r>
            <w:r>
              <w:rPr>
                <w:rFonts w:hint="eastAsia" w:ascii="国标仿宋-GB/T 2312" w:hAnsi="国标仿宋-GB/T 2312" w:eastAsia="国标仿宋-GB/T 2312" w:cs="国标仿宋-GB/T 2312"/>
                <w:color w:val="auto"/>
                <w:sz w:val="24"/>
                <w:szCs w:val="24"/>
                <w:highlight w:val="none"/>
                <w:lang w:val="en-US" w:eastAsia="zh-CN"/>
              </w:rPr>
              <w:t>期</w:t>
            </w:r>
            <w:r>
              <w:rPr>
                <w:rFonts w:hint="eastAsia" w:ascii="国标仿宋-GB/T 2312" w:hAnsi="国标仿宋-GB/T 2312" w:eastAsia="国标仿宋-GB/T 2312" w:cs="国标仿宋-GB/T 2312"/>
                <w:color w:val="auto"/>
                <w:sz w:val="24"/>
                <w:szCs w:val="24"/>
                <w:highlight w:val="none"/>
                <w:lang w:val="zh-CN"/>
              </w:rPr>
              <w:t>完成，乙方不用承担赔偿责任。</w:t>
            </w:r>
          </w:p>
        </w:tc>
      </w:tr>
      <w:tr w14:paraId="0B2EC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627" w:type="dxa"/>
            <w:vAlign w:val="center"/>
          </w:tcPr>
          <w:p w14:paraId="6C921E46">
            <w:pPr>
              <w:spacing w:line="360" w:lineRule="auto"/>
              <w:jc w:val="center"/>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5</w:t>
            </w:r>
          </w:p>
        </w:tc>
        <w:tc>
          <w:tcPr>
            <w:tcW w:w="7541" w:type="dxa"/>
            <w:vAlign w:val="center"/>
          </w:tcPr>
          <w:p w14:paraId="0B3FA534">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质量保证：</w:t>
            </w:r>
          </w:p>
          <w:p w14:paraId="487E0013">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（1）保证技术指标先进、质量性能可靠，全面满足采购要求。</w:t>
            </w:r>
          </w:p>
          <w:p w14:paraId="6C322B77">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（2）符合国家有关规范要求。</w:t>
            </w:r>
          </w:p>
          <w:p w14:paraId="1C03D6F0">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（3）供应商必须满足所有的参数要求，由此产生的风险由供应商自行承担。</w:t>
            </w:r>
          </w:p>
        </w:tc>
      </w:tr>
      <w:tr w14:paraId="602268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vAlign w:val="center"/>
          </w:tcPr>
          <w:p w14:paraId="0BFDA007">
            <w:pPr>
              <w:spacing w:line="360" w:lineRule="auto"/>
              <w:jc w:val="center"/>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6</w:t>
            </w:r>
          </w:p>
        </w:tc>
        <w:tc>
          <w:tcPr>
            <w:tcW w:w="7541" w:type="dxa"/>
            <w:vAlign w:val="center"/>
          </w:tcPr>
          <w:p w14:paraId="5FF1B479">
            <w:pPr>
              <w:spacing w:line="360" w:lineRule="auto"/>
              <w:ind w:left="360" w:hanging="360" w:hangingChars="1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验收方式</w:t>
            </w:r>
            <w:r>
              <w:rPr>
                <w:rFonts w:hint="eastAsia" w:ascii="国标仿宋-GB/T 2312" w:hAnsi="国标仿宋-GB/T 2312" w:eastAsia="国标仿宋-GB/T 2312" w:cs="国标仿宋-GB/T 2312"/>
                <w:color w:val="auto"/>
                <w:sz w:val="24"/>
                <w:szCs w:val="24"/>
                <w:highlight w:val="none"/>
                <w:lang w:val="zh-CN" w:eastAsia="zh-CN"/>
              </w:rPr>
              <w:t>、</w:t>
            </w:r>
            <w:r>
              <w:rPr>
                <w:rFonts w:hint="eastAsia" w:ascii="国标仿宋-GB/T 2312" w:hAnsi="国标仿宋-GB/T 2312" w:eastAsia="国标仿宋-GB/T 2312" w:cs="国标仿宋-GB/T 2312"/>
                <w:color w:val="auto"/>
                <w:sz w:val="24"/>
                <w:szCs w:val="24"/>
                <w:highlight w:val="none"/>
                <w:lang w:val="zh-CN"/>
              </w:rPr>
              <w:t>验收依据</w:t>
            </w:r>
            <w:r>
              <w:rPr>
                <w:rFonts w:hint="eastAsia" w:ascii="国标仿宋-GB/T 2312" w:hAnsi="国标仿宋-GB/T 2312" w:eastAsia="国标仿宋-GB/T 2312" w:cs="国标仿宋-GB/T 2312"/>
                <w:color w:val="auto"/>
                <w:sz w:val="24"/>
                <w:szCs w:val="24"/>
                <w:highlight w:val="none"/>
                <w:lang w:val="en-US" w:eastAsia="zh-CN"/>
              </w:rPr>
              <w:t>及验收标准</w:t>
            </w:r>
            <w:r>
              <w:rPr>
                <w:rFonts w:hint="eastAsia" w:ascii="国标仿宋-GB/T 2312" w:hAnsi="国标仿宋-GB/T 2312" w:eastAsia="国标仿宋-GB/T 2312" w:cs="国标仿宋-GB/T 2312"/>
                <w:color w:val="auto"/>
                <w:sz w:val="24"/>
                <w:szCs w:val="24"/>
                <w:highlight w:val="none"/>
                <w:lang w:val="zh-CN"/>
              </w:rPr>
              <w:t>：</w:t>
            </w:r>
          </w:p>
          <w:p w14:paraId="55E70948">
            <w:pPr>
              <w:spacing w:line="360" w:lineRule="auto"/>
              <w:ind w:left="360" w:hanging="360" w:hangingChars="1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（1）由供应商进行自检合格后，准备验收文件，并书面通知采购人。</w:t>
            </w:r>
          </w:p>
          <w:p w14:paraId="0B855FC8">
            <w:pPr>
              <w:spacing w:line="360" w:lineRule="auto"/>
              <w:ind w:left="360" w:hanging="360" w:hangingChars="1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（2）采购人确认供应商设备能够达到招标要求后，组织供应商（必要时请有关专家）进行项目验收，验收合格后，填写项目验收单作为对项目的最终认可。</w:t>
            </w:r>
          </w:p>
          <w:p w14:paraId="043E7544">
            <w:pPr>
              <w:spacing w:line="360" w:lineRule="auto"/>
              <w:ind w:left="360" w:hanging="360" w:hangingChars="1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（3）供应商向采购人提交项目实施过程中的所有资料,以便采购人日后管理和维护该项目。</w:t>
            </w:r>
          </w:p>
          <w:p w14:paraId="1A6FF0C1">
            <w:pPr>
              <w:spacing w:line="360" w:lineRule="auto"/>
              <w:ind w:left="360" w:hanging="360" w:hangingChars="1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（4）验收依据</w:t>
            </w:r>
          </w:p>
          <w:p w14:paraId="4F740022">
            <w:pPr>
              <w:spacing w:line="360" w:lineRule="auto"/>
              <w:ind w:left="394" w:leftChars="114" w:hanging="120" w:hangingChars="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①竞争性磋商文件、磋商响应文件、澄清表（函）；</w:t>
            </w:r>
          </w:p>
          <w:p w14:paraId="72EB4310">
            <w:pPr>
              <w:spacing w:line="360" w:lineRule="auto"/>
              <w:ind w:left="394" w:leftChars="114" w:hanging="120" w:hangingChars="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②本合同及附件文本；</w:t>
            </w:r>
          </w:p>
          <w:p w14:paraId="370B3070">
            <w:pPr>
              <w:spacing w:line="360" w:lineRule="auto"/>
              <w:ind w:left="394" w:leftChars="114" w:hanging="120" w:hangingChars="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③国家相应的标准、规范。</w:t>
            </w:r>
          </w:p>
          <w:p w14:paraId="0606C61C">
            <w:pPr>
              <w:spacing w:line="360" w:lineRule="auto"/>
              <w:rPr>
                <w:rFonts w:hint="eastAsia" w:ascii="国标仿宋-GB/T 2312" w:hAnsi="国标仿宋-GB/T 2312" w:eastAsia="国标仿宋-GB/T 2312" w:cs="国标仿宋-GB/T 2312"/>
                <w:color w:val="auto"/>
                <w:sz w:val="24"/>
                <w:szCs w:val="24"/>
                <w:highlight w:val="none"/>
                <w:lang w:val="en-US" w:eastAsia="zh-CN"/>
              </w:rPr>
            </w:pPr>
            <w:r>
              <w:rPr>
                <w:rFonts w:hint="eastAsia" w:ascii="国标仿宋-GB/T 2312" w:hAnsi="国标仿宋-GB/T 2312" w:eastAsia="国标仿宋-GB/T 2312" w:cs="国标仿宋-GB/T 2312"/>
                <w:color w:val="auto"/>
                <w:sz w:val="24"/>
                <w:szCs w:val="24"/>
                <w:highlight w:val="none"/>
                <w:lang w:val="zh-CN" w:eastAsia="zh-CN"/>
              </w:rPr>
              <w:t>（</w:t>
            </w:r>
            <w:r>
              <w:rPr>
                <w:rFonts w:hint="eastAsia" w:ascii="国标仿宋-GB/T 2312" w:hAnsi="国标仿宋-GB/T 2312" w:eastAsia="国标仿宋-GB/T 2312" w:cs="国标仿宋-GB/T 2312"/>
                <w:color w:val="auto"/>
                <w:sz w:val="24"/>
                <w:szCs w:val="24"/>
                <w:highlight w:val="none"/>
                <w:lang w:val="en-US" w:eastAsia="zh-CN"/>
              </w:rPr>
              <w:t>5</w:t>
            </w:r>
            <w:r>
              <w:rPr>
                <w:rFonts w:hint="eastAsia" w:ascii="国标仿宋-GB/T 2312" w:hAnsi="国标仿宋-GB/T 2312" w:eastAsia="国标仿宋-GB/T 2312" w:cs="国标仿宋-GB/T 2312"/>
                <w:color w:val="auto"/>
                <w:sz w:val="24"/>
                <w:szCs w:val="24"/>
                <w:highlight w:val="none"/>
                <w:lang w:val="zh-CN" w:eastAsia="zh-CN"/>
              </w:rPr>
              <w:t>）</w:t>
            </w:r>
            <w:r>
              <w:rPr>
                <w:rFonts w:hint="eastAsia" w:ascii="国标仿宋-GB/T 2312" w:hAnsi="国标仿宋-GB/T 2312" w:eastAsia="国标仿宋-GB/T 2312" w:cs="国标仿宋-GB/T 2312"/>
                <w:color w:val="auto"/>
                <w:sz w:val="24"/>
                <w:szCs w:val="24"/>
                <w:highlight w:val="none"/>
                <w:lang w:val="en-US" w:eastAsia="zh-CN"/>
              </w:rPr>
              <w:t>验收标准：满足交通运输部《公路工程质量检验评定标准 第一册，土建工程》（JTG F80/1-2017）、《公路养护工程质量检验评定标准 第一册，土建工程》（JTG 5220-2020）和省局下发“两化”指南和有关制度办法及管理文件。乙方按照合同约定完成相关成果报告并通过甲方确认。</w:t>
            </w:r>
          </w:p>
        </w:tc>
      </w:tr>
      <w:tr w14:paraId="6BCDE7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8" w:hRule="atLeast"/>
        </w:trPr>
        <w:tc>
          <w:tcPr>
            <w:tcW w:w="627" w:type="dxa"/>
            <w:vAlign w:val="center"/>
          </w:tcPr>
          <w:p w14:paraId="6EAD270C">
            <w:pPr>
              <w:spacing w:line="360" w:lineRule="auto"/>
              <w:jc w:val="center"/>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7</w:t>
            </w:r>
          </w:p>
        </w:tc>
        <w:tc>
          <w:tcPr>
            <w:tcW w:w="7541" w:type="dxa"/>
            <w:vAlign w:val="center"/>
          </w:tcPr>
          <w:p w14:paraId="51D9A96F">
            <w:pPr>
              <w:spacing w:line="360" w:lineRule="auto"/>
              <w:ind w:left="360" w:hanging="360" w:hangingChars="15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违约责任：</w:t>
            </w:r>
          </w:p>
          <w:p w14:paraId="4C040BFA">
            <w:pPr>
              <w:spacing w:line="360" w:lineRule="auto"/>
              <w:ind w:left="360" w:hanging="360" w:hangingChars="1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（1）按《中华人民共和国民法典》中的相关条款执行。</w:t>
            </w:r>
          </w:p>
          <w:p w14:paraId="718D7CDA">
            <w:pPr>
              <w:spacing w:line="360" w:lineRule="auto"/>
              <w:ind w:left="360" w:hanging="360" w:hangingChars="150"/>
              <w:rPr>
                <w:rFonts w:hint="eastAsia" w:ascii="国标仿宋-GB/T 2312" w:hAnsi="国标仿宋-GB/T 2312" w:eastAsia="国标仿宋-GB/T 2312" w:cs="国标仿宋-GB/T 2312"/>
                <w:color w:val="auto"/>
                <w:sz w:val="24"/>
                <w:szCs w:val="24"/>
                <w:highlight w:val="none"/>
                <w:lang w:val="zh-CN"/>
              </w:rPr>
            </w:pPr>
            <w:r>
              <w:rPr>
                <w:rFonts w:hint="eastAsia" w:ascii="国标仿宋-GB/T 2312" w:hAnsi="国标仿宋-GB/T 2312" w:eastAsia="国标仿宋-GB/T 2312" w:cs="国标仿宋-GB/T 2312"/>
                <w:color w:val="auto"/>
                <w:sz w:val="24"/>
                <w:szCs w:val="24"/>
                <w:highlight w:val="none"/>
                <w:lang w:val="zh-CN"/>
              </w:rPr>
              <w:t>（2）未按合同要求提供的服务，采购人会同招标组织机构有权终止合同和对供应商的违约行为进行追究。</w:t>
            </w:r>
          </w:p>
          <w:p w14:paraId="0D439D2B">
            <w:pPr>
              <w:spacing w:line="360" w:lineRule="auto"/>
              <w:ind w:left="360" w:hanging="360" w:hangingChars="15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lang w:val="zh-CN"/>
              </w:rPr>
              <w:t>（3）</w:t>
            </w:r>
            <w:r>
              <w:rPr>
                <w:rFonts w:hint="eastAsia" w:ascii="国标仿宋-GB/T 2312" w:hAnsi="国标仿宋-GB/T 2312" w:eastAsia="国标仿宋-GB/T 2312" w:cs="国标仿宋-GB/T 2312"/>
                <w:color w:val="auto"/>
                <w:kern w:val="0"/>
                <w:sz w:val="24"/>
                <w:szCs w:val="24"/>
                <w:highlight w:val="none"/>
                <w:lang w:val="en-US" w:eastAsia="zh-CN"/>
              </w:rPr>
              <w:t>如乙方不能按期完成工作任务，甲方应按逾期每日</w:t>
            </w:r>
            <w:r>
              <w:rPr>
                <w:rFonts w:hint="eastAsia" w:ascii="国标仿宋-GB/T 2312" w:hAnsi="国标仿宋-GB/T 2312" w:eastAsia="国标仿宋-GB/T 2312" w:cs="国标仿宋-GB/T 2312"/>
                <w:color w:val="auto"/>
                <w:sz w:val="24"/>
                <w:szCs w:val="24"/>
                <w:highlight w:val="none"/>
                <w:lang w:val="en-US" w:eastAsia="zh-CN"/>
              </w:rPr>
              <w:t>罚金合同金额</w:t>
            </w:r>
            <w:r>
              <w:rPr>
                <w:rFonts w:hint="eastAsia" w:ascii="国标仿宋-GB/T 2312" w:hAnsi="国标仿宋-GB/T 2312" w:eastAsia="国标仿宋-GB/T 2312" w:cs="国标仿宋-GB/T 2312"/>
                <w:color w:val="auto"/>
                <w:kern w:val="0"/>
                <w:sz w:val="24"/>
                <w:szCs w:val="24"/>
                <w:highlight w:val="none"/>
                <w:lang w:val="en-US" w:eastAsia="zh-CN"/>
              </w:rPr>
              <w:t>0.2%计算违约金</w:t>
            </w:r>
            <w:r>
              <w:rPr>
                <w:rFonts w:hint="eastAsia" w:ascii="国标仿宋-GB/T 2312" w:hAnsi="国标仿宋-GB/T 2312" w:eastAsia="国标仿宋-GB/T 2312" w:cs="国标仿宋-GB/T 2312"/>
                <w:color w:val="auto"/>
                <w:sz w:val="24"/>
                <w:szCs w:val="24"/>
                <w:highlight w:val="none"/>
                <w:lang w:val="zh-CN"/>
              </w:rPr>
              <w:t>；如因甲方原因导致产品不能按</w:t>
            </w:r>
            <w:r>
              <w:rPr>
                <w:rFonts w:hint="eastAsia" w:ascii="国标仿宋-GB/T 2312" w:hAnsi="国标仿宋-GB/T 2312" w:eastAsia="国标仿宋-GB/T 2312" w:cs="国标仿宋-GB/T 2312"/>
                <w:color w:val="auto"/>
                <w:sz w:val="24"/>
                <w:szCs w:val="24"/>
                <w:highlight w:val="none"/>
                <w:lang w:val="en-US" w:eastAsia="zh-CN"/>
              </w:rPr>
              <w:t>期</w:t>
            </w:r>
            <w:r>
              <w:rPr>
                <w:rFonts w:hint="eastAsia" w:ascii="国标仿宋-GB/T 2312" w:hAnsi="国标仿宋-GB/T 2312" w:eastAsia="国标仿宋-GB/T 2312" w:cs="国标仿宋-GB/T 2312"/>
                <w:color w:val="auto"/>
                <w:sz w:val="24"/>
                <w:szCs w:val="24"/>
                <w:highlight w:val="none"/>
                <w:lang w:val="zh-CN"/>
              </w:rPr>
              <w:t>完成，乙方不用承担赔偿责任。</w:t>
            </w:r>
          </w:p>
        </w:tc>
      </w:tr>
    </w:tbl>
    <w:p w14:paraId="1A740209">
      <w:pPr>
        <w:jc w:val="left"/>
        <w:rPr>
          <w:rFonts w:hint="eastAsia" w:ascii="国标仿宋-GB/T 2312" w:hAnsi="国标仿宋-GB/T 2312" w:eastAsia="国标仿宋-GB/T 2312" w:cs="国标仿宋-GB/T 2312"/>
          <w:bCs/>
          <w:color w:val="auto"/>
          <w:sz w:val="24"/>
          <w:szCs w:val="24"/>
          <w:highlight w:val="none"/>
        </w:rPr>
      </w:pPr>
      <w:r>
        <w:rPr>
          <w:rFonts w:hint="eastAsia" w:ascii="国标仿宋-GB/T 2312" w:hAnsi="国标仿宋-GB/T 2312" w:eastAsia="国标仿宋-GB/T 2312" w:cs="国标仿宋-GB/T 2312"/>
          <w:bCs/>
          <w:color w:val="auto"/>
          <w:sz w:val="24"/>
          <w:szCs w:val="24"/>
          <w:highlight w:val="none"/>
        </w:rPr>
        <w:br w:type="page"/>
      </w:r>
    </w:p>
    <w:p w14:paraId="591DE025">
      <w:pPr>
        <w:pStyle w:val="4"/>
        <w:rPr>
          <w:rFonts w:hint="eastAsia" w:ascii="国标仿宋-GB/T 2312" w:hAnsi="国标仿宋-GB/T 2312" w:eastAsia="国标仿宋-GB/T 2312" w:cs="国标仿宋-GB/T 2312"/>
          <w:color w:val="auto"/>
          <w:sz w:val="24"/>
          <w:szCs w:val="24"/>
          <w:highlight w:val="none"/>
        </w:rPr>
      </w:pPr>
    </w:p>
    <w:p w14:paraId="4459C1D5">
      <w:pPr>
        <w:jc w:val="left"/>
        <w:rPr>
          <w:rFonts w:hint="eastAsia" w:ascii="国标仿宋-GB/T 2312" w:hAnsi="国标仿宋-GB/T 2312" w:eastAsia="国标仿宋-GB/T 2312" w:cs="国标仿宋-GB/T 2312"/>
          <w:b/>
          <w:bCs/>
          <w:color w:val="auto"/>
          <w:sz w:val="24"/>
          <w:szCs w:val="24"/>
          <w:highlight w:val="none"/>
        </w:rPr>
      </w:pPr>
      <w:r>
        <w:rPr>
          <w:rFonts w:hint="eastAsia" w:ascii="国标仿宋-GB/T 2312" w:hAnsi="国标仿宋-GB/T 2312" w:eastAsia="国标仿宋-GB/T 2312" w:cs="国标仿宋-GB/T 2312"/>
          <w:b/>
          <w:bCs/>
          <w:color w:val="auto"/>
          <w:sz w:val="24"/>
          <w:szCs w:val="24"/>
          <w:highlight w:val="none"/>
        </w:rPr>
        <w:t>合同编号：</w:t>
      </w:r>
    </w:p>
    <w:p w14:paraId="7D6FD709">
      <w:pPr>
        <w:pStyle w:val="2"/>
        <w:rPr>
          <w:rFonts w:hint="eastAsia" w:ascii="国标仿宋-GB/T 2312" w:hAnsi="国标仿宋-GB/T 2312" w:eastAsia="国标仿宋-GB/T 2312" w:cs="国标仿宋-GB/T 2312"/>
          <w:b/>
          <w:bCs/>
          <w:color w:val="auto"/>
          <w:sz w:val="24"/>
          <w:szCs w:val="24"/>
          <w:highlight w:val="none"/>
        </w:rPr>
      </w:pPr>
    </w:p>
    <w:p w14:paraId="2646D726">
      <w:pPr>
        <w:pStyle w:val="2"/>
        <w:rPr>
          <w:rFonts w:hint="eastAsia" w:ascii="国标仿宋-GB/T 2312" w:hAnsi="国标仿宋-GB/T 2312" w:eastAsia="国标仿宋-GB/T 2312" w:cs="国标仿宋-GB/T 2312"/>
          <w:color w:val="auto"/>
          <w:sz w:val="24"/>
          <w:szCs w:val="24"/>
          <w:highlight w:val="none"/>
        </w:rPr>
      </w:pPr>
    </w:p>
    <w:p w14:paraId="3E567182">
      <w:pPr>
        <w:jc w:val="center"/>
        <w:rPr>
          <w:rFonts w:hint="eastAsia" w:ascii="国标仿宋-GB/T 2312" w:hAnsi="国标仿宋-GB/T 2312" w:eastAsia="国标仿宋-GB/T 2312" w:cs="国标仿宋-GB/T 2312"/>
          <w:b/>
          <w:bCs/>
          <w:color w:val="auto"/>
          <w:sz w:val="44"/>
          <w:szCs w:val="44"/>
          <w:highlight w:val="none"/>
          <w:lang w:eastAsia="zh-CN"/>
        </w:rPr>
      </w:pPr>
      <w:r>
        <w:rPr>
          <w:rFonts w:hint="eastAsia" w:ascii="国标仿宋-GB/T 2312" w:hAnsi="国标仿宋-GB/T 2312" w:eastAsia="国标仿宋-GB/T 2312" w:cs="国标仿宋-GB/T 2312"/>
          <w:b/>
          <w:bCs/>
          <w:color w:val="auto"/>
          <w:sz w:val="44"/>
          <w:szCs w:val="44"/>
          <w:highlight w:val="none"/>
          <w:lang w:eastAsia="zh-CN"/>
        </w:rPr>
        <w:t>202</w:t>
      </w:r>
      <w:r>
        <w:rPr>
          <w:rFonts w:hint="eastAsia" w:ascii="国标仿宋-GB/T 2312" w:hAnsi="国标仿宋-GB/T 2312" w:eastAsia="国标仿宋-GB/T 2312" w:cs="国标仿宋-GB/T 2312"/>
          <w:b/>
          <w:bCs/>
          <w:color w:val="auto"/>
          <w:sz w:val="44"/>
          <w:szCs w:val="44"/>
          <w:highlight w:val="none"/>
          <w:lang w:val="en-US" w:eastAsia="zh-CN"/>
        </w:rPr>
        <w:t>6</w:t>
      </w:r>
      <w:r>
        <w:rPr>
          <w:rFonts w:hint="eastAsia" w:ascii="国标仿宋-GB/T 2312" w:hAnsi="国标仿宋-GB/T 2312" w:eastAsia="国标仿宋-GB/T 2312" w:cs="国标仿宋-GB/T 2312"/>
          <w:b/>
          <w:bCs/>
          <w:color w:val="auto"/>
          <w:sz w:val="44"/>
          <w:szCs w:val="44"/>
          <w:highlight w:val="none"/>
          <w:lang w:eastAsia="zh-CN"/>
        </w:rPr>
        <w:t>年度公路养护工程质量行业抽检项目</w:t>
      </w:r>
    </w:p>
    <w:p w14:paraId="28D5DA3A">
      <w:pPr>
        <w:jc w:val="center"/>
        <w:rPr>
          <w:rFonts w:hint="eastAsia" w:ascii="国标仿宋-GB/T 2312" w:hAnsi="国标仿宋-GB/T 2312" w:eastAsia="国标仿宋-GB/T 2312" w:cs="国标仿宋-GB/T 2312"/>
          <w:b/>
          <w:bCs/>
          <w:color w:val="auto"/>
          <w:sz w:val="44"/>
          <w:szCs w:val="44"/>
          <w:highlight w:val="none"/>
          <w:lang w:eastAsia="zh-CN"/>
        </w:rPr>
      </w:pPr>
    </w:p>
    <w:p w14:paraId="59B49D85">
      <w:pPr>
        <w:jc w:val="center"/>
        <w:rPr>
          <w:rFonts w:hint="eastAsia" w:ascii="国标仿宋-GB/T 2312" w:hAnsi="国标仿宋-GB/T 2312" w:eastAsia="国标仿宋-GB/T 2312" w:cs="国标仿宋-GB/T 2312"/>
          <w:b/>
          <w:bCs/>
          <w:color w:val="auto"/>
          <w:sz w:val="24"/>
          <w:szCs w:val="24"/>
          <w:highlight w:val="none"/>
          <w:lang w:eastAsia="zh-CN"/>
        </w:rPr>
      </w:pPr>
    </w:p>
    <w:p w14:paraId="2A6754AE">
      <w:pPr>
        <w:jc w:val="center"/>
        <w:rPr>
          <w:rFonts w:hint="eastAsia" w:ascii="国标仿宋-GB/T 2312" w:hAnsi="国标仿宋-GB/T 2312" w:eastAsia="国标仿宋-GB/T 2312" w:cs="国标仿宋-GB/T 2312"/>
          <w:b/>
          <w:bCs/>
          <w:color w:val="auto"/>
          <w:sz w:val="24"/>
          <w:szCs w:val="24"/>
          <w:highlight w:val="none"/>
        </w:rPr>
      </w:pPr>
    </w:p>
    <w:p w14:paraId="5693F2C1">
      <w:pPr>
        <w:jc w:val="both"/>
        <w:rPr>
          <w:rFonts w:hint="eastAsia" w:ascii="国标仿宋-GB/T 2312" w:hAnsi="国标仿宋-GB/T 2312" w:eastAsia="国标仿宋-GB/T 2312" w:cs="国标仿宋-GB/T 2312"/>
          <w:b/>
          <w:bCs/>
          <w:color w:val="auto"/>
          <w:sz w:val="24"/>
          <w:szCs w:val="24"/>
          <w:highlight w:val="none"/>
        </w:rPr>
      </w:pPr>
    </w:p>
    <w:p w14:paraId="0CF263E8">
      <w:pPr>
        <w:jc w:val="center"/>
        <w:rPr>
          <w:rFonts w:hint="eastAsia" w:ascii="国标仿宋-GB/T 2312" w:hAnsi="国标仿宋-GB/T 2312" w:eastAsia="国标仿宋-GB/T 2312" w:cs="国标仿宋-GB/T 2312"/>
          <w:b/>
          <w:bCs/>
          <w:color w:val="auto"/>
          <w:sz w:val="24"/>
          <w:szCs w:val="24"/>
          <w:highlight w:val="none"/>
        </w:rPr>
      </w:pPr>
    </w:p>
    <w:p w14:paraId="4BAC4392">
      <w:pPr>
        <w:jc w:val="both"/>
        <w:rPr>
          <w:rFonts w:hint="eastAsia" w:ascii="国标仿宋-GB/T 2312" w:hAnsi="国标仿宋-GB/T 2312" w:eastAsia="国标仿宋-GB/T 2312" w:cs="国标仿宋-GB/T 2312"/>
          <w:b/>
          <w:bCs/>
          <w:color w:val="auto"/>
          <w:sz w:val="24"/>
          <w:szCs w:val="24"/>
          <w:highlight w:val="none"/>
        </w:rPr>
      </w:pPr>
    </w:p>
    <w:p w14:paraId="75268EF8">
      <w:pPr>
        <w:jc w:val="center"/>
        <w:rPr>
          <w:rFonts w:hint="eastAsia" w:ascii="国标仿宋-GB/T 2312" w:hAnsi="国标仿宋-GB/T 2312" w:eastAsia="国标仿宋-GB/T 2312" w:cs="国标仿宋-GB/T 2312"/>
          <w:b/>
          <w:bCs/>
          <w:color w:val="auto"/>
          <w:sz w:val="28"/>
          <w:szCs w:val="28"/>
          <w:highlight w:val="none"/>
        </w:rPr>
      </w:pPr>
      <w:r>
        <w:rPr>
          <w:rFonts w:hint="eastAsia" w:ascii="国标仿宋-GB/T 2312" w:hAnsi="国标仿宋-GB/T 2312" w:eastAsia="国标仿宋-GB/T 2312" w:cs="国标仿宋-GB/T 2312"/>
          <w:b/>
          <w:bCs/>
          <w:color w:val="auto"/>
          <w:sz w:val="28"/>
          <w:szCs w:val="28"/>
          <w:highlight w:val="none"/>
        </w:rPr>
        <w:t>采购合同</w:t>
      </w:r>
    </w:p>
    <w:p w14:paraId="27316A43">
      <w:pPr>
        <w:pStyle w:val="4"/>
        <w:rPr>
          <w:rFonts w:hint="eastAsia" w:ascii="国标仿宋-GB/T 2312" w:hAnsi="国标仿宋-GB/T 2312" w:eastAsia="国标仿宋-GB/T 2312" w:cs="国标仿宋-GB/T 2312"/>
          <w:color w:val="auto"/>
          <w:sz w:val="28"/>
          <w:szCs w:val="28"/>
          <w:highlight w:val="none"/>
        </w:rPr>
      </w:pPr>
    </w:p>
    <w:p w14:paraId="2954D7D1">
      <w:pPr>
        <w:jc w:val="center"/>
        <w:rPr>
          <w:rFonts w:hint="eastAsia" w:ascii="国标仿宋-GB/T 2312" w:hAnsi="国标仿宋-GB/T 2312" w:eastAsia="国标仿宋-GB/T 2312" w:cs="国标仿宋-GB/T 2312"/>
          <w:b/>
          <w:color w:val="auto"/>
          <w:sz w:val="28"/>
          <w:szCs w:val="28"/>
          <w:highlight w:val="none"/>
        </w:rPr>
      </w:pPr>
      <w:r>
        <w:rPr>
          <w:rFonts w:hint="eastAsia" w:ascii="国标仿宋-GB/T 2312" w:hAnsi="国标仿宋-GB/T 2312" w:eastAsia="国标仿宋-GB/T 2312" w:cs="国标仿宋-GB/T 2312"/>
          <w:b/>
          <w:color w:val="auto"/>
          <w:sz w:val="28"/>
          <w:szCs w:val="28"/>
          <w:highlight w:val="none"/>
        </w:rPr>
        <w:t>（示范文本）</w:t>
      </w:r>
    </w:p>
    <w:p w14:paraId="3AE86D50">
      <w:pPr>
        <w:spacing w:before="120" w:beforeLines="50" w:line="360" w:lineRule="auto"/>
        <w:rPr>
          <w:rFonts w:hint="eastAsia" w:ascii="国标仿宋-GB/T 2312" w:hAnsi="国标仿宋-GB/T 2312" w:eastAsia="国标仿宋-GB/T 2312" w:cs="国标仿宋-GB/T 2312"/>
          <w:bCs/>
          <w:color w:val="auto"/>
          <w:sz w:val="24"/>
          <w:szCs w:val="24"/>
          <w:highlight w:val="none"/>
        </w:rPr>
      </w:pPr>
    </w:p>
    <w:p w14:paraId="4A154A2C">
      <w:pPr>
        <w:spacing w:before="120" w:beforeLines="50" w:line="360" w:lineRule="auto"/>
        <w:jc w:val="both"/>
        <w:rPr>
          <w:rFonts w:hint="eastAsia" w:ascii="国标仿宋-GB/T 2312" w:hAnsi="国标仿宋-GB/T 2312" w:eastAsia="国标仿宋-GB/T 2312" w:cs="国标仿宋-GB/T 2312"/>
          <w:b/>
          <w:bCs/>
          <w:color w:val="auto"/>
          <w:sz w:val="24"/>
          <w:szCs w:val="24"/>
          <w:highlight w:val="none"/>
        </w:rPr>
      </w:pPr>
    </w:p>
    <w:p w14:paraId="21F1F4F2">
      <w:pPr>
        <w:spacing w:before="120" w:beforeLines="50" w:line="360" w:lineRule="auto"/>
        <w:ind w:firstLine="1188" w:firstLineChars="493"/>
        <w:jc w:val="left"/>
        <w:rPr>
          <w:rFonts w:hint="eastAsia" w:ascii="国标仿宋-GB/T 2312" w:hAnsi="国标仿宋-GB/T 2312" w:eastAsia="国标仿宋-GB/T 2312" w:cs="国标仿宋-GB/T 2312"/>
          <w:b/>
          <w:bCs/>
          <w:color w:val="auto"/>
          <w:sz w:val="24"/>
          <w:szCs w:val="24"/>
          <w:highlight w:val="none"/>
        </w:rPr>
      </w:pPr>
      <w:r>
        <w:rPr>
          <w:rFonts w:hint="eastAsia" w:ascii="国标仿宋-GB/T 2312" w:hAnsi="国标仿宋-GB/T 2312" w:eastAsia="国标仿宋-GB/T 2312" w:cs="国标仿宋-GB/T 2312"/>
          <w:b/>
          <w:bCs/>
          <w:color w:val="auto"/>
          <w:sz w:val="24"/>
          <w:szCs w:val="24"/>
          <w:highlight w:val="none"/>
        </w:rPr>
        <w:t>采购人： 陕西省公路局</w:t>
      </w:r>
    </w:p>
    <w:p w14:paraId="0C15B51D">
      <w:pPr>
        <w:spacing w:before="120" w:beforeLines="50" w:line="360" w:lineRule="auto"/>
        <w:ind w:firstLine="1188" w:firstLineChars="493"/>
        <w:jc w:val="left"/>
        <w:rPr>
          <w:rFonts w:hint="eastAsia" w:ascii="国标仿宋-GB/T 2312" w:hAnsi="国标仿宋-GB/T 2312" w:eastAsia="国标仿宋-GB/T 2312" w:cs="国标仿宋-GB/T 2312"/>
          <w:b/>
          <w:bCs/>
          <w:color w:val="auto"/>
          <w:sz w:val="24"/>
          <w:szCs w:val="24"/>
          <w:highlight w:val="none"/>
        </w:rPr>
      </w:pPr>
      <w:r>
        <w:rPr>
          <w:rFonts w:hint="eastAsia" w:ascii="国标仿宋-GB/T 2312" w:hAnsi="国标仿宋-GB/T 2312" w:eastAsia="国标仿宋-GB/T 2312" w:cs="国标仿宋-GB/T 2312"/>
          <w:b/>
          <w:bCs/>
          <w:color w:val="auto"/>
          <w:sz w:val="24"/>
          <w:szCs w:val="24"/>
          <w:highlight w:val="none"/>
        </w:rPr>
        <w:t>供应商：</w:t>
      </w:r>
    </w:p>
    <w:p w14:paraId="08308F6C">
      <w:pPr>
        <w:pStyle w:val="2"/>
        <w:rPr>
          <w:rFonts w:hint="eastAsia" w:ascii="国标仿宋-GB/T 2312" w:hAnsi="国标仿宋-GB/T 2312" w:eastAsia="国标仿宋-GB/T 2312" w:cs="国标仿宋-GB/T 2312"/>
          <w:color w:val="auto"/>
          <w:sz w:val="24"/>
          <w:szCs w:val="24"/>
          <w:highlight w:val="none"/>
          <w:lang w:val="en-US" w:eastAsia="zh-CN"/>
        </w:rPr>
      </w:pPr>
      <w:r>
        <w:rPr>
          <w:rFonts w:hint="eastAsia" w:ascii="国标仿宋-GB/T 2312" w:hAnsi="国标仿宋-GB/T 2312" w:eastAsia="国标仿宋-GB/T 2312" w:cs="国标仿宋-GB/T 2312"/>
          <w:b/>
          <w:bCs/>
          <w:color w:val="auto"/>
          <w:sz w:val="24"/>
          <w:szCs w:val="24"/>
          <w:highlight w:val="none"/>
          <w:lang w:val="en-US" w:eastAsia="zh-CN"/>
        </w:rPr>
        <w:t xml:space="preserve">          签约地点：</w:t>
      </w:r>
    </w:p>
    <w:p w14:paraId="2345B9F4">
      <w:pPr>
        <w:spacing w:before="120" w:beforeLines="50" w:line="360" w:lineRule="auto"/>
        <w:jc w:val="center"/>
        <w:rPr>
          <w:rFonts w:hint="eastAsia" w:ascii="国标仿宋-GB/T 2312" w:hAnsi="国标仿宋-GB/T 2312" w:eastAsia="国标仿宋-GB/T 2312" w:cs="国标仿宋-GB/T 2312"/>
          <w:b/>
          <w:bCs/>
          <w:color w:val="auto"/>
          <w:sz w:val="24"/>
          <w:szCs w:val="24"/>
          <w:highlight w:val="none"/>
        </w:rPr>
      </w:pPr>
      <w:r>
        <w:rPr>
          <w:rFonts w:hint="eastAsia" w:ascii="国标仿宋-GB/T 2312" w:hAnsi="国标仿宋-GB/T 2312" w:eastAsia="国标仿宋-GB/T 2312" w:cs="国标仿宋-GB/T 2312"/>
          <w:b/>
          <w:bCs/>
          <w:color w:val="auto"/>
          <w:sz w:val="24"/>
          <w:szCs w:val="24"/>
          <w:highlight w:val="none"/>
        </w:rPr>
        <w:t>二〇二</w:t>
      </w:r>
      <w:r>
        <w:rPr>
          <w:rFonts w:hint="eastAsia" w:ascii="国标仿宋-GB/T 2312" w:hAnsi="国标仿宋-GB/T 2312" w:eastAsia="国标仿宋-GB/T 2312" w:cs="国标仿宋-GB/T 2312"/>
          <w:b/>
          <w:bCs/>
          <w:color w:val="auto"/>
          <w:sz w:val="24"/>
          <w:szCs w:val="24"/>
          <w:highlight w:val="none"/>
          <w:lang w:val="en-US" w:eastAsia="zh-CN"/>
        </w:rPr>
        <w:t>六</w:t>
      </w:r>
      <w:r>
        <w:rPr>
          <w:rFonts w:hint="eastAsia" w:ascii="国标仿宋-GB/T 2312" w:hAnsi="国标仿宋-GB/T 2312" w:eastAsia="国标仿宋-GB/T 2312" w:cs="国标仿宋-GB/T 2312"/>
          <w:b/>
          <w:bCs/>
          <w:color w:val="auto"/>
          <w:sz w:val="24"/>
          <w:szCs w:val="24"/>
          <w:highlight w:val="none"/>
        </w:rPr>
        <w:t>年  月</w:t>
      </w:r>
      <w:r>
        <w:rPr>
          <w:rFonts w:hint="eastAsia" w:ascii="国标仿宋-GB/T 2312" w:hAnsi="国标仿宋-GB/T 2312" w:eastAsia="国标仿宋-GB/T 2312" w:cs="国标仿宋-GB/T 2312"/>
          <w:b/>
          <w:bCs/>
          <w:color w:val="auto"/>
          <w:sz w:val="24"/>
          <w:szCs w:val="24"/>
          <w:highlight w:val="none"/>
        </w:rPr>
        <w:br w:type="page"/>
      </w:r>
      <w:r>
        <w:rPr>
          <w:rFonts w:hint="eastAsia" w:ascii="国标仿宋-GB/T 2312" w:hAnsi="国标仿宋-GB/T 2312" w:eastAsia="国标仿宋-GB/T 2312" w:cs="国标仿宋-GB/T 2312"/>
          <w:b/>
          <w:bCs/>
          <w:color w:val="auto"/>
          <w:sz w:val="24"/>
          <w:szCs w:val="24"/>
          <w:highlight w:val="none"/>
        </w:rPr>
        <w:t>第一部分  协议书</w:t>
      </w:r>
    </w:p>
    <w:p w14:paraId="04A0AC4C">
      <w:pPr>
        <w:adjustRightInd w:val="0"/>
        <w:snapToGrid w:val="0"/>
        <w:spacing w:line="360" w:lineRule="auto"/>
        <w:ind w:firstLine="482" w:firstLineChars="200"/>
        <w:rPr>
          <w:rFonts w:hint="eastAsia" w:ascii="国标仿宋-GB/T 2312" w:hAnsi="国标仿宋-GB/T 2312" w:eastAsia="国标仿宋-GB/T 2312" w:cs="国标仿宋-GB/T 2312"/>
          <w:b/>
          <w:color w:val="auto"/>
          <w:sz w:val="24"/>
          <w:szCs w:val="24"/>
          <w:highlight w:val="none"/>
          <w:lang w:val="en-US" w:eastAsia="zh-CN"/>
        </w:rPr>
      </w:pPr>
      <w:r>
        <w:rPr>
          <w:rFonts w:hint="eastAsia" w:ascii="国标仿宋-GB/T 2312" w:hAnsi="国标仿宋-GB/T 2312" w:eastAsia="国标仿宋-GB/T 2312" w:cs="国标仿宋-GB/T 2312"/>
          <w:b/>
          <w:color w:val="auto"/>
          <w:sz w:val="24"/>
          <w:szCs w:val="24"/>
          <w:highlight w:val="none"/>
        </w:rPr>
        <w:t>采购人（甲方）：</w:t>
      </w:r>
      <w:r>
        <w:rPr>
          <w:rFonts w:hint="eastAsia" w:ascii="国标仿宋-GB/T 2312" w:hAnsi="国标仿宋-GB/T 2312" w:eastAsia="国标仿宋-GB/T 2312" w:cs="国标仿宋-GB/T 2312"/>
          <w:b/>
          <w:color w:val="auto"/>
          <w:sz w:val="24"/>
          <w:szCs w:val="24"/>
          <w:highlight w:val="none"/>
          <w:u w:val="single"/>
        </w:rPr>
        <w:t xml:space="preserve"> 陕西省公路局</w:t>
      </w:r>
      <w:r>
        <w:rPr>
          <w:rFonts w:hint="eastAsia" w:ascii="国标仿宋-GB/T 2312" w:hAnsi="国标仿宋-GB/T 2312" w:eastAsia="国标仿宋-GB/T 2312" w:cs="国标仿宋-GB/T 2312"/>
          <w:b/>
          <w:color w:val="auto"/>
          <w:sz w:val="24"/>
          <w:szCs w:val="24"/>
          <w:highlight w:val="none"/>
          <w:u w:val="single"/>
          <w:lang w:val="en-US" w:eastAsia="zh-CN"/>
        </w:rPr>
        <w:t xml:space="preserve">     </w:t>
      </w:r>
    </w:p>
    <w:p w14:paraId="29079319">
      <w:pPr>
        <w:adjustRightInd w:val="0"/>
        <w:snapToGrid w:val="0"/>
        <w:spacing w:line="360" w:lineRule="auto"/>
        <w:ind w:firstLine="482" w:firstLineChars="200"/>
        <w:rPr>
          <w:rFonts w:hint="eastAsia" w:ascii="国标仿宋-GB/T 2312" w:hAnsi="国标仿宋-GB/T 2312" w:eastAsia="国标仿宋-GB/T 2312" w:cs="国标仿宋-GB/T 2312"/>
          <w:color w:val="auto"/>
          <w:sz w:val="24"/>
          <w:szCs w:val="24"/>
          <w:highlight w:val="none"/>
          <w:u w:val="single"/>
          <w:lang w:val="en-US" w:eastAsia="zh-CN"/>
        </w:rPr>
      </w:pPr>
      <w:r>
        <w:rPr>
          <w:rFonts w:hint="eastAsia" w:ascii="国标仿宋-GB/T 2312" w:hAnsi="国标仿宋-GB/T 2312" w:eastAsia="国标仿宋-GB/T 2312" w:cs="国标仿宋-GB/T 2312"/>
          <w:b/>
          <w:color w:val="auto"/>
          <w:sz w:val="24"/>
          <w:szCs w:val="24"/>
          <w:highlight w:val="none"/>
        </w:rPr>
        <w:t>供应商（乙方）：</w:t>
      </w:r>
      <w:r>
        <w:rPr>
          <w:rFonts w:hint="eastAsia" w:ascii="国标仿宋-GB/T 2312" w:hAnsi="国标仿宋-GB/T 2312" w:eastAsia="国标仿宋-GB/T 2312" w:cs="国标仿宋-GB/T 2312"/>
          <w:b/>
          <w:color w:val="auto"/>
          <w:sz w:val="24"/>
          <w:szCs w:val="24"/>
          <w:highlight w:val="none"/>
          <w:u w:val="single"/>
          <w:lang w:val="en-US" w:eastAsia="zh-CN"/>
        </w:rPr>
        <w:t xml:space="preserve">                  </w:t>
      </w:r>
    </w:p>
    <w:p w14:paraId="36B5B13D">
      <w:pPr>
        <w:adjustRightInd w:val="0"/>
        <w:snapToGrid w:val="0"/>
        <w:spacing w:line="360" w:lineRule="auto"/>
        <w:ind w:firstLine="480" w:firstLineChars="200"/>
        <w:rPr>
          <w:rFonts w:hint="eastAsia" w:ascii="国标仿宋-GB/T 2312" w:hAnsi="国标仿宋-GB/T 2312" w:eastAsia="国标仿宋-GB/T 2312" w:cs="国标仿宋-GB/T 2312"/>
          <w:color w:val="auto"/>
          <w:sz w:val="24"/>
          <w:szCs w:val="24"/>
          <w:highlight w:val="none"/>
          <w:u w:val="single"/>
        </w:rPr>
      </w:pPr>
      <w:r>
        <w:rPr>
          <w:rFonts w:hint="eastAsia" w:ascii="国标仿宋-GB/T 2312" w:hAnsi="国标仿宋-GB/T 2312" w:eastAsia="国标仿宋-GB/T 2312" w:cs="国标仿宋-GB/T 2312"/>
          <w:color w:val="auto"/>
          <w:sz w:val="24"/>
          <w:szCs w:val="24"/>
          <w:highlight w:val="none"/>
        </w:rPr>
        <w:t>根据《中华人民共和国民法典》及其他有关法律、法规，遵循平等、自愿、公平和诚信的原则，双方就下述项目范围与相关服务事项协商一致，订立本合同。</w:t>
      </w:r>
    </w:p>
    <w:p w14:paraId="4C4E8F84">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一、项目概况</w:t>
      </w:r>
    </w:p>
    <w:p w14:paraId="09FA95AA">
      <w:pPr>
        <w:adjustRightInd w:val="0"/>
        <w:snapToGrid w:val="0"/>
        <w:spacing w:line="360" w:lineRule="auto"/>
        <w:ind w:left="720" w:leftChars="200" w:hanging="240" w:hangingChars="100"/>
        <w:jc w:val="left"/>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 项目名称：</w:t>
      </w:r>
      <w:r>
        <w:rPr>
          <w:rFonts w:hint="eastAsia" w:ascii="国标仿宋-GB/T 2312" w:hAnsi="国标仿宋-GB/T 2312" w:eastAsia="国标仿宋-GB/T 2312" w:cs="国标仿宋-GB/T 2312"/>
          <w:color w:val="auto"/>
          <w:sz w:val="24"/>
          <w:szCs w:val="24"/>
          <w:highlight w:val="none"/>
          <w:u w:val="single"/>
          <w:lang w:eastAsia="zh-CN"/>
        </w:rPr>
        <w:t>202</w:t>
      </w:r>
      <w:r>
        <w:rPr>
          <w:rFonts w:hint="eastAsia" w:ascii="国标仿宋-GB/T 2312" w:hAnsi="国标仿宋-GB/T 2312" w:eastAsia="国标仿宋-GB/T 2312" w:cs="国标仿宋-GB/T 2312"/>
          <w:color w:val="auto"/>
          <w:sz w:val="24"/>
          <w:szCs w:val="24"/>
          <w:highlight w:val="none"/>
          <w:u w:val="single"/>
          <w:lang w:val="en-US" w:eastAsia="zh-CN"/>
        </w:rPr>
        <w:t>6</w:t>
      </w:r>
      <w:r>
        <w:rPr>
          <w:rFonts w:hint="eastAsia" w:ascii="国标仿宋-GB/T 2312" w:hAnsi="国标仿宋-GB/T 2312" w:eastAsia="国标仿宋-GB/T 2312" w:cs="国标仿宋-GB/T 2312"/>
          <w:color w:val="auto"/>
          <w:sz w:val="24"/>
          <w:szCs w:val="24"/>
          <w:highlight w:val="none"/>
          <w:u w:val="single"/>
          <w:lang w:eastAsia="zh-CN"/>
        </w:rPr>
        <w:t>年度公路养护工程质量行业抽检项目</w:t>
      </w:r>
      <w:r>
        <w:rPr>
          <w:rFonts w:hint="eastAsia" w:ascii="国标仿宋-GB/T 2312" w:hAnsi="国标仿宋-GB/T 2312" w:eastAsia="国标仿宋-GB/T 2312" w:cs="国标仿宋-GB/T 2312"/>
          <w:color w:val="auto"/>
          <w:sz w:val="24"/>
          <w:szCs w:val="24"/>
          <w:highlight w:val="none"/>
        </w:rPr>
        <w:t>；</w:t>
      </w:r>
    </w:p>
    <w:p w14:paraId="23DA7339">
      <w:pPr>
        <w:adjustRightInd w:val="0"/>
        <w:snapToGrid w:val="0"/>
        <w:spacing w:line="360" w:lineRule="auto"/>
        <w:ind w:firstLine="475" w:firstLineChars="198"/>
        <w:rPr>
          <w:rFonts w:hint="eastAsia" w:ascii="国标仿宋-GB/T 2312" w:hAnsi="国标仿宋-GB/T 2312" w:eastAsia="国标仿宋-GB/T 2312" w:cs="国标仿宋-GB/T 2312"/>
          <w:color w:val="auto"/>
          <w:sz w:val="24"/>
          <w:szCs w:val="24"/>
          <w:highlight w:val="none"/>
          <w:u w:val="single"/>
          <w:lang w:val="en-US" w:eastAsia="zh-CN"/>
        </w:rPr>
      </w:pPr>
      <w:r>
        <w:rPr>
          <w:rFonts w:hint="eastAsia" w:ascii="国标仿宋-GB/T 2312" w:hAnsi="国标仿宋-GB/T 2312" w:eastAsia="国标仿宋-GB/T 2312" w:cs="国标仿宋-GB/T 2312"/>
          <w:color w:val="auto"/>
          <w:sz w:val="24"/>
          <w:szCs w:val="24"/>
          <w:highlight w:val="none"/>
        </w:rPr>
        <w:t>2. 项目地点：</w:t>
      </w:r>
      <w:r>
        <w:rPr>
          <w:rFonts w:hint="eastAsia" w:ascii="国标仿宋-GB/T 2312" w:hAnsi="国标仿宋-GB/T 2312" w:eastAsia="国标仿宋-GB/T 2312" w:cs="国标仿宋-GB/T 2312"/>
          <w:color w:val="auto"/>
          <w:sz w:val="24"/>
          <w:szCs w:val="24"/>
          <w:highlight w:val="none"/>
          <w:u w:val="single"/>
          <w:lang w:val="en-US" w:eastAsia="zh-CN"/>
        </w:rPr>
        <w:t xml:space="preserve">          </w:t>
      </w:r>
    </w:p>
    <w:p w14:paraId="38F3A819">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二、组成本合同的文件</w:t>
      </w:r>
    </w:p>
    <w:p w14:paraId="2A68859C">
      <w:pPr>
        <w:adjustRightInd w:val="0"/>
        <w:snapToGrid w:val="0"/>
        <w:spacing w:line="360" w:lineRule="auto"/>
        <w:ind w:firstLine="475" w:firstLineChars="198"/>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 协议书；</w:t>
      </w:r>
    </w:p>
    <w:p w14:paraId="59777E9D">
      <w:pPr>
        <w:adjustRightInd w:val="0"/>
        <w:snapToGrid w:val="0"/>
        <w:spacing w:line="360" w:lineRule="auto"/>
        <w:ind w:firstLine="475" w:firstLineChars="198"/>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 成交通知书、响应文件、竞争性磋商文件、澄清、措施补充文件；</w:t>
      </w:r>
    </w:p>
    <w:p w14:paraId="466C837F">
      <w:pPr>
        <w:adjustRightInd w:val="0"/>
        <w:snapToGrid w:val="0"/>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 相关服务建议书；</w:t>
      </w:r>
    </w:p>
    <w:p w14:paraId="525A095E">
      <w:pPr>
        <w:adjustRightInd w:val="0"/>
        <w:snapToGrid w:val="0"/>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    4. 附录，即：附表内相关服务的范围和内容；</w:t>
      </w:r>
    </w:p>
    <w:p w14:paraId="70AAA2D0">
      <w:pPr>
        <w:adjustRightInd w:val="0"/>
        <w:snapToGrid w:val="0"/>
        <w:spacing w:line="360" w:lineRule="auto"/>
        <w:ind w:firstLine="475" w:firstLineChars="198"/>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本合同签订后，双方依法签订的补充协议也是本合同文件的组成部分。</w:t>
      </w:r>
    </w:p>
    <w:p w14:paraId="2B61FFE6">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三、合同金额</w:t>
      </w:r>
    </w:p>
    <w:p w14:paraId="26D1EE8C">
      <w:pPr>
        <w:adjustRightInd w:val="0"/>
        <w:snapToGrid w:val="0"/>
        <w:spacing w:line="360" w:lineRule="auto"/>
        <w:ind w:firstLine="480" w:firstLineChars="200"/>
        <w:rPr>
          <w:rFonts w:hint="eastAsia" w:ascii="国标仿宋-GB/T 2312" w:hAnsi="国标仿宋-GB/T 2312" w:eastAsia="国标仿宋-GB/T 2312" w:cs="国标仿宋-GB/T 2312"/>
          <w:b w:val="0"/>
          <w:bCs/>
          <w:color w:val="auto"/>
          <w:sz w:val="24"/>
          <w:szCs w:val="24"/>
          <w:highlight w:val="none"/>
        </w:rPr>
      </w:pPr>
      <w:r>
        <w:rPr>
          <w:rFonts w:hint="eastAsia" w:ascii="国标仿宋-GB/T 2312" w:hAnsi="国标仿宋-GB/T 2312" w:eastAsia="国标仿宋-GB/T 2312" w:cs="国标仿宋-GB/T 2312"/>
          <w:b w:val="0"/>
          <w:bCs/>
          <w:color w:val="auto"/>
          <w:sz w:val="24"/>
          <w:szCs w:val="24"/>
          <w:highlight w:val="none"/>
        </w:rPr>
        <w:t>合同金额（</w:t>
      </w:r>
      <w:r>
        <w:rPr>
          <w:rFonts w:hint="eastAsia" w:ascii="国标仿宋-GB/T 2312" w:hAnsi="国标仿宋-GB/T 2312" w:eastAsia="国标仿宋-GB/T 2312" w:cs="国标仿宋-GB/T 2312"/>
          <w:b w:val="0"/>
          <w:bCs/>
          <w:color w:val="auto"/>
          <w:sz w:val="24"/>
          <w:szCs w:val="24"/>
          <w:highlight w:val="none"/>
          <w:lang w:val="en-US" w:eastAsia="zh-CN"/>
        </w:rPr>
        <w:t>大写</w:t>
      </w:r>
      <w:r>
        <w:rPr>
          <w:rFonts w:hint="eastAsia" w:ascii="国标仿宋-GB/T 2312" w:hAnsi="国标仿宋-GB/T 2312" w:eastAsia="国标仿宋-GB/T 2312" w:cs="国标仿宋-GB/T 2312"/>
          <w:b w:val="0"/>
          <w:bCs/>
          <w:color w:val="auto"/>
          <w:sz w:val="24"/>
          <w:szCs w:val="24"/>
          <w:highlight w:val="none"/>
        </w:rPr>
        <w:t>）：</w:t>
      </w:r>
      <w:r>
        <w:rPr>
          <w:rFonts w:hint="eastAsia" w:ascii="国标仿宋-GB/T 2312" w:hAnsi="国标仿宋-GB/T 2312" w:eastAsia="国标仿宋-GB/T 2312" w:cs="国标仿宋-GB/T 2312"/>
          <w:b w:val="0"/>
          <w:bCs/>
          <w:color w:val="auto"/>
          <w:sz w:val="24"/>
          <w:szCs w:val="24"/>
          <w:highlight w:val="none"/>
          <w:u w:val="single"/>
        </w:rPr>
        <w:t xml:space="preserve">        </w:t>
      </w:r>
      <w:r>
        <w:rPr>
          <w:rFonts w:hint="eastAsia" w:ascii="国标仿宋-GB/T 2312" w:hAnsi="国标仿宋-GB/T 2312" w:eastAsia="国标仿宋-GB/T 2312" w:cs="国标仿宋-GB/T 2312"/>
          <w:b w:val="0"/>
          <w:bCs/>
          <w:color w:val="auto"/>
          <w:sz w:val="24"/>
          <w:szCs w:val="24"/>
          <w:highlight w:val="none"/>
        </w:rPr>
        <w:t xml:space="preserve"> 元整（¥</w:t>
      </w:r>
      <w:r>
        <w:rPr>
          <w:rFonts w:hint="eastAsia" w:ascii="国标仿宋-GB/T 2312" w:hAnsi="国标仿宋-GB/T 2312" w:eastAsia="国标仿宋-GB/T 2312" w:cs="国标仿宋-GB/T 2312"/>
          <w:b w:val="0"/>
          <w:bCs/>
          <w:color w:val="auto"/>
          <w:sz w:val="24"/>
          <w:szCs w:val="24"/>
          <w:highlight w:val="none"/>
          <w:u w:val="single"/>
        </w:rPr>
        <w:t xml:space="preserve">       </w:t>
      </w:r>
      <w:r>
        <w:rPr>
          <w:rFonts w:hint="eastAsia" w:ascii="国标仿宋-GB/T 2312" w:hAnsi="国标仿宋-GB/T 2312" w:eastAsia="国标仿宋-GB/T 2312" w:cs="国标仿宋-GB/T 2312"/>
          <w:b w:val="0"/>
          <w:bCs/>
          <w:color w:val="auto"/>
          <w:sz w:val="24"/>
          <w:szCs w:val="24"/>
          <w:highlight w:val="none"/>
        </w:rPr>
        <w:t>元），检测单价详见磋商报价。</w:t>
      </w:r>
    </w:p>
    <w:p w14:paraId="3788AC1C">
      <w:pPr>
        <w:adjustRightInd w:val="0"/>
        <w:snapToGrid w:val="0"/>
        <w:spacing w:line="360" w:lineRule="auto"/>
        <w:ind w:firstLine="480" w:firstLineChars="200"/>
        <w:rPr>
          <w:rFonts w:hint="eastAsia" w:ascii="国标仿宋-GB/T 2312" w:hAnsi="国标仿宋-GB/T 2312" w:eastAsia="国标仿宋-GB/T 2312" w:cs="国标仿宋-GB/T 2312"/>
          <w:b w:val="0"/>
          <w:bCs/>
          <w:color w:val="auto"/>
          <w:sz w:val="24"/>
          <w:szCs w:val="24"/>
          <w:highlight w:val="none"/>
        </w:rPr>
      </w:pPr>
      <w:r>
        <w:rPr>
          <w:rFonts w:hint="eastAsia" w:ascii="国标仿宋-GB/T 2312" w:hAnsi="国标仿宋-GB/T 2312" w:eastAsia="国标仿宋-GB/T 2312" w:cs="国标仿宋-GB/T 2312"/>
          <w:b w:val="0"/>
          <w:bCs/>
          <w:color w:val="auto"/>
          <w:sz w:val="24"/>
          <w:szCs w:val="24"/>
          <w:highlight w:val="none"/>
        </w:rPr>
        <w:t>合同总价即中标价，合同价格为含税价，供应商（中标人）提供产品所发生的一切税（包括增值税）费等都已包含于合同价款中。</w:t>
      </w:r>
    </w:p>
    <w:p w14:paraId="35DEB8F2">
      <w:pPr>
        <w:adjustRightInd w:val="0"/>
        <w:snapToGrid w:val="0"/>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四、结算方式</w:t>
      </w:r>
    </w:p>
    <w:p w14:paraId="199A1C77">
      <w:pPr>
        <w:spacing w:line="360" w:lineRule="auto"/>
        <w:ind w:firstLine="729" w:firstLineChars="304"/>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1.结算单位：银行转账，由采购人负责结算。在付款前，供应商必须开具与合同金额相应的发票给采购人，附详细清单。</w:t>
      </w:r>
    </w:p>
    <w:p w14:paraId="197BF2CA">
      <w:pPr>
        <w:spacing w:line="360" w:lineRule="auto"/>
        <w:ind w:firstLine="729" w:firstLineChars="304"/>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 2.付款方式： </w:t>
      </w:r>
    </w:p>
    <w:p w14:paraId="5E035E4B">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w:t>
      </w:r>
      <w:r>
        <w:rPr>
          <w:rFonts w:hint="eastAsia" w:ascii="国标仿宋-GB/T 2312" w:hAnsi="国标仿宋-GB/T 2312" w:eastAsia="国标仿宋-GB/T 2312" w:cs="国标仿宋-GB/T 2312"/>
          <w:color w:val="auto"/>
          <w:sz w:val="24"/>
          <w:szCs w:val="24"/>
          <w:highlight w:val="none"/>
          <w:lang w:val="en-US" w:eastAsia="zh-CN"/>
        </w:rPr>
        <w:t>合同签订前，乙方须向甲方缴纳合同总金额5%的履约保证金，履约保证金待供应商履行完毕全部合同义务，并经甲方验收合格，无任何纠纷后无息退还。</w:t>
      </w:r>
    </w:p>
    <w:p w14:paraId="1FE3E3A0">
      <w:pPr>
        <w:spacing w:line="360" w:lineRule="auto"/>
        <w:ind w:firstLine="480" w:firstLineChars="200"/>
        <w:rPr>
          <w:rFonts w:hint="eastAsia" w:ascii="国标仿宋-GB/T 2312" w:hAnsi="国标仿宋-GB/T 2312" w:eastAsia="国标仿宋-GB/T 2312" w:cs="国标仿宋-GB/T 2312"/>
          <w:color w:val="auto"/>
          <w:kern w:val="0"/>
          <w:sz w:val="24"/>
          <w:szCs w:val="24"/>
          <w:lang w:val="en-US" w:eastAsia="zh-CN"/>
        </w:rPr>
      </w:pPr>
      <w:r>
        <w:rPr>
          <w:rFonts w:hint="eastAsia" w:ascii="国标仿宋-GB/T 2312" w:hAnsi="国标仿宋-GB/T 2312" w:eastAsia="国标仿宋-GB/T 2312" w:cs="国标仿宋-GB/T 2312"/>
          <w:color w:val="auto"/>
          <w:sz w:val="24"/>
          <w:szCs w:val="24"/>
          <w:highlight w:val="none"/>
        </w:rPr>
        <w:t>（2）合同签订后，甲方收到乙方提交的履约保证金及合规有效的增值税普通发票之日起15日内，甲方向乙方支付合同总金额的60%;乙方提交项目初步成果并经甲方确认满足要求之日起15日内，甲方向乙方支付合同总金额的40%;若未完成约定全部工作量，甲方按合同单价和乙方实际完成工作量计算并支付剩余合同价款。</w:t>
      </w:r>
    </w:p>
    <w:p w14:paraId="293EBFED">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（3）甲方每次付款前，乙方均应开具等额的税务发票，否则甲方有权拒绝付款，且不应承担迟延付款的责任。</w:t>
      </w:r>
    </w:p>
    <w:p w14:paraId="734661F5">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（4）乙方超出任务书范围的工程量以及未通过甲方审查的工程量，甲方有权不予结算和支付相应款项。</w:t>
      </w:r>
    </w:p>
    <w:p w14:paraId="19C0AB8D">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（5）甲方有权在项目实施过程中，要求乙方对不满足质量要求的工作进行返工，工期不予顺延。</w:t>
      </w:r>
    </w:p>
    <w:p w14:paraId="17AA512D">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（6）检测费金额大于合同金额，应视为乙方可预见风险，按合同总价款支付乙方检测费；检测费金额小于合同金额，按</w:t>
      </w:r>
      <w:r>
        <w:rPr>
          <w:rFonts w:hint="eastAsia" w:ascii="国标仿宋-GB/T 2312" w:hAnsi="国标仿宋-GB/T 2312" w:eastAsia="国标仿宋-GB/T 2312" w:cs="国标仿宋-GB/T 2312"/>
          <w:color w:val="auto"/>
          <w:sz w:val="24"/>
          <w:szCs w:val="24"/>
          <w:highlight w:val="none"/>
          <w:lang w:val="en-US" w:eastAsia="zh-CN"/>
        </w:rPr>
        <w:t>单</w:t>
      </w:r>
      <w:r>
        <w:rPr>
          <w:rFonts w:hint="eastAsia" w:ascii="国标仿宋-GB/T 2312" w:hAnsi="国标仿宋-GB/T 2312" w:eastAsia="国标仿宋-GB/T 2312" w:cs="国标仿宋-GB/T 2312"/>
          <w:color w:val="auto"/>
          <w:sz w:val="24"/>
          <w:szCs w:val="24"/>
          <w:highlight w:val="none"/>
        </w:rPr>
        <w:t>价测算据实结算。</w:t>
      </w:r>
    </w:p>
    <w:p w14:paraId="664589F4">
      <w:pPr>
        <w:pStyle w:val="2"/>
        <w:ind w:firstLine="480" w:firstLineChars="200"/>
        <w:rPr>
          <w:rFonts w:hint="eastAsia" w:ascii="国标仿宋-GB/T 2312" w:hAnsi="国标仿宋-GB/T 2312" w:eastAsia="国标仿宋-GB/T 2312" w:cs="国标仿宋-GB/T 2312"/>
          <w:color w:val="auto"/>
          <w:sz w:val="24"/>
          <w:szCs w:val="24"/>
          <w:highlight w:val="none"/>
          <w:lang w:val="en-US" w:eastAsia="zh-CN"/>
        </w:rPr>
      </w:pPr>
      <w:r>
        <w:rPr>
          <w:rFonts w:hint="eastAsia" w:ascii="国标仿宋-GB/T 2312" w:hAnsi="国标仿宋-GB/T 2312" w:eastAsia="国标仿宋-GB/T 2312" w:cs="国标仿宋-GB/T 2312"/>
          <w:color w:val="auto"/>
          <w:sz w:val="24"/>
          <w:szCs w:val="24"/>
          <w:highlight w:val="none"/>
          <w:lang w:eastAsia="zh-CN"/>
        </w:rPr>
        <w:t>（</w:t>
      </w:r>
      <w:r>
        <w:rPr>
          <w:rFonts w:hint="eastAsia" w:ascii="国标仿宋-GB/T 2312" w:hAnsi="国标仿宋-GB/T 2312" w:eastAsia="国标仿宋-GB/T 2312" w:cs="国标仿宋-GB/T 2312"/>
          <w:color w:val="auto"/>
          <w:sz w:val="24"/>
          <w:szCs w:val="24"/>
          <w:highlight w:val="none"/>
          <w:lang w:val="en-US" w:eastAsia="zh-CN"/>
        </w:rPr>
        <w:t>7</w:t>
      </w:r>
      <w:r>
        <w:rPr>
          <w:rFonts w:hint="eastAsia" w:ascii="国标仿宋-GB/T 2312" w:hAnsi="国标仿宋-GB/T 2312" w:eastAsia="国标仿宋-GB/T 2312" w:cs="国标仿宋-GB/T 2312"/>
          <w:color w:val="auto"/>
          <w:sz w:val="24"/>
          <w:szCs w:val="24"/>
          <w:highlight w:val="none"/>
          <w:lang w:eastAsia="zh-CN"/>
        </w:rPr>
        <w:t>）</w:t>
      </w:r>
      <w:r>
        <w:rPr>
          <w:rFonts w:hint="eastAsia" w:ascii="国标仿宋-GB/T 2312" w:hAnsi="国标仿宋-GB/T 2312" w:eastAsia="国标仿宋-GB/T 2312" w:cs="国标仿宋-GB/T 2312"/>
          <w:color w:val="auto"/>
          <w:sz w:val="24"/>
          <w:szCs w:val="24"/>
          <w:highlight w:val="none"/>
          <w:lang w:val="en-US" w:eastAsia="zh-CN"/>
        </w:rPr>
        <w:t>乙方未在规定期限内完成工作任务的，每顺延一天罚金合同金额0.2%</w:t>
      </w:r>
      <w:r>
        <w:rPr>
          <w:rFonts w:hint="eastAsia" w:ascii="国标仿宋-GB/T 2312" w:hAnsi="国标仿宋-GB/T 2312" w:eastAsia="国标仿宋-GB/T 2312" w:cs="国标仿宋-GB/T 2312"/>
          <w:color w:val="auto"/>
          <w:sz w:val="24"/>
          <w:szCs w:val="24"/>
          <w:highlight w:val="none"/>
          <w:lang w:val="zh-CN"/>
        </w:rPr>
        <w:t>；如因甲方原因导致产品不能按</w:t>
      </w:r>
      <w:r>
        <w:rPr>
          <w:rFonts w:hint="eastAsia" w:ascii="国标仿宋-GB/T 2312" w:hAnsi="国标仿宋-GB/T 2312" w:eastAsia="国标仿宋-GB/T 2312" w:cs="国标仿宋-GB/T 2312"/>
          <w:color w:val="auto"/>
          <w:sz w:val="24"/>
          <w:szCs w:val="24"/>
          <w:highlight w:val="none"/>
          <w:lang w:val="en-US" w:eastAsia="zh-CN"/>
        </w:rPr>
        <w:t>期</w:t>
      </w:r>
      <w:r>
        <w:rPr>
          <w:rFonts w:hint="eastAsia" w:ascii="国标仿宋-GB/T 2312" w:hAnsi="国标仿宋-GB/T 2312" w:eastAsia="国标仿宋-GB/T 2312" w:cs="国标仿宋-GB/T 2312"/>
          <w:color w:val="auto"/>
          <w:sz w:val="24"/>
          <w:szCs w:val="24"/>
          <w:highlight w:val="none"/>
          <w:lang w:val="zh-CN"/>
        </w:rPr>
        <w:t>完成，乙方不用承担赔偿责任。</w:t>
      </w:r>
    </w:p>
    <w:p w14:paraId="410EB2C7">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 xml:space="preserve">五、服务期  </w:t>
      </w:r>
    </w:p>
    <w:p w14:paraId="4A65F42F">
      <w:pPr>
        <w:pStyle w:val="7"/>
        <w:ind w:firstLine="480" w:firstLineChars="200"/>
        <w:rPr>
          <w:rFonts w:ascii="国标仿宋-GB/T 2312" w:hAnsi="国标仿宋-GB/T 2312" w:eastAsia="国标仿宋-GB/T 2312" w:cs="国标仿宋-GB/T 2312"/>
          <w:color w:val="auto"/>
          <w:sz w:val="24"/>
          <w:szCs w:val="24"/>
          <w:highlight w:val="none"/>
          <w:lang w:eastAsia="zh-CN" w:bidi="ar-SA"/>
        </w:rPr>
      </w:pPr>
      <w:r>
        <w:rPr>
          <w:rFonts w:ascii="国标仿宋-GB/T 2312" w:hAnsi="国标仿宋-GB/T 2312" w:eastAsia="国标仿宋-GB/T 2312" w:cs="国标仿宋-GB/T 2312"/>
          <w:color w:val="auto"/>
          <w:sz w:val="24"/>
          <w:szCs w:val="24"/>
          <w:highlight w:val="none"/>
          <w:lang w:eastAsia="zh-CN" w:bidi="ar-SA"/>
        </w:rPr>
        <w:t>合同生效后至202</w:t>
      </w:r>
      <w:r>
        <w:rPr>
          <w:rFonts w:hint="eastAsia" w:ascii="国标仿宋-GB/T 2312" w:hAnsi="国标仿宋-GB/T 2312" w:eastAsia="国标仿宋-GB/T 2312" w:cs="国标仿宋-GB/T 2312"/>
          <w:color w:val="auto"/>
          <w:sz w:val="24"/>
          <w:szCs w:val="24"/>
          <w:highlight w:val="none"/>
          <w:lang w:val="en-US" w:eastAsia="zh-CN" w:bidi="ar-SA"/>
        </w:rPr>
        <w:t>6</w:t>
      </w:r>
      <w:r>
        <w:rPr>
          <w:rFonts w:ascii="国标仿宋-GB/T 2312" w:hAnsi="国标仿宋-GB/T 2312" w:eastAsia="国标仿宋-GB/T 2312" w:cs="国标仿宋-GB/T 2312"/>
          <w:color w:val="auto"/>
          <w:sz w:val="24"/>
          <w:szCs w:val="24"/>
          <w:highlight w:val="none"/>
          <w:lang w:eastAsia="zh-CN" w:bidi="ar-SA"/>
        </w:rPr>
        <w:t>年12月31日（根据项目进展情况，服务期最晚延伸至202</w:t>
      </w:r>
      <w:r>
        <w:rPr>
          <w:rFonts w:hint="eastAsia" w:ascii="国标仿宋-GB/T 2312" w:hAnsi="国标仿宋-GB/T 2312" w:eastAsia="国标仿宋-GB/T 2312" w:cs="国标仿宋-GB/T 2312"/>
          <w:color w:val="auto"/>
          <w:sz w:val="24"/>
          <w:szCs w:val="24"/>
          <w:highlight w:val="none"/>
          <w:lang w:val="en-US" w:eastAsia="zh-CN" w:bidi="ar-SA"/>
        </w:rPr>
        <w:t>7</w:t>
      </w:r>
      <w:r>
        <w:rPr>
          <w:rFonts w:ascii="国标仿宋-GB/T 2312" w:hAnsi="国标仿宋-GB/T 2312" w:eastAsia="国标仿宋-GB/T 2312" w:cs="国标仿宋-GB/T 2312"/>
          <w:color w:val="auto"/>
          <w:sz w:val="24"/>
          <w:szCs w:val="24"/>
          <w:highlight w:val="none"/>
          <w:lang w:eastAsia="zh-CN" w:bidi="ar-SA"/>
        </w:rPr>
        <w:t>年6月30日）</w:t>
      </w:r>
    </w:p>
    <w:p w14:paraId="3BA4AB5E">
      <w:pPr>
        <w:adjustRightInd w:val="0"/>
        <w:snapToGrid w:val="0"/>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六、质保期</w:t>
      </w:r>
    </w:p>
    <w:p w14:paraId="16CFDA2E">
      <w:pPr>
        <w:tabs>
          <w:tab w:val="left" w:pos="840"/>
        </w:tabs>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合同签订前，供应商向采购人缴纳合同总金额5%的履约保证金。经采购人履约验收合格，保证期到期且无任何纠纷后一次性无息退还</w:t>
      </w:r>
    </w:p>
    <w:p w14:paraId="68FD44EA">
      <w:pPr>
        <w:numPr>
          <w:ilvl w:val="0"/>
          <w:numId w:val="1"/>
        </w:numPr>
        <w:tabs>
          <w:tab w:val="left" w:pos="840"/>
        </w:tabs>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内容及要求</w:t>
      </w:r>
    </w:p>
    <w:p w14:paraId="1237A70C">
      <w:pPr>
        <w:tabs>
          <w:tab w:val="left" w:pos="840"/>
        </w:tabs>
        <w:spacing w:line="360" w:lineRule="auto"/>
        <w:ind w:firstLine="480" w:firstLineChars="200"/>
        <w:rPr>
          <w:rFonts w:hint="eastAsia" w:ascii="国标仿宋-GB/T 2312" w:hAnsi="国标仿宋-GB/T 2312" w:eastAsia="国标仿宋-GB/T 2312" w:cs="国标仿宋-GB/T 2312"/>
          <w:color w:val="auto"/>
          <w:sz w:val="24"/>
          <w:szCs w:val="24"/>
          <w:highlight w:val="none"/>
          <w:lang w:val="en-US" w:eastAsia="zh-CN"/>
        </w:rPr>
      </w:pPr>
      <w:r>
        <w:rPr>
          <w:rFonts w:hint="eastAsia" w:ascii="国标仿宋-GB/T 2312" w:hAnsi="国标仿宋-GB/T 2312" w:eastAsia="国标仿宋-GB/T 2312" w:cs="国标仿宋-GB/T 2312"/>
          <w:color w:val="auto"/>
          <w:sz w:val="24"/>
          <w:szCs w:val="24"/>
          <w:highlight w:val="none"/>
          <w:lang w:val="en-US" w:eastAsia="zh-CN"/>
        </w:rPr>
        <w:t>完成15个以上高速公路总投资400万元以上由高速公路经营管理单位自行审批的养护工程项目的质量抽检（包括项目管理行为检查、施工工艺检查、原材料抽检以及工程实体检查等方面）；完成全省30个以上普通干线公路养护大中修工程、路面改造和专项养护工程项目的质量抽检（包括项目管理行为检查、施工工艺检查、原材料抽检以及工程实体检查等方面）。高速和普通干线公路检测指标总数量（点或组）不少于4000个，形成工程质量抽检报告和年度分析报告。</w:t>
      </w:r>
    </w:p>
    <w:p w14:paraId="023B643F">
      <w:pPr>
        <w:tabs>
          <w:tab w:val="left" w:pos="840"/>
        </w:tabs>
        <w:spacing w:line="360" w:lineRule="auto"/>
        <w:ind w:firstLine="480" w:firstLineChars="200"/>
        <w:rPr>
          <w:rFonts w:hint="eastAsia" w:ascii="国标仿宋-GB/T 2312" w:hAnsi="国标仿宋-GB/T 2312" w:eastAsia="国标仿宋-GB/T 2312" w:cs="国标仿宋-GB/T 2312"/>
          <w:color w:val="auto"/>
          <w:sz w:val="24"/>
          <w:szCs w:val="24"/>
          <w:highlight w:val="none"/>
          <w:lang w:val="en-US" w:eastAsia="zh-CN"/>
        </w:rPr>
      </w:pPr>
      <w:r>
        <w:rPr>
          <w:rFonts w:hint="eastAsia" w:ascii="国标仿宋-GB/T 2312" w:hAnsi="国标仿宋-GB/T 2312" w:eastAsia="国标仿宋-GB/T 2312" w:cs="国标仿宋-GB/T 2312"/>
          <w:color w:val="auto"/>
          <w:sz w:val="24"/>
          <w:szCs w:val="24"/>
          <w:highlight w:val="none"/>
          <w:lang w:val="en-US" w:eastAsia="zh-CN"/>
        </w:rPr>
        <w:t>合同履约期间，供应商应投入充足的检测设备和检测人员，至少保证能投入2个检测组，同时开展检测任务。每个检测组均应设置内业、外业工作部，确保检测的及时性，所有抽检项目试验报告均须在抽检结束后7个日历日内出具检测报告。</w:t>
      </w:r>
    </w:p>
    <w:p w14:paraId="5AA4834A">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八、售后服务</w:t>
      </w:r>
    </w:p>
    <w:p w14:paraId="0D0B3CF8">
      <w:pPr>
        <w:tabs>
          <w:tab w:val="left" w:pos="840"/>
        </w:tabs>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技术支持和售后服务由供应商严格按</w:t>
      </w:r>
      <w:r>
        <w:rPr>
          <w:rFonts w:hint="eastAsia" w:ascii="国标仿宋-GB/T 2312" w:hAnsi="国标仿宋-GB/T 2312" w:eastAsia="国标仿宋-GB/T 2312" w:cs="国标仿宋-GB/T 2312"/>
          <w:color w:val="auto"/>
          <w:sz w:val="24"/>
          <w:szCs w:val="24"/>
          <w:highlight w:val="none"/>
          <w:lang w:val="en-US" w:eastAsia="zh-CN"/>
        </w:rPr>
        <w:t>磋商文件和响应</w:t>
      </w:r>
      <w:r>
        <w:rPr>
          <w:rFonts w:hint="eastAsia" w:ascii="国标仿宋-GB/T 2312" w:hAnsi="国标仿宋-GB/T 2312" w:eastAsia="国标仿宋-GB/T 2312" w:cs="国标仿宋-GB/T 2312"/>
          <w:color w:val="auto"/>
          <w:sz w:val="24"/>
          <w:szCs w:val="24"/>
          <w:highlight w:val="none"/>
        </w:rPr>
        <w:t>文件及有关承诺执行，确保采购人正确安全使用。出现问题时，2小时内电话响应，12小时内电话解决问题，如有需要48小时内到达故障现场解决问题。</w:t>
      </w:r>
    </w:p>
    <w:p w14:paraId="79C7CD57">
      <w:pPr>
        <w:tabs>
          <w:tab w:val="left" w:pos="840"/>
        </w:tabs>
        <w:spacing w:line="360" w:lineRule="auto"/>
        <w:ind w:firstLine="480" w:firstLineChars="200"/>
        <w:rPr>
          <w:rFonts w:hint="eastAsia" w:ascii="国标仿宋-GB/T 2312" w:hAnsi="国标仿宋-GB/T 2312" w:eastAsia="国标仿宋-GB/T 2312" w:cs="国标仿宋-GB/T 2312"/>
          <w:color w:val="auto"/>
          <w:sz w:val="24"/>
          <w:szCs w:val="24"/>
          <w:highlight w:val="none"/>
          <w:u w:val="single"/>
        </w:rPr>
      </w:pPr>
      <w:r>
        <w:rPr>
          <w:rFonts w:hint="eastAsia" w:ascii="国标仿宋-GB/T 2312" w:hAnsi="国标仿宋-GB/T 2312" w:eastAsia="国标仿宋-GB/T 2312" w:cs="国标仿宋-GB/T 2312"/>
          <w:color w:val="auto"/>
          <w:sz w:val="24"/>
          <w:szCs w:val="24"/>
          <w:highlight w:val="none"/>
        </w:rPr>
        <w:t>售后服务联系方式：</w:t>
      </w:r>
    </w:p>
    <w:p w14:paraId="2BDF6D1D">
      <w:pPr>
        <w:tabs>
          <w:tab w:val="left" w:pos="840"/>
        </w:tabs>
        <w:spacing w:line="360" w:lineRule="auto"/>
        <w:ind w:firstLine="480" w:firstLineChars="200"/>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color w:val="auto"/>
          <w:sz w:val="24"/>
          <w:szCs w:val="24"/>
          <w:highlight w:val="none"/>
        </w:rPr>
        <w:t>如供应商</w:t>
      </w:r>
      <w:r>
        <w:rPr>
          <w:rFonts w:hint="eastAsia" w:ascii="国标仿宋-GB/T 2312" w:hAnsi="国标仿宋-GB/T 2312" w:eastAsia="国标仿宋-GB/T 2312" w:cs="国标仿宋-GB/T 2312"/>
          <w:color w:val="auto"/>
          <w:sz w:val="24"/>
          <w:szCs w:val="24"/>
          <w:highlight w:val="none"/>
          <w:lang w:eastAsia="zh-CN"/>
        </w:rPr>
        <w:t>怠</w:t>
      </w:r>
      <w:r>
        <w:rPr>
          <w:rFonts w:hint="eastAsia" w:ascii="国标仿宋-GB/T 2312" w:hAnsi="国标仿宋-GB/T 2312" w:eastAsia="国标仿宋-GB/T 2312" w:cs="国标仿宋-GB/T 2312"/>
          <w:color w:val="auto"/>
          <w:sz w:val="24"/>
          <w:szCs w:val="24"/>
          <w:highlight w:val="none"/>
        </w:rPr>
        <w:t>于或不能履行维护保养义务，采购人有权委托第三方处理，由此产生的费用和风险由供应商承担，费用由采购人从质保金中直接扣除，不足部分仍由供应商承担。</w:t>
      </w:r>
    </w:p>
    <w:p w14:paraId="2527C795">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九、验收</w:t>
      </w:r>
    </w:p>
    <w:p w14:paraId="0F0CE715">
      <w:pPr>
        <w:tabs>
          <w:tab w:val="left" w:pos="840"/>
        </w:tabs>
        <w:spacing w:line="360" w:lineRule="auto"/>
        <w:ind w:firstLine="480" w:firstLineChars="200"/>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color w:val="auto"/>
          <w:sz w:val="24"/>
          <w:szCs w:val="24"/>
          <w:highlight w:val="none"/>
        </w:rPr>
        <w:t>该项目完成后，供应商向采购人申请验收，组织采购人相关人员和专家组成的验收小组对项目进行最终验收。验收依据为本合同文本、</w:t>
      </w:r>
      <w:r>
        <w:rPr>
          <w:rFonts w:hint="eastAsia" w:ascii="国标仿宋-GB/T 2312" w:hAnsi="国标仿宋-GB/T 2312" w:eastAsia="国标仿宋-GB/T 2312" w:cs="国标仿宋-GB/T 2312"/>
          <w:color w:val="auto"/>
          <w:sz w:val="24"/>
          <w:szCs w:val="24"/>
          <w:highlight w:val="none"/>
          <w:lang w:val="en-US" w:eastAsia="zh-CN"/>
        </w:rPr>
        <w:t>磋商文件、响应文件</w:t>
      </w:r>
      <w:r>
        <w:rPr>
          <w:rFonts w:hint="eastAsia" w:ascii="国标仿宋-GB/T 2312" w:hAnsi="国标仿宋-GB/T 2312" w:eastAsia="国标仿宋-GB/T 2312" w:cs="国标仿宋-GB/T 2312"/>
          <w:color w:val="auto"/>
          <w:sz w:val="24"/>
          <w:szCs w:val="24"/>
          <w:highlight w:val="none"/>
        </w:rPr>
        <w:t>和国内相应的标准、规范。验收合格后，采购人填写终验验收单。验收不合格的，限期整改，整改过程中产生的费用和发生的一切损失由供应商承担；整改超过二次的，采购人有权单方解除本合同，供应商应无条件退还已收取的全部合同价款，并按合同总价10%向采购人支付违约金，违约金不足弥补采购人损失的，由供应商负责赔偿。</w:t>
      </w:r>
    </w:p>
    <w:p w14:paraId="493D6E67">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十、保密</w:t>
      </w:r>
    </w:p>
    <w:p w14:paraId="6B8E779A">
      <w:pPr>
        <w:tabs>
          <w:tab w:val="left" w:pos="1080"/>
        </w:tabs>
        <w:spacing w:line="360" w:lineRule="auto"/>
        <w:ind w:firstLine="360" w:firstLineChars="15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 对工作中了解到的采购人的技术、机密等进行严格保密，不得向他人泄漏。本合同的解除或终止不免除供应商应承担的保密义务。</w:t>
      </w:r>
    </w:p>
    <w:p w14:paraId="4C4139FE">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十一、知识产权</w:t>
      </w:r>
    </w:p>
    <w:p w14:paraId="45DFDEC9">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    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784E8118">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十二、合同争议的解决</w:t>
      </w:r>
    </w:p>
    <w:p w14:paraId="7602EC76">
      <w:pPr>
        <w:spacing w:line="360" w:lineRule="auto"/>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    合同执行中发生争议的，当事人双方应协商解决。协商达不成一致时，可向采购人所在地人民法院提请诉讼。</w:t>
      </w:r>
    </w:p>
    <w:p w14:paraId="6D5C5C74">
      <w:pPr>
        <w:spacing w:line="360" w:lineRule="auto"/>
        <w:jc w:val="left"/>
        <w:rPr>
          <w:rFonts w:hint="eastAsia" w:ascii="国标仿宋-GB/T 2312" w:hAnsi="国标仿宋-GB/T 2312" w:eastAsia="国标仿宋-GB/T 2312" w:cs="国标仿宋-GB/T 2312"/>
          <w:b/>
          <w:bCs/>
          <w:color w:val="auto"/>
          <w:sz w:val="24"/>
          <w:szCs w:val="24"/>
          <w:highlight w:val="none"/>
        </w:rPr>
      </w:pPr>
      <w:r>
        <w:rPr>
          <w:rFonts w:hint="eastAsia" w:ascii="国标仿宋-GB/T 2312" w:hAnsi="国标仿宋-GB/T 2312" w:eastAsia="国标仿宋-GB/T 2312" w:cs="国标仿宋-GB/T 2312"/>
          <w:b/>
          <w:bCs/>
          <w:color w:val="auto"/>
          <w:sz w:val="24"/>
          <w:szCs w:val="24"/>
          <w:highlight w:val="none"/>
        </w:rPr>
        <w:t>十三、不可抗力情况下的免责约定</w:t>
      </w:r>
    </w:p>
    <w:p w14:paraId="15246A70">
      <w:pPr>
        <w:spacing w:line="360" w:lineRule="auto"/>
        <w:rPr>
          <w:rFonts w:hint="eastAsia" w:ascii="国标仿宋-GB/T 2312" w:hAnsi="国标仿宋-GB/T 2312" w:eastAsia="国标仿宋-GB/T 2312" w:cs="国标仿宋-GB/T 2312"/>
          <w:color w:val="auto"/>
          <w:sz w:val="24"/>
          <w:szCs w:val="24"/>
          <w:highlight w:val="none"/>
          <w:lang w:val="en-US"/>
        </w:rPr>
      </w:pPr>
      <w:r>
        <w:rPr>
          <w:rFonts w:hint="eastAsia" w:ascii="国标仿宋-GB/T 2312" w:hAnsi="国标仿宋-GB/T 2312" w:eastAsia="国标仿宋-GB/T 2312" w:cs="国标仿宋-GB/T 2312"/>
          <w:color w:val="auto"/>
          <w:sz w:val="24"/>
          <w:szCs w:val="24"/>
          <w:highlight w:val="none"/>
        </w:rPr>
        <w:t xml:space="preserve">    双方约定不可抗力情况指：双方不可预见、不可避免、不可克服的客观情况，但不包括双方的违约或疏忽。这些事件包括但不限于：战争、严重火灾、洪水、台风、地震等。</w:t>
      </w:r>
    </w:p>
    <w:p w14:paraId="69339684">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十四、违约责任</w:t>
      </w:r>
    </w:p>
    <w:p w14:paraId="328E487B">
      <w:pPr>
        <w:spacing w:line="360" w:lineRule="auto"/>
        <w:ind w:firstLine="42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乙方未全面履行合同义务或者发生违约，甲方有权随时终止合同；因乙方检测未尽职原因，导致出现桥梁垮塌或其他安全事故，甲方将上报省财政厅，将乙方列入信用“黑名单”，并在“中国政府采购网”、“信用中国”等网站公示；同时甲方保留要求乙方退还合同价款、赔偿损失的权利，并按照相关法规追究乙方责任。</w:t>
      </w:r>
    </w:p>
    <w:p w14:paraId="4E1FF252">
      <w:pPr>
        <w:spacing w:line="360" w:lineRule="auto"/>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十五、其他</w:t>
      </w:r>
    </w:p>
    <w:p w14:paraId="2F61823A">
      <w:pPr>
        <w:tabs>
          <w:tab w:val="left" w:pos="980"/>
        </w:tabs>
        <w:kinsoku w:val="0"/>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 本合同一式</w:t>
      </w:r>
      <w:r>
        <w:rPr>
          <w:rFonts w:hint="eastAsia" w:ascii="国标仿宋-GB/T 2312" w:hAnsi="国标仿宋-GB/T 2312" w:eastAsia="国标仿宋-GB/T 2312" w:cs="国标仿宋-GB/T 2312"/>
          <w:color w:val="auto"/>
          <w:sz w:val="24"/>
          <w:szCs w:val="24"/>
          <w:highlight w:val="none"/>
          <w:u w:val="single"/>
        </w:rPr>
        <w:t xml:space="preserve"> 八 </w:t>
      </w:r>
      <w:r>
        <w:rPr>
          <w:rFonts w:hint="eastAsia" w:ascii="国标仿宋-GB/T 2312" w:hAnsi="国标仿宋-GB/T 2312" w:eastAsia="国标仿宋-GB/T 2312" w:cs="国标仿宋-GB/T 2312"/>
          <w:color w:val="auto"/>
          <w:sz w:val="24"/>
          <w:szCs w:val="24"/>
          <w:highlight w:val="none"/>
        </w:rPr>
        <w:t>份，具有同等法律效力，双方各执</w:t>
      </w:r>
      <w:r>
        <w:rPr>
          <w:rFonts w:hint="eastAsia" w:ascii="国标仿宋-GB/T 2312" w:hAnsi="国标仿宋-GB/T 2312" w:eastAsia="国标仿宋-GB/T 2312" w:cs="国标仿宋-GB/T 2312"/>
          <w:color w:val="auto"/>
          <w:sz w:val="24"/>
          <w:szCs w:val="24"/>
          <w:highlight w:val="none"/>
          <w:u w:val="single"/>
        </w:rPr>
        <w:t>四</w:t>
      </w:r>
      <w:r>
        <w:rPr>
          <w:rFonts w:hint="eastAsia" w:ascii="国标仿宋-GB/T 2312" w:hAnsi="国标仿宋-GB/T 2312" w:eastAsia="国标仿宋-GB/T 2312" w:cs="国标仿宋-GB/T 2312"/>
          <w:color w:val="auto"/>
          <w:sz w:val="24"/>
          <w:szCs w:val="24"/>
          <w:highlight w:val="none"/>
        </w:rPr>
        <w:t>份，双方签字盖章后生效。未尽事宜，双方协商解决。</w:t>
      </w:r>
    </w:p>
    <w:p w14:paraId="2F805B3E">
      <w:pPr>
        <w:spacing w:line="360" w:lineRule="auto"/>
        <w:ind w:firstLine="42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甲  方：</w:t>
      </w:r>
    </w:p>
    <w:p w14:paraId="3626B898">
      <w:pPr>
        <w:spacing w:line="360" w:lineRule="auto"/>
        <w:ind w:firstLine="420"/>
        <w:rPr>
          <w:rFonts w:hint="eastAsia" w:ascii="国标仿宋-GB/T 2312" w:hAnsi="国标仿宋-GB/T 2312" w:eastAsia="国标仿宋-GB/T 2312" w:cs="国标仿宋-GB/T 2312"/>
          <w:color w:val="auto"/>
          <w:sz w:val="24"/>
          <w:szCs w:val="24"/>
          <w:highlight w:val="none"/>
        </w:rPr>
      </w:pPr>
      <w:bookmarkStart w:id="0" w:name="_Hlk488262274"/>
      <w:r>
        <w:rPr>
          <w:rFonts w:hint="eastAsia" w:ascii="国标仿宋-GB/T 2312" w:hAnsi="国标仿宋-GB/T 2312" w:eastAsia="国标仿宋-GB/T 2312" w:cs="国标仿宋-GB/T 2312"/>
          <w:color w:val="auto"/>
          <w:sz w:val="24"/>
          <w:szCs w:val="24"/>
          <w:highlight w:val="none"/>
        </w:rPr>
        <w:t xml:space="preserve">法定代表人或其委托代理人：（签字）                  </w:t>
      </w:r>
    </w:p>
    <w:p w14:paraId="584433FA">
      <w:pPr>
        <w:spacing w:line="360" w:lineRule="auto"/>
        <w:ind w:firstLine="420"/>
        <w:rPr>
          <w:rFonts w:hint="eastAsia" w:ascii="国标仿宋-GB/T 2312" w:hAnsi="国标仿宋-GB/T 2312" w:eastAsia="国标仿宋-GB/T 2312" w:cs="国标仿宋-GB/T 2312"/>
          <w:color w:val="auto"/>
          <w:sz w:val="24"/>
          <w:szCs w:val="24"/>
          <w:highlight w:val="none"/>
          <w:lang w:eastAsia="zh-CN"/>
        </w:rPr>
      </w:pPr>
      <w:r>
        <w:rPr>
          <w:rFonts w:hint="eastAsia" w:ascii="国标仿宋-GB/T 2312" w:hAnsi="国标仿宋-GB/T 2312" w:eastAsia="国标仿宋-GB/T 2312" w:cs="国标仿宋-GB/T 2312"/>
          <w:color w:val="auto"/>
          <w:sz w:val="24"/>
          <w:szCs w:val="24"/>
          <w:highlight w:val="none"/>
          <w:lang w:eastAsia="zh-CN"/>
        </w:rPr>
        <w:t>甲方联系人：</w:t>
      </w:r>
    </w:p>
    <w:p w14:paraId="032B383C">
      <w:pPr>
        <w:spacing w:line="360" w:lineRule="auto"/>
        <w:ind w:firstLine="42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lang w:eastAsia="zh-CN"/>
        </w:rPr>
        <w:t>甲方联系人电话：</w:t>
      </w:r>
      <w:r>
        <w:rPr>
          <w:rFonts w:hint="eastAsia" w:ascii="国标仿宋-GB/T 2312" w:hAnsi="国标仿宋-GB/T 2312" w:eastAsia="国标仿宋-GB/T 2312" w:cs="国标仿宋-GB/T 2312"/>
          <w:color w:val="auto"/>
          <w:sz w:val="24"/>
          <w:szCs w:val="24"/>
          <w:highlight w:val="none"/>
        </w:rPr>
        <w:t xml:space="preserve">              </w:t>
      </w:r>
    </w:p>
    <w:p w14:paraId="4C02252B">
      <w:pPr>
        <w:spacing w:line="360" w:lineRule="auto"/>
        <w:jc w:val="right"/>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年  </w:t>
      </w:r>
      <w:r>
        <w:rPr>
          <w:rFonts w:hint="eastAsia" w:ascii="国标仿宋-GB/T 2312" w:hAnsi="国标仿宋-GB/T 2312" w:eastAsia="国标仿宋-GB/T 2312" w:cs="国标仿宋-GB/T 2312"/>
          <w:color w:val="auto"/>
          <w:sz w:val="24"/>
          <w:szCs w:val="24"/>
          <w:highlight w:val="none"/>
          <w:lang w:val="en-US" w:eastAsia="zh-CN"/>
        </w:rPr>
        <w:t xml:space="preserve">   </w:t>
      </w:r>
      <w:r>
        <w:rPr>
          <w:rFonts w:hint="eastAsia" w:ascii="国标仿宋-GB/T 2312" w:hAnsi="国标仿宋-GB/T 2312" w:eastAsia="国标仿宋-GB/T 2312" w:cs="国标仿宋-GB/T 2312"/>
          <w:color w:val="auto"/>
          <w:sz w:val="24"/>
          <w:szCs w:val="24"/>
          <w:highlight w:val="none"/>
        </w:rPr>
        <w:t xml:space="preserve"> 月 </w:t>
      </w:r>
      <w:r>
        <w:rPr>
          <w:rFonts w:hint="eastAsia" w:ascii="国标仿宋-GB/T 2312" w:hAnsi="国标仿宋-GB/T 2312" w:eastAsia="国标仿宋-GB/T 2312" w:cs="国标仿宋-GB/T 2312"/>
          <w:color w:val="auto"/>
          <w:sz w:val="24"/>
          <w:szCs w:val="24"/>
          <w:highlight w:val="none"/>
          <w:lang w:val="en-US" w:eastAsia="zh-CN"/>
        </w:rPr>
        <w:t xml:space="preserve">  </w:t>
      </w:r>
      <w:r>
        <w:rPr>
          <w:rFonts w:hint="eastAsia" w:ascii="国标仿宋-GB/T 2312" w:hAnsi="国标仿宋-GB/T 2312" w:eastAsia="国标仿宋-GB/T 2312" w:cs="国标仿宋-GB/T 2312"/>
          <w:color w:val="auto"/>
          <w:sz w:val="24"/>
          <w:szCs w:val="24"/>
          <w:highlight w:val="none"/>
        </w:rPr>
        <w:t xml:space="preserve"> 日</w:t>
      </w:r>
    </w:p>
    <w:p w14:paraId="5DB49532">
      <w:pPr>
        <w:spacing w:line="360" w:lineRule="auto"/>
        <w:ind w:firstLine="420"/>
        <w:rPr>
          <w:rFonts w:hint="eastAsia" w:ascii="国标仿宋-GB/T 2312" w:hAnsi="国标仿宋-GB/T 2312" w:eastAsia="国标仿宋-GB/T 2312" w:cs="国标仿宋-GB/T 2312"/>
          <w:color w:val="auto"/>
          <w:sz w:val="24"/>
          <w:szCs w:val="24"/>
          <w:highlight w:val="none"/>
        </w:rPr>
      </w:pPr>
    </w:p>
    <w:p w14:paraId="36FDAEDC">
      <w:pPr>
        <w:spacing w:line="360" w:lineRule="auto"/>
        <w:ind w:firstLine="42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乙  方：</w:t>
      </w:r>
    </w:p>
    <w:p w14:paraId="5EEC5B66">
      <w:pPr>
        <w:spacing w:line="360" w:lineRule="auto"/>
        <w:ind w:firstLine="42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法定代表人或其委托代理人：（签字）                  </w:t>
      </w:r>
    </w:p>
    <w:p w14:paraId="210E1211">
      <w:pPr>
        <w:spacing w:line="360" w:lineRule="auto"/>
        <w:ind w:firstLine="420"/>
        <w:rPr>
          <w:rFonts w:hint="eastAsia" w:ascii="国标仿宋-GB/T 2312" w:hAnsi="国标仿宋-GB/T 2312" w:eastAsia="国标仿宋-GB/T 2312" w:cs="国标仿宋-GB/T 2312"/>
          <w:color w:val="auto"/>
          <w:sz w:val="24"/>
          <w:szCs w:val="24"/>
          <w:highlight w:val="none"/>
          <w:lang w:eastAsia="zh-CN"/>
        </w:rPr>
      </w:pPr>
      <w:r>
        <w:rPr>
          <w:rFonts w:hint="eastAsia" w:ascii="国标仿宋-GB/T 2312" w:hAnsi="国标仿宋-GB/T 2312" w:eastAsia="国标仿宋-GB/T 2312" w:cs="国标仿宋-GB/T 2312"/>
          <w:color w:val="auto"/>
          <w:sz w:val="24"/>
          <w:szCs w:val="24"/>
          <w:highlight w:val="none"/>
          <w:lang w:eastAsia="zh-CN"/>
        </w:rPr>
        <w:t>乙方联系人：</w:t>
      </w:r>
    </w:p>
    <w:p w14:paraId="1423D465">
      <w:pPr>
        <w:spacing w:line="360" w:lineRule="auto"/>
        <w:ind w:firstLine="420"/>
        <w:rPr>
          <w:rFonts w:hint="eastAsia" w:ascii="国标仿宋-GB/T 2312" w:hAnsi="国标仿宋-GB/T 2312" w:eastAsia="国标仿宋-GB/T 2312" w:cs="国标仿宋-GB/T 2312"/>
          <w:color w:val="auto"/>
          <w:sz w:val="24"/>
          <w:szCs w:val="24"/>
          <w:highlight w:val="none"/>
          <w:lang w:eastAsia="zh-CN"/>
        </w:rPr>
      </w:pPr>
      <w:r>
        <w:rPr>
          <w:rFonts w:hint="eastAsia" w:ascii="国标仿宋-GB/T 2312" w:hAnsi="国标仿宋-GB/T 2312" w:eastAsia="国标仿宋-GB/T 2312" w:cs="国标仿宋-GB/T 2312"/>
          <w:color w:val="auto"/>
          <w:sz w:val="24"/>
          <w:szCs w:val="24"/>
          <w:highlight w:val="none"/>
          <w:lang w:eastAsia="zh-CN"/>
        </w:rPr>
        <w:t>乙方联系人电话：</w:t>
      </w:r>
    </w:p>
    <w:p w14:paraId="59BAA702">
      <w:pPr>
        <w:spacing w:line="360" w:lineRule="auto"/>
        <w:ind w:firstLine="420"/>
        <w:rPr>
          <w:rFonts w:hint="eastAsia" w:ascii="国标仿宋-GB/T 2312" w:hAnsi="国标仿宋-GB/T 2312" w:eastAsia="国标仿宋-GB/T 2312" w:cs="国标仿宋-GB/T 2312"/>
          <w:color w:val="auto"/>
          <w:sz w:val="24"/>
          <w:szCs w:val="24"/>
          <w:highlight w:val="none"/>
          <w:lang w:eastAsia="zh-CN"/>
        </w:rPr>
      </w:pPr>
      <w:r>
        <w:rPr>
          <w:rFonts w:hint="eastAsia" w:ascii="国标仿宋-GB/T 2312" w:hAnsi="国标仿宋-GB/T 2312" w:eastAsia="国标仿宋-GB/T 2312" w:cs="国标仿宋-GB/T 2312"/>
          <w:color w:val="auto"/>
          <w:sz w:val="24"/>
          <w:szCs w:val="24"/>
          <w:highlight w:val="none"/>
          <w:lang w:eastAsia="zh-CN"/>
        </w:rPr>
        <w:t>开户行：</w:t>
      </w:r>
    </w:p>
    <w:p w14:paraId="3BFA4133">
      <w:pPr>
        <w:spacing w:line="360" w:lineRule="auto"/>
        <w:ind w:firstLine="420"/>
        <w:rPr>
          <w:rFonts w:hint="eastAsia" w:ascii="国标仿宋-GB/T 2312" w:hAnsi="国标仿宋-GB/T 2312" w:eastAsia="国标仿宋-GB/T 2312" w:cs="国标仿宋-GB/T 2312"/>
          <w:color w:val="auto"/>
          <w:sz w:val="24"/>
          <w:szCs w:val="24"/>
          <w:highlight w:val="none"/>
          <w:lang w:eastAsia="zh-CN"/>
        </w:rPr>
      </w:pPr>
      <w:r>
        <w:rPr>
          <w:rFonts w:hint="eastAsia" w:ascii="国标仿宋-GB/T 2312" w:hAnsi="国标仿宋-GB/T 2312" w:eastAsia="国标仿宋-GB/T 2312" w:cs="国标仿宋-GB/T 2312"/>
          <w:color w:val="auto"/>
          <w:sz w:val="24"/>
          <w:szCs w:val="24"/>
          <w:highlight w:val="none"/>
          <w:lang w:eastAsia="zh-CN"/>
        </w:rPr>
        <w:t>账号：</w:t>
      </w:r>
    </w:p>
    <w:p w14:paraId="7CF344C1">
      <w:pPr>
        <w:spacing w:line="360" w:lineRule="auto"/>
        <w:ind w:firstLine="420"/>
        <w:rPr>
          <w:rFonts w:hint="eastAsia" w:ascii="国标仿宋-GB/T 2312" w:hAnsi="国标仿宋-GB/T 2312" w:eastAsia="国标仿宋-GB/T 2312" w:cs="国标仿宋-GB/T 2312"/>
          <w:color w:val="auto"/>
          <w:sz w:val="24"/>
          <w:szCs w:val="24"/>
          <w:highlight w:val="none"/>
          <w:lang w:eastAsia="zh-CN"/>
        </w:rPr>
      </w:pPr>
      <w:r>
        <w:rPr>
          <w:rFonts w:hint="eastAsia" w:ascii="国标仿宋-GB/T 2312" w:hAnsi="国标仿宋-GB/T 2312" w:eastAsia="国标仿宋-GB/T 2312" w:cs="国标仿宋-GB/T 2312"/>
          <w:color w:val="auto"/>
          <w:sz w:val="24"/>
          <w:szCs w:val="24"/>
          <w:highlight w:val="none"/>
          <w:lang w:eastAsia="zh-CN"/>
        </w:rPr>
        <w:t>纳税人识别号：</w:t>
      </w:r>
    </w:p>
    <w:p w14:paraId="49E15E9A">
      <w:pPr>
        <w:spacing w:line="360" w:lineRule="auto"/>
        <w:ind w:firstLine="42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lang w:eastAsia="zh-CN"/>
        </w:rPr>
        <w:t>地址：</w:t>
      </w:r>
      <w:r>
        <w:rPr>
          <w:rFonts w:hint="eastAsia" w:ascii="国标仿宋-GB/T 2312" w:hAnsi="国标仿宋-GB/T 2312" w:eastAsia="国标仿宋-GB/T 2312" w:cs="国标仿宋-GB/T 2312"/>
          <w:color w:val="auto"/>
          <w:sz w:val="24"/>
          <w:szCs w:val="24"/>
          <w:highlight w:val="none"/>
        </w:rPr>
        <w:t xml:space="preserve">             </w:t>
      </w:r>
    </w:p>
    <w:bookmarkEnd w:id="0"/>
    <w:p w14:paraId="0C1331AD">
      <w:pPr>
        <w:spacing w:line="360" w:lineRule="auto"/>
        <w:jc w:val="right"/>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年 </w:t>
      </w:r>
      <w:r>
        <w:rPr>
          <w:rFonts w:hint="eastAsia" w:ascii="国标仿宋-GB/T 2312" w:hAnsi="国标仿宋-GB/T 2312" w:eastAsia="国标仿宋-GB/T 2312" w:cs="国标仿宋-GB/T 2312"/>
          <w:color w:val="auto"/>
          <w:sz w:val="24"/>
          <w:szCs w:val="24"/>
          <w:highlight w:val="none"/>
          <w:lang w:val="en-US" w:eastAsia="zh-CN"/>
        </w:rPr>
        <w:t xml:space="preserve">  </w:t>
      </w:r>
      <w:r>
        <w:rPr>
          <w:rFonts w:hint="eastAsia" w:ascii="国标仿宋-GB/T 2312" w:hAnsi="国标仿宋-GB/T 2312" w:eastAsia="国标仿宋-GB/T 2312" w:cs="国标仿宋-GB/T 2312"/>
          <w:color w:val="auto"/>
          <w:sz w:val="24"/>
          <w:szCs w:val="24"/>
          <w:highlight w:val="none"/>
        </w:rPr>
        <w:t xml:space="preserve">  月  </w:t>
      </w:r>
      <w:r>
        <w:rPr>
          <w:rFonts w:hint="eastAsia" w:ascii="国标仿宋-GB/T 2312" w:hAnsi="国标仿宋-GB/T 2312" w:eastAsia="国标仿宋-GB/T 2312" w:cs="国标仿宋-GB/T 2312"/>
          <w:color w:val="auto"/>
          <w:sz w:val="24"/>
          <w:szCs w:val="24"/>
          <w:highlight w:val="none"/>
          <w:lang w:val="en-US" w:eastAsia="zh-CN"/>
        </w:rPr>
        <w:t xml:space="preserve">  </w:t>
      </w:r>
      <w:r>
        <w:rPr>
          <w:rFonts w:hint="eastAsia" w:ascii="国标仿宋-GB/T 2312" w:hAnsi="国标仿宋-GB/T 2312" w:eastAsia="国标仿宋-GB/T 2312" w:cs="国标仿宋-GB/T 2312"/>
          <w:color w:val="auto"/>
          <w:sz w:val="24"/>
          <w:szCs w:val="24"/>
          <w:highlight w:val="none"/>
        </w:rPr>
        <w:t>日</w:t>
      </w:r>
    </w:p>
    <w:p w14:paraId="1DFE506F">
      <w:pPr>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br w:type="page"/>
      </w:r>
    </w:p>
    <w:p w14:paraId="47D03E8C">
      <w:pPr>
        <w:spacing w:line="300" w:lineRule="auto"/>
        <w:jc w:val="center"/>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安全生产合同</w:t>
      </w:r>
    </w:p>
    <w:p w14:paraId="4B2AF1F7">
      <w:pPr>
        <w:spacing w:line="360" w:lineRule="auto"/>
        <w:jc w:val="center"/>
        <w:rPr>
          <w:rFonts w:hint="eastAsia" w:ascii="国标仿宋-GB/T 2312" w:hAnsi="国标仿宋-GB/T 2312" w:eastAsia="国标仿宋-GB/T 2312" w:cs="国标仿宋-GB/T 2312"/>
          <w:b/>
          <w:color w:val="auto"/>
          <w:sz w:val="24"/>
          <w:szCs w:val="24"/>
          <w:highlight w:val="none"/>
        </w:rPr>
      </w:pPr>
    </w:p>
    <w:p w14:paraId="4B70E0C5">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为在本检测项目合同的实施过程中创造安全的工作环境，切实搞好本项目的安全管理工作，本项目</w:t>
      </w:r>
      <w:r>
        <w:rPr>
          <w:rFonts w:hint="eastAsia" w:ascii="国标仿宋-GB/T 2312" w:hAnsi="国标仿宋-GB/T 2312" w:eastAsia="国标仿宋-GB/T 2312" w:cs="国标仿宋-GB/T 2312"/>
          <w:color w:val="auto"/>
          <w:sz w:val="24"/>
          <w:szCs w:val="24"/>
          <w:highlight w:val="none"/>
          <w:u w:val="single"/>
        </w:rPr>
        <w:t xml:space="preserve">                              </w:t>
      </w:r>
      <w:r>
        <w:rPr>
          <w:rFonts w:hint="eastAsia" w:ascii="国标仿宋-GB/T 2312" w:hAnsi="国标仿宋-GB/T 2312" w:eastAsia="国标仿宋-GB/T 2312" w:cs="国标仿宋-GB/T 2312"/>
          <w:color w:val="auto"/>
          <w:sz w:val="24"/>
          <w:szCs w:val="24"/>
          <w:highlight w:val="none"/>
        </w:rPr>
        <w:t>（采购人全称，以下简称“甲方”）与</w:t>
      </w:r>
      <w:r>
        <w:rPr>
          <w:rFonts w:hint="eastAsia" w:ascii="国标仿宋-GB/T 2312" w:hAnsi="国标仿宋-GB/T 2312" w:eastAsia="国标仿宋-GB/T 2312" w:cs="国标仿宋-GB/T 2312"/>
          <w:color w:val="auto"/>
          <w:sz w:val="24"/>
          <w:szCs w:val="24"/>
          <w:highlight w:val="none"/>
          <w:u w:val="single"/>
        </w:rPr>
        <w:t xml:space="preserve">                     </w:t>
      </w:r>
      <w:r>
        <w:rPr>
          <w:rFonts w:hint="eastAsia" w:ascii="国标仿宋-GB/T 2312" w:hAnsi="国标仿宋-GB/T 2312" w:eastAsia="国标仿宋-GB/T 2312" w:cs="国标仿宋-GB/T 2312"/>
          <w:color w:val="auto"/>
          <w:sz w:val="24"/>
          <w:szCs w:val="24"/>
          <w:highlight w:val="none"/>
        </w:rPr>
        <w:t>（承包人全称，以下简称“乙方”），特此签订安全生产合同：</w:t>
      </w:r>
    </w:p>
    <w:p w14:paraId="32079BF4">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一、甲方职责</w:t>
      </w:r>
    </w:p>
    <w:p w14:paraId="657EFE2D">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1．严格遵守国家有关安全生产的法律法规，认真执行项目承包合同中有关安全的要求。</w:t>
      </w:r>
    </w:p>
    <w:p w14:paraId="3561A3BB">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2．严格遵守国务院《突发公共卫生事件应急条例》及《陕西省突发公共卫生事件应急实施办法》等安全生产规定。</w:t>
      </w:r>
    </w:p>
    <w:p w14:paraId="30925BD2">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3．按照“安全第一、预防为主”和坚持“管生产必须管安全”的原则进行安全生产管理，做到生产与安全工作同时计划、布置、检查。</w:t>
      </w:r>
    </w:p>
    <w:p w14:paraId="1368CA44">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4．重要的安全设施必须坚持与主体工程“三同时”的原则，即：同时设计、审批，同时施工，同时验收，方可投入使用。</w:t>
      </w:r>
    </w:p>
    <w:p w14:paraId="03D9C00D">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5．及时传达中央及地方有关安全生产的精神。</w:t>
      </w:r>
    </w:p>
    <w:p w14:paraId="549D4A3E">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6．监督乙方及时处理发现的各种安全隐患。</w:t>
      </w:r>
    </w:p>
    <w:p w14:paraId="68DB576A">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二、乙方职责</w:t>
      </w:r>
    </w:p>
    <w:p w14:paraId="50C22410">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1．严格遵守国家有关安全生产的法律法规，认真执行项目承包合同中有关安全的要求。</w:t>
      </w:r>
    </w:p>
    <w:p w14:paraId="28F7A05D">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2．严格遵守国务院《突发公共卫生事件应急条例》及陕西省《陕西省突发公共卫生事件应急实施办法》等安全生产规定。</w:t>
      </w:r>
    </w:p>
    <w:p w14:paraId="43516EF5">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42A00A77">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建立健全安全生产责任制。从派往实施项目的项目负责人到生产工人（包括临时雇请的民工）的安全生产管理系统必须做到纵向到底，一环不漏；各职能部门、人员的安全生产责任制做到横向到边，人人有责。项目负责人是安全生产的第一责任人。现场设置的安全机构，应按合同配备安全员，专职负责所有员工的安全和治安保卫工作及预防事故的发生。安全机构人员，有权按有关规定发布指令，并采取保护性措施防止事故发生。</w:t>
      </w:r>
    </w:p>
    <w:p w14:paraId="0ECAA384">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5．乙方在任何时候都应采取各种合理的预防措施，防止其员工发生任何违法、违禁、暴力或妨碍治安的行为。</w:t>
      </w:r>
    </w:p>
    <w:p w14:paraId="2946F177">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6．乙方参加检测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检测现场如出现特种作业无证操作现象时，项目负责人必须承担管理责任。</w:t>
      </w:r>
    </w:p>
    <w:p w14:paraId="22EAAD2E">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7．对于易燃易爆的材料除应专门妥善保管之外，还应配备有足够的消防设施，所有检测人员都应熟悉消防设备的性能和使用方法；乙方不得将任何种类的爆炸物给予、易货或以其他方式转让给任何其他人，或允许、容忍上述同样行为。</w:t>
      </w:r>
    </w:p>
    <w:p w14:paraId="210AA66B">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8．在现场的所有检测人员，都应统一着装，否则，检测人员不得上岗。</w:t>
      </w:r>
    </w:p>
    <w:p w14:paraId="5699C84D">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9．操作人员上岗，必须按规定穿戴防护用品。检测负责人和安全检查员应随时检查劳动防护用品的穿戴情况，不按规定穿戴防护用品的人员不得上岗。</w:t>
      </w:r>
    </w:p>
    <w:p w14:paraId="193DD5D3">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10．所有检测机具设备和高空作业的设备均应定期检查，并有安全员的签字记录，保证其经常处于完好状态；不合格的机具、设备和劳动保护用品严禁使用。</w:t>
      </w:r>
    </w:p>
    <w:p w14:paraId="6BF70D53">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11．检测中采用新技术、新工艺、新设备、新材料时，必须制定相应的安全技术措施，检测现场必须具有相关的安全标志牌。</w:t>
      </w:r>
    </w:p>
    <w:p w14:paraId="4AFAA6BE">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12．乙方必须按照本项目特点，组织制定本项目实施中的生产安全事故应急救援预案；如果发生安全事故，应按照《国务院关于特大安全事故行政责任追究的规定》以及其它有关规定，及时上报有关部门，并坚持“三不放过”的原则，严肃处理相关责任人。</w:t>
      </w:r>
    </w:p>
    <w:p w14:paraId="682FA5F0">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三、违约责任</w:t>
      </w:r>
    </w:p>
    <w:p w14:paraId="181E5215">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如因甲方或</w:t>
      </w:r>
      <w:r>
        <w:rPr>
          <w:rFonts w:hint="eastAsia" w:ascii="国标仿宋-GB/T 2312" w:hAnsi="国标仿宋-GB/T 2312" w:eastAsia="国标仿宋-GB/T 2312" w:cs="国标仿宋-GB/T 2312"/>
          <w:b w:val="0"/>
          <w:bCs w:val="0"/>
          <w:color w:val="auto"/>
          <w:sz w:val="24"/>
          <w:szCs w:val="24"/>
          <w:highlight w:val="none"/>
        </w:rPr>
        <w:t>乙方原因违约造</w:t>
      </w:r>
      <w:r>
        <w:rPr>
          <w:rFonts w:hint="eastAsia" w:ascii="国标仿宋-GB/T 2312" w:hAnsi="国标仿宋-GB/T 2312" w:eastAsia="国标仿宋-GB/T 2312" w:cs="国标仿宋-GB/T 2312"/>
          <w:color w:val="auto"/>
          <w:sz w:val="24"/>
          <w:szCs w:val="24"/>
          <w:highlight w:val="none"/>
        </w:rPr>
        <w:t>成安全事故，将依法追究责任。</w:t>
      </w:r>
    </w:p>
    <w:p w14:paraId="334B1CDA">
      <w:pPr>
        <w:spacing w:line="360" w:lineRule="auto"/>
        <w:ind w:firstLine="480" w:firstLineChars="200"/>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b w:val="0"/>
          <w:bCs w:val="0"/>
          <w:color w:val="auto"/>
          <w:sz w:val="24"/>
          <w:szCs w:val="24"/>
          <w:highlight w:val="none"/>
        </w:rPr>
        <w:t>本合同一式</w:t>
      </w:r>
      <w:r>
        <w:rPr>
          <w:rFonts w:hint="eastAsia" w:ascii="国标仿宋-GB/T 2312" w:hAnsi="国标仿宋-GB/T 2312" w:eastAsia="国标仿宋-GB/T 2312" w:cs="国标仿宋-GB/T 2312"/>
          <w:b w:val="0"/>
          <w:bCs w:val="0"/>
          <w:color w:val="auto"/>
          <w:sz w:val="24"/>
          <w:szCs w:val="24"/>
          <w:highlight w:val="none"/>
          <w:u w:val="single"/>
        </w:rPr>
        <w:t xml:space="preserve"> 八 </w:t>
      </w:r>
      <w:r>
        <w:rPr>
          <w:rFonts w:hint="eastAsia" w:ascii="国标仿宋-GB/T 2312" w:hAnsi="国标仿宋-GB/T 2312" w:eastAsia="国标仿宋-GB/T 2312" w:cs="国标仿宋-GB/T 2312"/>
          <w:b w:val="0"/>
          <w:bCs w:val="0"/>
          <w:color w:val="auto"/>
          <w:sz w:val="24"/>
          <w:szCs w:val="24"/>
          <w:highlight w:val="none"/>
        </w:rPr>
        <w:t>份，具有同等法律效力，双方各执</w:t>
      </w:r>
      <w:r>
        <w:rPr>
          <w:rFonts w:hint="eastAsia" w:ascii="国标仿宋-GB/T 2312" w:hAnsi="国标仿宋-GB/T 2312" w:eastAsia="国标仿宋-GB/T 2312" w:cs="国标仿宋-GB/T 2312"/>
          <w:b w:val="0"/>
          <w:bCs w:val="0"/>
          <w:color w:val="auto"/>
          <w:sz w:val="24"/>
          <w:szCs w:val="24"/>
          <w:highlight w:val="none"/>
          <w:u w:val="single"/>
        </w:rPr>
        <w:t>四</w:t>
      </w:r>
      <w:r>
        <w:rPr>
          <w:rFonts w:hint="eastAsia" w:ascii="国标仿宋-GB/T 2312" w:hAnsi="国标仿宋-GB/T 2312" w:eastAsia="国标仿宋-GB/T 2312" w:cs="国标仿宋-GB/T 2312"/>
          <w:b w:val="0"/>
          <w:bCs w:val="0"/>
          <w:color w:val="auto"/>
          <w:sz w:val="24"/>
          <w:szCs w:val="24"/>
          <w:highlight w:val="none"/>
        </w:rPr>
        <w:t>份。</w:t>
      </w:r>
      <w:r>
        <w:rPr>
          <w:rFonts w:hint="eastAsia" w:ascii="国标仿宋-GB/T 2312" w:hAnsi="国标仿宋-GB/T 2312" w:eastAsia="国标仿宋-GB/T 2312" w:cs="国标仿宋-GB/T 2312"/>
          <w:color w:val="auto"/>
          <w:sz w:val="24"/>
          <w:szCs w:val="24"/>
          <w:highlight w:val="none"/>
        </w:rPr>
        <w:t>由双方法定代表人或其授权的代理人签署与加盖公章后生效，全部项目竣工验收后失效。</w:t>
      </w:r>
    </w:p>
    <w:p w14:paraId="6168B99B">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rPr>
      </w:pPr>
      <w:r>
        <w:rPr>
          <w:rFonts w:hint="eastAsia" w:ascii="国标仿宋-GB/T 2312" w:hAnsi="国标仿宋-GB/T 2312" w:eastAsia="国标仿宋-GB/T 2312" w:cs="国标仿宋-GB/T 2312"/>
          <w:snapToGrid w:val="0"/>
          <w:color w:val="auto"/>
          <w:kern w:val="0"/>
          <w:sz w:val="24"/>
          <w:szCs w:val="24"/>
          <w:highlight w:val="none"/>
        </w:rPr>
        <w:t>甲  方：</w:t>
      </w:r>
    </w:p>
    <w:p w14:paraId="4D92987F">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u w:val="single"/>
        </w:rPr>
      </w:pPr>
      <w:r>
        <w:rPr>
          <w:rFonts w:hint="eastAsia" w:ascii="国标仿宋-GB/T 2312" w:hAnsi="国标仿宋-GB/T 2312" w:eastAsia="国标仿宋-GB/T 2312" w:cs="国标仿宋-GB/T 2312"/>
          <w:snapToGrid w:val="0"/>
          <w:color w:val="auto"/>
          <w:kern w:val="0"/>
          <w:sz w:val="24"/>
          <w:szCs w:val="24"/>
          <w:highlight w:val="none"/>
        </w:rPr>
        <w:t>法定代表人或其委托代理人：</w:t>
      </w:r>
      <w:r>
        <w:rPr>
          <w:rFonts w:hint="eastAsia" w:ascii="国标仿宋-GB/T 2312" w:hAnsi="国标仿宋-GB/T 2312" w:eastAsia="国标仿宋-GB/T 2312" w:cs="国标仿宋-GB/T 2312"/>
          <w:snapToGrid w:val="0"/>
          <w:color w:val="auto"/>
          <w:kern w:val="0"/>
          <w:sz w:val="24"/>
          <w:szCs w:val="24"/>
          <w:highlight w:val="none"/>
          <w:u w:val="single"/>
        </w:rPr>
        <w:t xml:space="preserve">（签字）                </w:t>
      </w:r>
    </w:p>
    <w:p w14:paraId="7657210F">
      <w:pPr>
        <w:widowControl/>
        <w:autoSpaceDE w:val="0"/>
        <w:autoSpaceDN w:val="0"/>
        <w:spacing w:line="360" w:lineRule="auto"/>
        <w:ind w:firstLine="480" w:firstLineChars="200"/>
        <w:jc w:val="right"/>
        <w:textAlignment w:val="bottom"/>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年   月  日</w:t>
      </w:r>
    </w:p>
    <w:p w14:paraId="03165CDE">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rPr>
      </w:pPr>
    </w:p>
    <w:p w14:paraId="211D0B02">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rPr>
      </w:pPr>
    </w:p>
    <w:p w14:paraId="37116884">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rPr>
      </w:pPr>
      <w:r>
        <w:rPr>
          <w:rFonts w:hint="eastAsia" w:ascii="国标仿宋-GB/T 2312" w:hAnsi="国标仿宋-GB/T 2312" w:eastAsia="国标仿宋-GB/T 2312" w:cs="国标仿宋-GB/T 2312"/>
          <w:snapToGrid w:val="0"/>
          <w:color w:val="auto"/>
          <w:kern w:val="0"/>
          <w:sz w:val="24"/>
          <w:szCs w:val="24"/>
          <w:highlight w:val="none"/>
        </w:rPr>
        <w:t>乙  方：</w:t>
      </w:r>
    </w:p>
    <w:p w14:paraId="7B75CCD3">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u w:val="single"/>
        </w:rPr>
      </w:pPr>
      <w:r>
        <w:rPr>
          <w:rFonts w:hint="eastAsia" w:ascii="国标仿宋-GB/T 2312" w:hAnsi="国标仿宋-GB/T 2312" w:eastAsia="国标仿宋-GB/T 2312" w:cs="国标仿宋-GB/T 2312"/>
          <w:snapToGrid w:val="0"/>
          <w:color w:val="auto"/>
          <w:kern w:val="0"/>
          <w:sz w:val="24"/>
          <w:szCs w:val="24"/>
          <w:highlight w:val="none"/>
        </w:rPr>
        <w:t>法定代表人或其委托代理人：</w:t>
      </w:r>
      <w:r>
        <w:rPr>
          <w:rFonts w:hint="eastAsia" w:ascii="国标仿宋-GB/T 2312" w:hAnsi="国标仿宋-GB/T 2312" w:eastAsia="国标仿宋-GB/T 2312" w:cs="国标仿宋-GB/T 2312"/>
          <w:snapToGrid w:val="0"/>
          <w:color w:val="auto"/>
          <w:kern w:val="0"/>
          <w:sz w:val="24"/>
          <w:szCs w:val="24"/>
          <w:highlight w:val="none"/>
          <w:u w:val="single"/>
        </w:rPr>
        <w:t xml:space="preserve">（签字）                </w:t>
      </w:r>
    </w:p>
    <w:p w14:paraId="7E3199C7">
      <w:pPr>
        <w:spacing w:line="300" w:lineRule="auto"/>
        <w:ind w:firstLine="480"/>
        <w:jc w:val="right"/>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color w:val="auto"/>
          <w:sz w:val="24"/>
          <w:szCs w:val="24"/>
          <w:highlight w:val="none"/>
        </w:rPr>
        <w:t>年   月  日</w:t>
      </w:r>
    </w:p>
    <w:p w14:paraId="3FB43766">
      <w:pPr>
        <w:spacing w:line="300" w:lineRule="auto"/>
        <w:jc w:val="center"/>
        <w:rPr>
          <w:rFonts w:hint="eastAsia" w:ascii="国标仿宋-GB/T 2312" w:hAnsi="国标仿宋-GB/T 2312" w:eastAsia="国标仿宋-GB/T 2312" w:cs="国标仿宋-GB/T 2312"/>
          <w:b/>
          <w:color w:val="auto"/>
          <w:sz w:val="24"/>
          <w:szCs w:val="24"/>
          <w:highlight w:val="none"/>
        </w:rPr>
      </w:pPr>
      <w:r>
        <w:rPr>
          <w:rFonts w:hint="eastAsia" w:ascii="国标仿宋-GB/T 2312" w:hAnsi="国标仿宋-GB/T 2312" w:eastAsia="国标仿宋-GB/T 2312" w:cs="国标仿宋-GB/T 2312"/>
          <w:b/>
          <w:color w:val="auto"/>
          <w:sz w:val="24"/>
          <w:szCs w:val="24"/>
          <w:highlight w:val="none"/>
        </w:rPr>
        <w:t>廉政合同</w:t>
      </w:r>
    </w:p>
    <w:p w14:paraId="31ABA9C4">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参照交通部《关于在交通基础设施建设中加强廉政建设的若干意见》以及有关工程廉政建设的规定，保证本项目高效优质，保证资金的安全和有效使用以及投资效益，本合同的业主单位</w:t>
      </w:r>
      <w:r>
        <w:rPr>
          <w:rFonts w:hint="eastAsia" w:ascii="国标仿宋-GB/T 2312" w:hAnsi="国标仿宋-GB/T 2312" w:eastAsia="国标仿宋-GB/T 2312" w:cs="国标仿宋-GB/T 2312"/>
          <w:color w:val="auto"/>
          <w:sz w:val="24"/>
          <w:szCs w:val="24"/>
          <w:highlight w:val="none"/>
          <w:u w:val="single"/>
        </w:rPr>
        <w:t>陕西省公路局（以下称甲方）</w:t>
      </w:r>
      <w:r>
        <w:rPr>
          <w:rFonts w:hint="eastAsia" w:ascii="国标仿宋-GB/T 2312" w:hAnsi="国标仿宋-GB/T 2312" w:eastAsia="国标仿宋-GB/T 2312" w:cs="国标仿宋-GB/T 2312"/>
          <w:color w:val="auto"/>
          <w:sz w:val="24"/>
          <w:szCs w:val="24"/>
          <w:highlight w:val="none"/>
        </w:rPr>
        <w:t>与中标单位</w:t>
      </w:r>
      <w:r>
        <w:rPr>
          <w:rFonts w:hint="eastAsia" w:ascii="国标仿宋-GB/T 2312" w:hAnsi="国标仿宋-GB/T 2312" w:eastAsia="国标仿宋-GB/T 2312" w:cs="国标仿宋-GB/T 2312"/>
          <w:color w:val="auto"/>
          <w:sz w:val="24"/>
          <w:szCs w:val="24"/>
          <w:highlight w:val="none"/>
          <w:u w:val="single"/>
        </w:rPr>
        <w:t>（以下称乙方）</w:t>
      </w:r>
      <w:r>
        <w:rPr>
          <w:rFonts w:hint="eastAsia" w:ascii="国标仿宋-GB/T 2312" w:hAnsi="国标仿宋-GB/T 2312" w:eastAsia="国标仿宋-GB/T 2312" w:cs="国标仿宋-GB/T 2312"/>
          <w:color w:val="auto"/>
          <w:sz w:val="24"/>
          <w:szCs w:val="24"/>
          <w:highlight w:val="none"/>
        </w:rPr>
        <w:t>，特订立以下合同。</w:t>
      </w:r>
    </w:p>
    <w:p w14:paraId="2E2CC596">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1．甲乙双方的权利和义务</w:t>
      </w:r>
    </w:p>
    <w:p w14:paraId="2AB22F8B">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（1）严格遵守党和国家有关法律法规及有关廉政规定。</w:t>
      </w:r>
    </w:p>
    <w:p w14:paraId="0D0C16B3">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（2）严格执行项目的合同文件，自觉按合同办事。</w:t>
      </w:r>
    </w:p>
    <w:p w14:paraId="3830165B">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（3）双方的业务活动坚持公开、公正、诚信、透明的原则（除法律认定的商业秘密和合同文件另有规定之外），不得损害国家和集体的利益，违反本项目管理的各种规章制度。</w:t>
      </w:r>
    </w:p>
    <w:p w14:paraId="35532D17">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（4）建立健全廉政制度，开展廉政教育，监督并认真查处违法违纪行为。</w:t>
      </w:r>
    </w:p>
    <w:p w14:paraId="35A54689">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（5）发现对方在业务活动中有违反廉政规定的行为，有及时提醒对方纠正的权利和义务。</w:t>
      </w:r>
    </w:p>
    <w:p w14:paraId="63F6FAC0">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（6）发现对方严重违反本合同义务条款的行为，有向其上级有关部门举报、建议给予处理并要求告之处理结果的权利。</w:t>
      </w:r>
    </w:p>
    <w:p w14:paraId="576F7BA1">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2．甲方的义务</w:t>
      </w:r>
    </w:p>
    <w:p w14:paraId="0E439142">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（1）甲方及其工作人员不得索要或按受乙方的礼金、有价证券和贵重物品，不得在乙方报销任何应由甲方或个人支付的费用。</w:t>
      </w:r>
    </w:p>
    <w:p w14:paraId="2E009186">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（2）甲方工作人员不得参加乙方安排的超标准宴请和娱乐活动，不得接受乙方提供的通讯和高档办公用品。</w:t>
      </w:r>
    </w:p>
    <w:p w14:paraId="6A169378">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（3）甲方及其工作人员不得要求或者接受乙方为其住房装修、婚丧嫁娶活动、配偶子女的工作安排以及出国出境、旅游等提供方便。</w:t>
      </w:r>
    </w:p>
    <w:p w14:paraId="7D4C6AFB">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（4）甲方工作人员的配偶、子女不得从事与甲方有关的材料设备供应、工程分包、劳务等经济活动。</w:t>
      </w:r>
    </w:p>
    <w:p w14:paraId="1A61AE96">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（5）甲方及其工作人员不得以任何理由向乙方推荐分包单位，不得要求乙方购买合同规定外的材料和设备。</w:t>
      </w:r>
    </w:p>
    <w:p w14:paraId="7E666774">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（6）甲方工作人员要秉公办事，不准营私舞弊，不准利用职权从事各种个人有偿中介活动和安排个人检测队伍。</w:t>
      </w:r>
    </w:p>
    <w:p w14:paraId="07D0B7F5">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3．乙方义务</w:t>
      </w:r>
    </w:p>
    <w:p w14:paraId="2B7F006D">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（1）乙方不得以任何名义向甲方及其工作人员馈赠礼金、有价证券、贵重礼品。</w:t>
      </w:r>
    </w:p>
    <w:p w14:paraId="6A8DCA0B">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（2）乙方不得以任何名义为甲方及其工作人员报销由甲方单位或个人支付的费用。</w:t>
      </w:r>
    </w:p>
    <w:p w14:paraId="4AA0F53C">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（3）乙方不得以任何理由安排甲方工作人员参加超标准宴请及娱乐活动。</w:t>
      </w:r>
    </w:p>
    <w:p w14:paraId="58E59F3D">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（4）乙方不得为甲方单位和个人购置或提供通讯工具和高档办公用品。</w:t>
      </w:r>
    </w:p>
    <w:p w14:paraId="4C033CDD">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4．违约责任</w:t>
      </w:r>
    </w:p>
    <w:p w14:paraId="1E5415B1">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（1）甲方及其工作人员违反本合同第一、二条，按管理权限，依据有关规定给予党纪、政纪或组织处理；涉嫌犯罪的，移交司法机关追究刑事责任；给乙方单位造成经济损失的，应予以赔偿。</w:t>
      </w:r>
    </w:p>
    <w:p w14:paraId="11DC2DE5">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2）乙方及其工作人员违反本合同第一、三条，按管理权限，依据有关规定，建议给予党纪、政纪或组织处理；给甲方单位造成经济损失的应予以赔偿；情节严重的，甲方建议主管部门给予乙方三年内不得进入其主管的公路检测市场的处罚。</w:t>
      </w:r>
    </w:p>
    <w:p w14:paraId="0D5275DB">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5．双方约定：本合同由双方或双方上级单位的纪检监察机关负责监督。由甲方或甲方上级单位的纪检监察机关约请乙方或乙方上级单位纪检监察机关对本合同履行情况进行检查，提出在本合同规定范围内的裁定意见。</w:t>
      </w:r>
    </w:p>
    <w:p w14:paraId="4B20DF5E">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6．本合同有效期为甲乙双方签署之日起至该项目竣工验收后止。</w:t>
      </w:r>
    </w:p>
    <w:p w14:paraId="7C58510E">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7．本合同作为项目合同的附件，与项目合同具有同等的法律效力，经合同双方签署立即生效。</w:t>
      </w:r>
    </w:p>
    <w:p w14:paraId="5F9F33D1">
      <w:pPr>
        <w:spacing w:line="360" w:lineRule="auto"/>
        <w:ind w:firstLine="540" w:firstLineChars="225"/>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8．本合同一式 八 份，具有同等法律效力，双方各执四份。</w:t>
      </w:r>
    </w:p>
    <w:p w14:paraId="15EDBAEA">
      <w:pPr>
        <w:rPr>
          <w:rFonts w:hint="eastAsia" w:ascii="国标仿宋-GB/T 2312" w:hAnsi="国标仿宋-GB/T 2312" w:eastAsia="国标仿宋-GB/T 2312" w:cs="国标仿宋-GB/T 2312"/>
          <w:color w:val="auto"/>
          <w:sz w:val="24"/>
          <w:szCs w:val="24"/>
          <w:highlight w:val="none"/>
        </w:rPr>
      </w:pPr>
    </w:p>
    <w:p w14:paraId="0479D5FE">
      <w:pPr>
        <w:pStyle w:val="2"/>
        <w:rPr>
          <w:rFonts w:hint="eastAsia" w:ascii="国标仿宋-GB/T 2312" w:hAnsi="国标仿宋-GB/T 2312" w:eastAsia="国标仿宋-GB/T 2312" w:cs="国标仿宋-GB/T 2312"/>
          <w:color w:val="auto"/>
          <w:sz w:val="24"/>
          <w:szCs w:val="24"/>
          <w:highlight w:val="none"/>
        </w:rPr>
      </w:pPr>
    </w:p>
    <w:p w14:paraId="388BA26E">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rPr>
      </w:pPr>
      <w:r>
        <w:rPr>
          <w:rFonts w:hint="eastAsia" w:ascii="国标仿宋-GB/T 2312" w:hAnsi="国标仿宋-GB/T 2312" w:eastAsia="国标仿宋-GB/T 2312" w:cs="国标仿宋-GB/T 2312"/>
          <w:snapToGrid w:val="0"/>
          <w:color w:val="auto"/>
          <w:kern w:val="0"/>
          <w:sz w:val="24"/>
          <w:szCs w:val="24"/>
          <w:highlight w:val="none"/>
        </w:rPr>
        <w:t>甲  方：</w:t>
      </w:r>
    </w:p>
    <w:p w14:paraId="4C1B3CD2">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u w:val="single"/>
        </w:rPr>
      </w:pPr>
      <w:r>
        <w:rPr>
          <w:rFonts w:hint="eastAsia" w:ascii="国标仿宋-GB/T 2312" w:hAnsi="国标仿宋-GB/T 2312" w:eastAsia="国标仿宋-GB/T 2312" w:cs="国标仿宋-GB/T 2312"/>
          <w:snapToGrid w:val="0"/>
          <w:color w:val="auto"/>
          <w:kern w:val="0"/>
          <w:sz w:val="24"/>
          <w:szCs w:val="24"/>
          <w:highlight w:val="none"/>
        </w:rPr>
        <w:t>法定代表人或其委托代理人：</w:t>
      </w:r>
      <w:r>
        <w:rPr>
          <w:rFonts w:hint="eastAsia" w:ascii="国标仿宋-GB/T 2312" w:hAnsi="国标仿宋-GB/T 2312" w:eastAsia="国标仿宋-GB/T 2312" w:cs="国标仿宋-GB/T 2312"/>
          <w:snapToGrid w:val="0"/>
          <w:color w:val="auto"/>
          <w:kern w:val="0"/>
          <w:sz w:val="24"/>
          <w:szCs w:val="24"/>
          <w:highlight w:val="none"/>
          <w:u w:val="single"/>
        </w:rPr>
        <w:t xml:space="preserve">（签字）                </w:t>
      </w:r>
    </w:p>
    <w:p w14:paraId="57CD080B">
      <w:pPr>
        <w:widowControl/>
        <w:autoSpaceDE w:val="0"/>
        <w:autoSpaceDN w:val="0"/>
        <w:spacing w:line="360" w:lineRule="auto"/>
        <w:ind w:firstLine="960" w:firstLineChars="400"/>
        <w:jc w:val="center"/>
        <w:textAlignment w:val="bottom"/>
        <w:rPr>
          <w:rFonts w:hint="eastAsia" w:ascii="国标仿宋-GB/T 2312" w:hAnsi="国标仿宋-GB/T 2312" w:eastAsia="国标仿宋-GB/T 2312" w:cs="国标仿宋-GB/T 2312"/>
          <w:color w:val="auto"/>
          <w:sz w:val="24"/>
          <w:szCs w:val="24"/>
          <w:highlight w:val="none"/>
        </w:rPr>
      </w:pPr>
      <w:r>
        <w:rPr>
          <w:rFonts w:hint="eastAsia" w:ascii="国标仿宋-GB/T 2312" w:hAnsi="国标仿宋-GB/T 2312" w:eastAsia="国标仿宋-GB/T 2312" w:cs="国标仿宋-GB/T 2312"/>
          <w:color w:val="auto"/>
          <w:sz w:val="24"/>
          <w:szCs w:val="24"/>
          <w:highlight w:val="none"/>
        </w:rPr>
        <w:t xml:space="preserve">                                                 年   月  日</w:t>
      </w:r>
    </w:p>
    <w:p w14:paraId="31074D09">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rPr>
      </w:pPr>
      <w:r>
        <w:rPr>
          <w:rFonts w:hint="eastAsia" w:ascii="国标仿宋-GB/T 2312" w:hAnsi="国标仿宋-GB/T 2312" w:eastAsia="国标仿宋-GB/T 2312" w:cs="国标仿宋-GB/T 2312"/>
          <w:snapToGrid w:val="0"/>
          <w:color w:val="auto"/>
          <w:kern w:val="0"/>
          <w:sz w:val="24"/>
          <w:szCs w:val="24"/>
          <w:highlight w:val="none"/>
        </w:rPr>
        <w:t>乙  方：</w:t>
      </w:r>
    </w:p>
    <w:p w14:paraId="1CA7068E">
      <w:pPr>
        <w:snapToGrid w:val="0"/>
        <w:spacing w:line="360" w:lineRule="auto"/>
        <w:rPr>
          <w:rFonts w:hint="eastAsia" w:ascii="国标仿宋-GB/T 2312" w:hAnsi="国标仿宋-GB/T 2312" w:eastAsia="国标仿宋-GB/T 2312" w:cs="国标仿宋-GB/T 2312"/>
          <w:snapToGrid w:val="0"/>
          <w:color w:val="auto"/>
          <w:kern w:val="0"/>
          <w:sz w:val="24"/>
          <w:szCs w:val="24"/>
          <w:highlight w:val="none"/>
        </w:rPr>
      </w:pPr>
      <w:r>
        <w:rPr>
          <w:rFonts w:hint="eastAsia" w:ascii="国标仿宋-GB/T 2312" w:hAnsi="国标仿宋-GB/T 2312" w:eastAsia="国标仿宋-GB/T 2312" w:cs="国标仿宋-GB/T 2312"/>
          <w:snapToGrid w:val="0"/>
          <w:color w:val="auto"/>
          <w:kern w:val="0"/>
          <w:sz w:val="24"/>
          <w:szCs w:val="24"/>
          <w:highlight w:val="none"/>
        </w:rPr>
        <w:t>法定代表人或其委托代理人：</w:t>
      </w:r>
      <w:r>
        <w:rPr>
          <w:rFonts w:hint="eastAsia" w:ascii="国标仿宋-GB/T 2312" w:hAnsi="国标仿宋-GB/T 2312" w:eastAsia="国标仿宋-GB/T 2312" w:cs="国标仿宋-GB/T 2312"/>
          <w:snapToGrid w:val="0"/>
          <w:color w:val="auto"/>
          <w:kern w:val="0"/>
          <w:sz w:val="24"/>
          <w:szCs w:val="24"/>
          <w:highlight w:val="none"/>
          <w:u w:val="single"/>
        </w:rPr>
        <w:t xml:space="preserve">（签字）                </w:t>
      </w:r>
      <w:r>
        <w:rPr>
          <w:rFonts w:hint="eastAsia" w:ascii="国标仿宋-GB/T 2312" w:hAnsi="国标仿宋-GB/T 2312" w:eastAsia="国标仿宋-GB/T 2312" w:cs="国标仿宋-GB/T 2312"/>
          <w:snapToGrid w:val="0"/>
          <w:color w:val="auto"/>
          <w:kern w:val="0"/>
          <w:sz w:val="24"/>
          <w:szCs w:val="24"/>
          <w:highlight w:val="none"/>
        </w:rPr>
        <w:t xml:space="preserve">              </w:t>
      </w:r>
    </w:p>
    <w:p w14:paraId="7E5D2415">
      <w:pPr>
        <w:pStyle w:val="7"/>
        <w:jc w:val="right"/>
        <w:rPr>
          <w:rFonts w:hint="eastAsia" w:ascii="国标仿宋-GB/T 2312" w:hAnsi="国标仿宋-GB/T 2312" w:eastAsia="国标仿宋-GB/T 2312" w:cs="国标仿宋-GB/T 2312"/>
          <w:lang w:val="en-US" w:eastAsia="zh-Hans"/>
        </w:rPr>
      </w:pPr>
      <w:r>
        <w:rPr>
          <w:rFonts w:hint="eastAsia" w:ascii="国标仿宋-GB/T 2312" w:hAnsi="国标仿宋-GB/T 2312" w:eastAsia="国标仿宋-GB/T 2312" w:cs="国标仿宋-GB/T 2312"/>
          <w:color w:val="auto"/>
          <w:sz w:val="24"/>
          <w:szCs w:val="24"/>
          <w:highlight w:val="none"/>
        </w:rPr>
        <w:t>年   月  日</w:t>
      </w:r>
    </w:p>
    <w:p w14:paraId="20A5F8D4">
      <w:bookmarkStart w:id="1" w:name="_GoBack"/>
      <w:bookmarkEnd w:id="1"/>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国标仿宋-GB/T 2312">
    <w:altName w:val="仿宋"/>
    <w:panose1 w:val="020005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6BE8166A">
    <w:panose1 w:val="02010609060101010101"/>
    <w:charset w:val="86"/>
    <w:family w:val="auto"/>
    <w:pitch w:val="default"/>
    <w:sig w:usb0="00000001" w:usb1="00000000" w:usb2="00000000" w:usb3="00000000" w:csb0="00040001" w:csb1="00000000"/>
  </w:font>
  <w:font w:name="KSOF6BE7A20B">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ED7099"/>
    <w:multiLevelType w:val="singleLevel"/>
    <w:tmpl w:val="B1ED7099"/>
    <w:lvl w:ilvl="0" w:tentative="0">
      <w:start w:val="7"/>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BA2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2026-05-21T03:41:38Z</dcterms:created>
  <dc:creator>Lemon</dc:creator>
  <cp:lastModifiedBy>Jun</cp:lastModifiedBy>
  <dcterms:modified xsi:type="dcterms:W3CDTF">2026-05-21T03:41:45Z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eyJoZGlkIjoiMjUzNWM1YzQyNmZjOGE5OWVjZTFkMzRiNTgzODg5ZjAiLCJ1c2VySWQiOiIyNTQ0OTA1OTQifQ==</vt:lpwstr>
  </property>
  <property fmtid="{D5CDD505-2E9C-101B-9397-08002B2CF9AE}" pid="4" name="ICV">
    <vt:lpwstr>CB73C5DBACEE40B5B7D07B321EDCDBB1_12</vt:lpwstr>
  </property>
</Properties>
</file>