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8CF6E">
      <w:pPr>
        <w:jc w:val="center"/>
        <w:rPr>
          <w:rFonts w:hint="eastAsia" w:ascii="仿宋_GB2312" w:hAnsi="仿宋_GB2312" w:eastAsia="仿宋_GB2312" w:cs="仿宋_GB2312"/>
          <w:b/>
          <w:bCs/>
          <w:sz w:val="40"/>
          <w:szCs w:val="40"/>
          <w:lang w:eastAsia="zh-CN"/>
        </w:rPr>
      </w:pPr>
      <w:r>
        <w:rPr>
          <w:rFonts w:hint="eastAsia" w:ascii="仿宋_GB2312" w:hAnsi="仿宋_GB2312" w:eastAsia="仿宋_GB2312" w:cs="仿宋_GB2312"/>
          <w:b/>
          <w:bCs/>
          <w:sz w:val="40"/>
          <w:szCs w:val="40"/>
          <w:lang w:val="en-US" w:eastAsia="zh-CN"/>
        </w:rPr>
        <w:t>投标报价表</w:t>
      </w:r>
    </w:p>
    <w:p w14:paraId="0EDEC681">
      <w:pPr>
        <w:ind w:firstLine="480" w:firstLineChars="200"/>
        <w:jc w:val="left"/>
        <w:rPr>
          <w:rFonts w:hint="eastAsia" w:ascii="仿宋_GB2312" w:hAnsi="仿宋_GB2312" w:eastAsia="仿宋_GB2312" w:cs="仿宋_GB2312"/>
          <w:sz w:val="24"/>
          <w:szCs w:val="24"/>
          <w:lang w:eastAsia="zh-CN"/>
        </w:rPr>
      </w:pPr>
    </w:p>
    <w:tbl>
      <w:tblPr>
        <w:tblStyle w:val="4"/>
        <w:tblW w:w="0" w:type="auto"/>
        <w:jc w:val="center"/>
        <w:tblLayout w:type="fixed"/>
        <w:tblCellMar>
          <w:top w:w="0" w:type="dxa"/>
          <w:left w:w="108" w:type="dxa"/>
          <w:bottom w:w="0" w:type="dxa"/>
          <w:right w:w="108" w:type="dxa"/>
        </w:tblCellMar>
      </w:tblPr>
      <w:tblGrid>
        <w:gridCol w:w="2780"/>
        <w:gridCol w:w="6235"/>
      </w:tblGrid>
      <w:tr w14:paraId="61B9D2E5">
        <w:tblPrEx>
          <w:tblCellMar>
            <w:top w:w="0" w:type="dxa"/>
            <w:left w:w="108" w:type="dxa"/>
            <w:bottom w:w="0" w:type="dxa"/>
            <w:right w:w="108" w:type="dxa"/>
          </w:tblCellMar>
        </w:tblPrEx>
        <w:trPr>
          <w:trHeight w:val="895" w:hRule="atLeas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4594A5D3">
            <w:pPr>
              <w:autoSpaceDE w:val="0"/>
              <w:autoSpaceDN w:val="0"/>
              <w:adjustRightInd w:val="0"/>
              <w:jc w:val="center"/>
              <w:rPr>
                <w:rFonts w:hint="eastAsia" w:ascii="仿宋_GB2312" w:hAnsi="宋体" w:eastAsia="仿宋_GB2312" w:cs="仿宋_GB2312"/>
                <w:bCs/>
                <w:sz w:val="28"/>
                <w:szCs w:val="28"/>
              </w:rPr>
            </w:pPr>
            <w:r>
              <w:rPr>
                <w:rFonts w:hint="eastAsia" w:ascii="仿宋_GB2312" w:hAnsi="宋体" w:eastAsia="仿宋_GB2312" w:cs="仿宋_GB2312"/>
                <w:bCs/>
                <w:sz w:val="28"/>
                <w:szCs w:val="28"/>
                <w:lang w:bidi="ar"/>
              </w:rPr>
              <w:t>项目名称</w:t>
            </w:r>
          </w:p>
        </w:tc>
        <w:tc>
          <w:tcPr>
            <w:tcW w:w="6235" w:type="dxa"/>
            <w:tcBorders>
              <w:top w:val="single" w:color="auto" w:sz="6" w:space="0"/>
              <w:left w:val="single" w:color="auto" w:sz="6" w:space="0"/>
              <w:bottom w:val="single" w:color="auto" w:sz="4" w:space="0"/>
              <w:right w:val="single" w:color="auto" w:sz="6" w:space="0"/>
            </w:tcBorders>
            <w:noWrap w:val="0"/>
            <w:vAlign w:val="center"/>
          </w:tcPr>
          <w:p w14:paraId="71CB2167">
            <w:pPr>
              <w:autoSpaceDE w:val="0"/>
              <w:autoSpaceDN w:val="0"/>
              <w:adjustRightInd w:val="0"/>
              <w:snapToGrid w:val="0"/>
              <w:jc w:val="center"/>
              <w:rPr>
                <w:rFonts w:hint="eastAsia" w:ascii="仿宋_GB2312" w:hAnsi="宋体" w:eastAsia="仿宋_GB2312" w:cs="仿宋_GB2312"/>
                <w:bCs/>
                <w:sz w:val="28"/>
                <w:szCs w:val="28"/>
                <w:lang w:eastAsia="zh-CN" w:bidi="ar"/>
              </w:rPr>
            </w:pPr>
            <w:r>
              <w:rPr>
                <w:rFonts w:hint="eastAsia" w:ascii="仿宋_GB2312" w:hAnsi="宋体" w:eastAsia="仿宋_GB2312" w:cs="仿宋_GB2312"/>
                <w:bCs/>
                <w:sz w:val="28"/>
                <w:szCs w:val="28"/>
                <w:lang w:eastAsia="zh-CN" w:bidi="ar"/>
              </w:rPr>
              <w:t>西安高新区202</w:t>
            </w:r>
            <w:r>
              <w:rPr>
                <w:rFonts w:hint="eastAsia" w:ascii="仿宋_GB2312" w:hAnsi="宋体" w:eastAsia="仿宋_GB2312" w:cs="仿宋_GB2312"/>
                <w:bCs/>
                <w:sz w:val="28"/>
                <w:szCs w:val="28"/>
                <w:lang w:val="en-US" w:eastAsia="zh-CN" w:bidi="ar"/>
              </w:rPr>
              <w:t>6</w:t>
            </w:r>
            <w:r>
              <w:rPr>
                <w:rFonts w:hint="eastAsia" w:ascii="仿宋_GB2312" w:hAnsi="宋体" w:eastAsia="仿宋_GB2312" w:cs="仿宋_GB2312"/>
                <w:bCs/>
                <w:sz w:val="28"/>
                <w:szCs w:val="28"/>
                <w:lang w:eastAsia="zh-CN" w:bidi="ar"/>
              </w:rPr>
              <w:t>年市政道路占道开挖路面</w:t>
            </w:r>
          </w:p>
          <w:p w14:paraId="734AB915">
            <w:pPr>
              <w:autoSpaceDE w:val="0"/>
              <w:autoSpaceDN w:val="0"/>
              <w:adjustRightInd w:val="0"/>
              <w:snapToGrid w:val="0"/>
              <w:jc w:val="center"/>
              <w:rPr>
                <w:rFonts w:hint="eastAsia" w:ascii="宋体" w:hAnsi="宋体" w:eastAsia="宋体" w:cs="宋体"/>
                <w:b/>
                <w:bCs/>
                <w:sz w:val="28"/>
                <w:szCs w:val="28"/>
                <w:lang w:eastAsia="zh-CN"/>
              </w:rPr>
            </w:pPr>
            <w:r>
              <w:rPr>
                <w:rFonts w:hint="eastAsia" w:ascii="仿宋_GB2312" w:hAnsi="宋体" w:eastAsia="仿宋_GB2312" w:cs="仿宋_GB2312"/>
                <w:bCs/>
                <w:sz w:val="28"/>
                <w:szCs w:val="28"/>
                <w:lang w:eastAsia="zh-CN" w:bidi="ar"/>
              </w:rPr>
              <w:t>恢复服务项目</w:t>
            </w:r>
          </w:p>
        </w:tc>
      </w:tr>
      <w:tr w14:paraId="15B1EF00">
        <w:tblPrEx>
          <w:tblCellMar>
            <w:top w:w="0" w:type="dxa"/>
            <w:left w:w="108" w:type="dxa"/>
            <w:bottom w:w="0" w:type="dxa"/>
            <w:right w:w="108" w:type="dxa"/>
          </w:tblCellMar>
        </w:tblPrEx>
        <w:trPr>
          <w:trHeight w:val="787" w:hRule="atLeas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704F39D1">
            <w:pPr>
              <w:autoSpaceDE w:val="0"/>
              <w:autoSpaceDN w:val="0"/>
              <w:adjustRightInd w:val="0"/>
              <w:jc w:val="center"/>
              <w:rPr>
                <w:rFonts w:hint="eastAsia" w:ascii="仿宋_GB2312" w:hAnsi="宋体" w:eastAsia="仿宋_GB2312" w:cs="仿宋_GB2312"/>
                <w:bCs/>
                <w:sz w:val="28"/>
                <w:szCs w:val="28"/>
              </w:rPr>
            </w:pPr>
            <w:r>
              <w:rPr>
                <w:rFonts w:hint="eastAsia" w:ascii="仿宋_GB2312" w:hAnsi="宋体" w:eastAsia="仿宋_GB2312" w:cs="仿宋_GB2312"/>
                <w:bCs/>
                <w:sz w:val="28"/>
                <w:szCs w:val="28"/>
                <w:lang w:bidi="ar"/>
              </w:rPr>
              <w:t>项目编号</w:t>
            </w:r>
          </w:p>
        </w:tc>
        <w:tc>
          <w:tcPr>
            <w:tcW w:w="6235" w:type="dxa"/>
            <w:tcBorders>
              <w:top w:val="single" w:color="auto" w:sz="6" w:space="0"/>
              <w:left w:val="single" w:color="auto" w:sz="6" w:space="0"/>
              <w:bottom w:val="single" w:color="auto" w:sz="6" w:space="0"/>
              <w:right w:val="single" w:color="auto" w:sz="6" w:space="0"/>
            </w:tcBorders>
            <w:noWrap w:val="0"/>
            <w:vAlign w:val="center"/>
          </w:tcPr>
          <w:p w14:paraId="5A133D54">
            <w:pPr>
              <w:autoSpaceDE w:val="0"/>
              <w:autoSpaceDN w:val="0"/>
              <w:adjustRightInd w:val="0"/>
              <w:jc w:val="center"/>
              <w:rPr>
                <w:rFonts w:hint="default" w:ascii="仿宋_GB2312" w:hAnsi="宋体" w:eastAsia="仿宋_GB2312" w:cs="仿宋_GB2312"/>
                <w:bCs/>
                <w:sz w:val="28"/>
                <w:szCs w:val="28"/>
                <w:lang w:val="en-US" w:eastAsia="zh-CN"/>
              </w:rPr>
            </w:pPr>
            <w:r>
              <w:rPr>
                <w:rFonts w:hint="eastAsia" w:ascii="仿宋_GB2312" w:hAnsi="宋体" w:eastAsia="仿宋_GB2312" w:cs="仿宋_GB2312"/>
                <w:bCs/>
                <w:sz w:val="28"/>
                <w:szCs w:val="28"/>
                <w:lang w:eastAsia="zh-CN" w:bidi="ar"/>
              </w:rPr>
              <w:t>SXHC2025-</w:t>
            </w:r>
            <w:r>
              <w:rPr>
                <w:rFonts w:hint="eastAsia" w:ascii="仿宋_GB2312" w:hAnsi="宋体" w:eastAsia="仿宋_GB2312" w:cs="仿宋_GB2312"/>
                <w:bCs/>
                <w:sz w:val="28"/>
                <w:szCs w:val="28"/>
                <w:lang w:val="en-US" w:eastAsia="zh-CN" w:bidi="ar"/>
              </w:rPr>
              <w:t>322</w:t>
            </w:r>
          </w:p>
        </w:tc>
      </w:tr>
      <w:tr w14:paraId="7467322D">
        <w:tblPrEx>
          <w:tblCellMar>
            <w:top w:w="0" w:type="dxa"/>
            <w:left w:w="108" w:type="dxa"/>
            <w:bottom w:w="0" w:type="dxa"/>
            <w:right w:w="108" w:type="dxa"/>
          </w:tblCellMar>
        </w:tblPrEx>
        <w:trPr>
          <w:trHeight w:val="1178" w:hRule="atLeast"/>
          <w:jc w:val="center"/>
        </w:trPr>
        <w:tc>
          <w:tcPr>
            <w:tcW w:w="2780" w:type="dxa"/>
            <w:tcBorders>
              <w:top w:val="single" w:color="auto" w:sz="4" w:space="0"/>
              <w:left w:val="single" w:color="auto" w:sz="6" w:space="0"/>
              <w:right w:val="single" w:color="auto" w:sz="6" w:space="0"/>
            </w:tcBorders>
            <w:noWrap w:val="0"/>
            <w:vAlign w:val="center"/>
          </w:tcPr>
          <w:p w14:paraId="2F9CA9C4">
            <w:pPr>
              <w:adjustRightInd w:val="0"/>
              <w:snapToGrid w:val="0"/>
              <w:jc w:val="center"/>
              <w:rPr>
                <w:rFonts w:hint="eastAsia" w:ascii="仿宋_GB2312" w:eastAsia="仿宋_GB2312"/>
                <w:kern w:val="0"/>
                <w:sz w:val="28"/>
                <w:szCs w:val="28"/>
                <w:highlight w:val="none"/>
                <w:lang w:val="en-US" w:eastAsia="zh-CN"/>
              </w:rPr>
            </w:pPr>
            <w:r>
              <w:rPr>
                <w:rFonts w:hint="eastAsia" w:ascii="仿宋_GB2312" w:hAnsi="Times New Roman" w:eastAsia="仿宋_GB2312" w:cs="Times New Roman"/>
                <w:kern w:val="0"/>
                <w:sz w:val="28"/>
                <w:szCs w:val="28"/>
                <w:highlight w:val="none"/>
                <w:lang w:val="en-US" w:eastAsia="zh-CN"/>
              </w:rPr>
              <w:t>投标总报价（元）</w:t>
            </w:r>
          </w:p>
        </w:tc>
        <w:tc>
          <w:tcPr>
            <w:tcW w:w="6235" w:type="dxa"/>
            <w:tcBorders>
              <w:top w:val="single" w:color="auto" w:sz="4" w:space="0"/>
              <w:left w:val="single" w:color="auto" w:sz="6" w:space="0"/>
              <w:bottom w:val="single" w:color="auto" w:sz="6" w:space="0"/>
              <w:right w:val="single" w:color="auto" w:sz="6" w:space="0"/>
            </w:tcBorders>
            <w:noWrap w:val="0"/>
            <w:vAlign w:val="center"/>
          </w:tcPr>
          <w:p w14:paraId="0484493C">
            <w:pPr>
              <w:pStyle w:val="3"/>
              <w:keepNext w:val="0"/>
              <w:keepLines w:val="0"/>
              <w:pageBreakBefore w:val="0"/>
              <w:widowControl w:val="0"/>
              <w:kinsoku/>
              <w:wordWrap/>
              <w:overflowPunct/>
              <w:topLinePunct w:val="0"/>
              <w:autoSpaceDE/>
              <w:autoSpaceDN/>
              <w:bidi w:val="0"/>
              <w:adjustRightInd/>
              <w:snapToGrid w:val="0"/>
              <w:spacing w:after="157" w:afterLines="50"/>
              <w:ind w:firstLine="280" w:firstLineChars="100"/>
              <w:textAlignment w:val="auto"/>
              <w:rPr>
                <w:rFonts w:hint="eastAsia" w:ascii="仿宋_GB2312" w:hAnsi="宋体" w:eastAsia="仿宋_GB2312" w:cs="仿宋_GB2312"/>
                <w:sz w:val="28"/>
                <w:szCs w:val="28"/>
                <w:highlight w:val="none"/>
                <w:lang w:val="en-US" w:eastAsia="zh-CN" w:bidi="ar"/>
              </w:rPr>
            </w:pPr>
            <w:r>
              <w:rPr>
                <w:rFonts w:hint="eastAsia" w:ascii="仿宋_GB2312" w:hAnsi="宋体" w:eastAsia="仿宋_GB2312" w:cs="仿宋_GB2312"/>
                <w:sz w:val="28"/>
                <w:szCs w:val="28"/>
                <w:highlight w:val="none"/>
                <w:lang w:val="en-US" w:eastAsia="zh-CN" w:bidi="ar"/>
              </w:rPr>
              <w:t>大写：</w:t>
            </w:r>
          </w:p>
          <w:p w14:paraId="7183D3FD">
            <w:pPr>
              <w:pStyle w:val="3"/>
              <w:ind w:firstLine="280" w:firstLineChars="100"/>
              <w:rPr>
                <w:rFonts w:hint="eastAsia" w:ascii="仿宋_GB2312" w:hAnsi="宋体" w:eastAsia="仿宋_GB2312" w:cs="仿宋_GB2312"/>
                <w:sz w:val="28"/>
                <w:szCs w:val="28"/>
                <w:highlight w:val="none"/>
                <w:lang w:bidi="ar"/>
              </w:rPr>
            </w:pPr>
            <w:r>
              <w:rPr>
                <w:rFonts w:hint="eastAsia" w:ascii="仿宋_GB2312" w:hAnsi="宋体" w:eastAsia="仿宋_GB2312" w:cs="仿宋_GB2312"/>
                <w:sz w:val="28"/>
                <w:szCs w:val="28"/>
                <w:highlight w:val="none"/>
                <w:lang w:val="en-US" w:eastAsia="zh-CN" w:bidi="ar"/>
              </w:rPr>
              <w:t>小写：</w:t>
            </w:r>
          </w:p>
        </w:tc>
      </w:tr>
      <w:tr w14:paraId="0DEB7866">
        <w:tblPrEx>
          <w:tblCellMar>
            <w:top w:w="0" w:type="dxa"/>
            <w:left w:w="108" w:type="dxa"/>
            <w:bottom w:w="0" w:type="dxa"/>
            <w:right w:w="108" w:type="dxa"/>
          </w:tblCellMar>
        </w:tblPrEx>
        <w:trPr>
          <w:trHeight w:val="841" w:hRule="exac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724F5856">
            <w:pPr>
              <w:autoSpaceDE w:val="0"/>
              <w:autoSpaceDN w:val="0"/>
              <w:adjustRightInd w:val="0"/>
              <w:jc w:val="center"/>
              <w:rPr>
                <w:rFonts w:hint="default" w:ascii="仿宋_GB2312" w:eastAsia="仿宋_GB2312" w:cs="仿宋_GB2312"/>
                <w:kern w:val="0"/>
                <w:sz w:val="28"/>
                <w:szCs w:val="28"/>
                <w:highlight w:val="yellow"/>
                <w:lang w:val="en-US" w:eastAsia="zh-CN" w:bidi="ar"/>
              </w:rPr>
            </w:pPr>
            <w:r>
              <w:rPr>
                <w:rFonts w:hint="eastAsia" w:ascii="仿宋_GB2312" w:eastAsia="仿宋_GB2312"/>
                <w:kern w:val="0"/>
                <w:sz w:val="28"/>
                <w:szCs w:val="28"/>
                <w:highlight w:val="none"/>
                <w:lang w:val="en-US" w:eastAsia="zh-CN"/>
              </w:rPr>
              <w:t>服务期限</w:t>
            </w:r>
          </w:p>
        </w:tc>
        <w:tc>
          <w:tcPr>
            <w:tcW w:w="6235" w:type="dxa"/>
            <w:tcBorders>
              <w:top w:val="single" w:color="auto" w:sz="6" w:space="0"/>
              <w:left w:val="single" w:color="auto" w:sz="6" w:space="0"/>
              <w:bottom w:val="single" w:color="auto" w:sz="6" w:space="0"/>
              <w:right w:val="single" w:color="auto" w:sz="6" w:space="0"/>
            </w:tcBorders>
            <w:noWrap w:val="0"/>
            <w:vAlign w:val="center"/>
          </w:tcPr>
          <w:p w14:paraId="738F3D1B">
            <w:pPr>
              <w:autoSpaceDE w:val="0"/>
              <w:autoSpaceDN w:val="0"/>
              <w:adjustRightInd w:val="0"/>
              <w:spacing w:line="360" w:lineRule="auto"/>
              <w:jc w:val="center"/>
              <w:rPr>
                <w:rFonts w:hint="eastAsia" w:ascii="仿宋_GB2312" w:hAnsi="宋体" w:eastAsia="仿宋_GB2312" w:cs="仿宋_GB2312"/>
                <w:sz w:val="28"/>
                <w:szCs w:val="28"/>
              </w:rPr>
            </w:pPr>
          </w:p>
        </w:tc>
      </w:tr>
      <w:tr w14:paraId="38CDC1CC">
        <w:tblPrEx>
          <w:tblCellMar>
            <w:top w:w="0" w:type="dxa"/>
            <w:left w:w="108" w:type="dxa"/>
            <w:bottom w:w="0" w:type="dxa"/>
            <w:right w:w="108" w:type="dxa"/>
          </w:tblCellMar>
        </w:tblPrEx>
        <w:trPr>
          <w:trHeight w:val="841" w:hRule="exact"/>
          <w:jc w:val="center"/>
        </w:trPr>
        <w:tc>
          <w:tcPr>
            <w:tcW w:w="2780" w:type="dxa"/>
            <w:tcBorders>
              <w:top w:val="single" w:color="auto" w:sz="6" w:space="0"/>
              <w:left w:val="single" w:color="auto" w:sz="6" w:space="0"/>
              <w:bottom w:val="single" w:color="auto" w:sz="6" w:space="0"/>
              <w:right w:val="single" w:color="auto" w:sz="6" w:space="0"/>
            </w:tcBorders>
            <w:noWrap w:val="0"/>
            <w:vAlign w:val="center"/>
          </w:tcPr>
          <w:p w14:paraId="3B46016D">
            <w:pPr>
              <w:autoSpaceDE w:val="0"/>
              <w:autoSpaceDN w:val="0"/>
              <w:adjustRightInd w:val="0"/>
              <w:jc w:val="center"/>
              <w:rPr>
                <w:rFonts w:hint="default" w:ascii="仿宋_GB2312" w:eastAsia="仿宋_GB2312"/>
                <w:kern w:val="0"/>
                <w:sz w:val="28"/>
                <w:szCs w:val="28"/>
                <w:highlight w:val="none"/>
                <w:lang w:val="en-US" w:eastAsia="zh-CN"/>
              </w:rPr>
            </w:pPr>
            <w:r>
              <w:rPr>
                <w:rFonts w:hint="eastAsia" w:ascii="仿宋_GB2312" w:eastAsia="仿宋_GB2312"/>
                <w:kern w:val="0"/>
                <w:sz w:val="28"/>
                <w:szCs w:val="28"/>
                <w:highlight w:val="none"/>
                <w:lang w:val="en-US" w:eastAsia="zh-CN"/>
              </w:rPr>
              <w:t>质量</w:t>
            </w:r>
          </w:p>
        </w:tc>
        <w:tc>
          <w:tcPr>
            <w:tcW w:w="6235" w:type="dxa"/>
            <w:tcBorders>
              <w:top w:val="single" w:color="auto" w:sz="6" w:space="0"/>
              <w:left w:val="single" w:color="auto" w:sz="6" w:space="0"/>
              <w:bottom w:val="single" w:color="auto" w:sz="6" w:space="0"/>
              <w:right w:val="single" w:color="auto" w:sz="6" w:space="0"/>
            </w:tcBorders>
            <w:noWrap w:val="0"/>
            <w:vAlign w:val="center"/>
          </w:tcPr>
          <w:p w14:paraId="0143BA90">
            <w:pPr>
              <w:autoSpaceDE w:val="0"/>
              <w:autoSpaceDN w:val="0"/>
              <w:adjustRightInd w:val="0"/>
              <w:spacing w:line="360" w:lineRule="auto"/>
              <w:jc w:val="center"/>
              <w:rPr>
                <w:rFonts w:hint="eastAsia" w:ascii="仿宋_GB2312" w:hAnsi="宋体" w:eastAsia="仿宋_GB2312" w:cs="仿宋_GB2312"/>
                <w:sz w:val="28"/>
                <w:szCs w:val="28"/>
              </w:rPr>
            </w:pPr>
          </w:p>
        </w:tc>
      </w:tr>
      <w:tr w14:paraId="1F95C03B">
        <w:tblPrEx>
          <w:tblCellMar>
            <w:top w:w="0" w:type="dxa"/>
            <w:left w:w="108" w:type="dxa"/>
            <w:bottom w:w="0" w:type="dxa"/>
            <w:right w:w="108" w:type="dxa"/>
          </w:tblCellMar>
        </w:tblPrEx>
        <w:trPr>
          <w:trHeight w:val="998" w:hRule="atLeast"/>
          <w:jc w:val="center"/>
        </w:trPr>
        <w:tc>
          <w:tcPr>
            <w:tcW w:w="9015" w:type="dxa"/>
            <w:gridSpan w:val="2"/>
            <w:tcBorders>
              <w:top w:val="single" w:color="auto" w:sz="6" w:space="0"/>
              <w:left w:val="single" w:color="auto" w:sz="6" w:space="0"/>
              <w:bottom w:val="single" w:color="auto" w:sz="6" w:space="0"/>
              <w:right w:val="single" w:color="auto" w:sz="4" w:space="0"/>
            </w:tcBorders>
            <w:noWrap w:val="0"/>
            <w:vAlign w:val="center"/>
          </w:tcPr>
          <w:p w14:paraId="5FEBB3BA">
            <w:pPr>
              <w:widowControl/>
              <w:tabs>
                <w:tab w:val="left" w:pos="9030"/>
              </w:tabs>
              <w:adjustRightInd w:val="0"/>
              <w:snapToGrid w:val="0"/>
              <w:spacing w:line="360" w:lineRule="auto"/>
              <w:ind w:firstLine="560" w:firstLineChars="200"/>
              <w:rPr>
                <w:rFonts w:hint="eastAsia" w:ascii="仿宋_GB2312" w:hAnsi="宋体" w:eastAsia="仿宋_GB2312" w:cs="Times New Roman"/>
                <w:b w:val="0"/>
                <w:bCs/>
                <w:sz w:val="28"/>
                <w:szCs w:val="28"/>
                <w:highlight w:val="none"/>
              </w:rPr>
            </w:pPr>
            <w:r>
              <w:rPr>
                <w:rFonts w:hint="eastAsia" w:ascii="仿宋_GB2312" w:hAnsi="宋体" w:eastAsia="仿宋_GB2312" w:cs="Times New Roman"/>
                <w:b w:val="0"/>
                <w:bCs/>
                <w:sz w:val="28"/>
                <w:szCs w:val="28"/>
                <w:highlight w:val="none"/>
              </w:rPr>
              <w:t>说明：</w:t>
            </w:r>
          </w:p>
          <w:p w14:paraId="243E4398">
            <w:pPr>
              <w:widowControl/>
              <w:tabs>
                <w:tab w:val="left" w:pos="9030"/>
              </w:tabs>
              <w:adjustRightInd w:val="0"/>
              <w:snapToGrid w:val="0"/>
              <w:spacing w:line="360" w:lineRule="auto"/>
              <w:ind w:firstLine="562" w:firstLineChars="200"/>
              <w:rPr>
                <w:rFonts w:hint="default" w:ascii="仿宋_GB2312" w:hAnsi="宋体" w:eastAsia="仿宋_GB2312" w:cs="Times New Roman"/>
                <w:b/>
                <w:bCs w:val="0"/>
                <w:sz w:val="28"/>
                <w:szCs w:val="28"/>
                <w:highlight w:val="none"/>
                <w:lang w:val="en-US" w:eastAsia="zh-CN"/>
              </w:rPr>
            </w:pPr>
            <w:r>
              <w:rPr>
                <w:rFonts w:hint="eastAsia" w:ascii="仿宋_GB2312" w:hAnsi="宋体" w:eastAsia="仿宋_GB2312" w:cs="Times New Roman"/>
                <w:b/>
                <w:bCs w:val="0"/>
                <w:sz w:val="28"/>
                <w:szCs w:val="28"/>
                <w:highlight w:val="none"/>
                <w:lang w:val="en-US" w:eastAsia="zh-CN"/>
              </w:rPr>
              <w:t>1、本项目</w:t>
            </w:r>
            <w:r>
              <w:rPr>
                <w:rFonts w:hint="eastAsia" w:ascii="仿宋_GB2312" w:hAnsi="宋体" w:eastAsia="仿宋_GB2312" w:cs="Times New Roman"/>
                <w:b/>
                <w:bCs/>
                <w:sz w:val="28"/>
                <w:szCs w:val="28"/>
                <w:highlight w:val="none"/>
              </w:rPr>
              <w:t>采用固定全费用综合单价</w:t>
            </w:r>
            <w:r>
              <w:rPr>
                <w:rFonts w:hint="eastAsia" w:ascii="仿宋_GB2312" w:hAnsi="宋体" w:eastAsia="仿宋_GB2312" w:cs="Times New Roman"/>
                <w:b/>
                <w:bCs/>
                <w:sz w:val="28"/>
                <w:szCs w:val="28"/>
                <w:highlight w:val="none"/>
                <w:lang w:val="en-US" w:eastAsia="zh-CN"/>
              </w:rPr>
              <w:t>报价方式，各投标人根据工程量进行自主报价，全费用综合单价乘以暂定工程量总价之和（即</w:t>
            </w:r>
            <w:r>
              <w:rPr>
                <w:rFonts w:hint="eastAsia" w:ascii="仿宋_GB2312" w:hAnsi="宋体" w:eastAsia="仿宋_GB2312" w:cs="Times New Roman"/>
                <w:b/>
                <w:bCs/>
                <w:sz w:val="28"/>
                <w:szCs w:val="28"/>
                <w:highlight w:val="none"/>
              </w:rPr>
              <w:t>投标总报价</w:t>
            </w:r>
            <w:r>
              <w:rPr>
                <w:rFonts w:hint="eastAsia" w:ascii="仿宋_GB2312" w:hAnsi="宋体" w:eastAsia="仿宋_GB2312" w:cs="Times New Roman"/>
                <w:b/>
                <w:bCs/>
                <w:sz w:val="28"/>
                <w:szCs w:val="28"/>
                <w:highlight w:val="none"/>
                <w:lang w:val="en-US" w:eastAsia="zh-CN"/>
              </w:rPr>
              <w:t>）不超过</w:t>
            </w:r>
            <w:r>
              <w:rPr>
                <w:rFonts w:hint="eastAsia" w:ascii="仿宋_GB2312" w:hAnsi="宋体" w:eastAsia="仿宋_GB2312" w:cs="Times New Roman"/>
                <w:b/>
                <w:bCs/>
                <w:sz w:val="28"/>
                <w:szCs w:val="28"/>
                <w:highlight w:val="none"/>
              </w:rPr>
              <w:t>预算金额</w:t>
            </w:r>
            <w:r>
              <w:rPr>
                <w:rFonts w:hint="eastAsia" w:ascii="仿宋_GB2312" w:hAnsi="宋体" w:eastAsia="仿宋_GB2312" w:cs="Times New Roman"/>
                <w:b/>
                <w:bCs/>
                <w:sz w:val="28"/>
                <w:szCs w:val="28"/>
                <w:highlight w:val="none"/>
                <w:lang w:val="en-US" w:eastAsia="zh-CN"/>
              </w:rPr>
              <w:t>15000000.00元</w:t>
            </w:r>
            <w:r>
              <w:rPr>
                <w:rFonts w:hint="eastAsia" w:ascii="仿宋_GB2312" w:hAnsi="宋体" w:eastAsia="仿宋_GB2312" w:cs="Times New Roman"/>
                <w:b/>
                <w:bCs/>
                <w:sz w:val="28"/>
                <w:szCs w:val="28"/>
                <w:highlight w:val="none"/>
              </w:rPr>
              <w:t>，否则视为废标</w:t>
            </w:r>
            <w:r>
              <w:rPr>
                <w:rFonts w:hint="eastAsia" w:ascii="仿宋_GB2312" w:hAnsi="宋体" w:eastAsia="仿宋_GB2312" w:cs="Times New Roman"/>
                <w:b/>
                <w:bCs/>
                <w:sz w:val="28"/>
                <w:szCs w:val="28"/>
                <w:highlight w:val="none"/>
                <w:lang w:eastAsia="zh-CN"/>
              </w:rPr>
              <w:t>。</w:t>
            </w:r>
          </w:p>
          <w:p w14:paraId="163FDBFC">
            <w:pPr>
              <w:widowControl/>
              <w:tabs>
                <w:tab w:val="left" w:pos="9030"/>
              </w:tabs>
              <w:adjustRightInd w:val="0"/>
              <w:snapToGrid w:val="0"/>
              <w:spacing w:line="360" w:lineRule="auto"/>
              <w:ind w:firstLine="560" w:firstLineChars="200"/>
              <w:rPr>
                <w:rFonts w:hint="eastAsia" w:ascii="仿宋_GB2312" w:hAnsi="宋体" w:eastAsia="仿宋_GB2312" w:cs="Times New Roman"/>
                <w:b w:val="0"/>
                <w:bCs/>
                <w:sz w:val="28"/>
                <w:szCs w:val="28"/>
                <w:highlight w:val="none"/>
                <w:lang w:val="en-US" w:eastAsia="zh-CN"/>
              </w:rPr>
            </w:pPr>
            <w:r>
              <w:rPr>
                <w:rFonts w:hint="eastAsia" w:ascii="仿宋_GB2312" w:hAnsi="宋体" w:eastAsia="仿宋_GB2312" w:cs="Times New Roman"/>
                <w:b w:val="0"/>
                <w:bCs/>
                <w:sz w:val="28"/>
                <w:szCs w:val="28"/>
                <w:highlight w:val="none"/>
                <w:lang w:val="en-US" w:eastAsia="zh-CN"/>
              </w:rPr>
              <w:t>2、投标报价以元为单位，大小写不一致时，以大写为准。</w:t>
            </w:r>
          </w:p>
          <w:p w14:paraId="4C70DD3B">
            <w:pPr>
              <w:widowControl/>
              <w:tabs>
                <w:tab w:val="left" w:pos="9030"/>
              </w:tabs>
              <w:adjustRightInd w:val="0"/>
              <w:snapToGrid w:val="0"/>
              <w:spacing w:line="360" w:lineRule="auto"/>
              <w:ind w:firstLine="560" w:firstLineChars="200"/>
            </w:pPr>
            <w:r>
              <w:rPr>
                <w:rFonts w:hint="eastAsia" w:ascii="仿宋_GB2312" w:hAnsi="宋体" w:eastAsia="仿宋_GB2312" w:cs="Times New Roman"/>
                <w:b w:val="0"/>
                <w:bCs/>
                <w:sz w:val="28"/>
                <w:szCs w:val="28"/>
                <w:highlight w:val="none"/>
                <w:lang w:val="en-US" w:eastAsia="zh-CN"/>
              </w:rPr>
              <w:t>3、除可填报项目外对本投标报价表的任何修改将被视为非实质性响应从而导致该投标被拒绝。</w:t>
            </w:r>
          </w:p>
        </w:tc>
      </w:tr>
    </w:tbl>
    <w:p w14:paraId="5ADEF85C">
      <w:pPr>
        <w:ind w:firstLine="420" w:firstLineChars="200"/>
        <w:jc w:val="left"/>
        <w:rPr>
          <w:rFonts w:hint="default"/>
          <w:lang w:val="en-US"/>
        </w:rPr>
      </w:pPr>
    </w:p>
    <w:p w14:paraId="4335F8F4">
      <w:pPr>
        <w:ind w:firstLine="420" w:firstLineChars="200"/>
        <w:jc w:val="left"/>
        <w:rPr>
          <w:rFonts w:hint="default"/>
          <w:lang w:val="en-US"/>
        </w:rPr>
      </w:pPr>
    </w:p>
    <w:p w14:paraId="4D58E8D3">
      <w:pPr>
        <w:ind w:firstLine="420" w:firstLineChars="200"/>
        <w:jc w:val="left"/>
        <w:rPr>
          <w:rFonts w:hint="default"/>
          <w:lang w:val="en-US"/>
        </w:rPr>
      </w:pPr>
    </w:p>
    <w:p w14:paraId="3E2373BA">
      <w:pPr>
        <w:ind w:firstLine="420" w:firstLineChars="200"/>
        <w:jc w:val="left"/>
        <w:rPr>
          <w:rFonts w:hint="default"/>
          <w:lang w:val="en-US"/>
        </w:rPr>
      </w:pPr>
    </w:p>
    <w:p w14:paraId="5F744DD3">
      <w:pPr>
        <w:ind w:firstLine="420" w:firstLineChars="200"/>
        <w:jc w:val="left"/>
        <w:rPr>
          <w:rFonts w:hint="default"/>
          <w:lang w:val="en-US"/>
        </w:rPr>
      </w:pPr>
    </w:p>
    <w:p w14:paraId="78010D55">
      <w:pPr>
        <w:adjustRightInd w:val="0"/>
        <w:snapToGrid w:val="0"/>
        <w:spacing w:line="312" w:lineRule="auto"/>
        <w:ind w:firstLine="2800" w:firstLineChars="1000"/>
        <w:rPr>
          <w:rFonts w:hint="eastAsia" w:ascii="仿宋_GB2312" w:eastAsia="仿宋_GB2312"/>
          <w:sz w:val="28"/>
          <w:szCs w:val="28"/>
        </w:rPr>
      </w:pPr>
      <w:r>
        <w:rPr>
          <w:rFonts w:hint="eastAsia" w:ascii="仿宋_GB2312" w:eastAsia="仿宋_GB2312"/>
          <w:sz w:val="28"/>
          <w:szCs w:val="28"/>
          <w:lang w:val="en-US" w:eastAsia="zh-CN"/>
        </w:rPr>
        <w:t>投标人</w:t>
      </w:r>
      <w:r>
        <w:rPr>
          <w:rFonts w:hint="eastAsia" w:ascii="仿宋_GB2312" w:eastAsia="仿宋_GB2312"/>
          <w:sz w:val="28"/>
          <w:szCs w:val="28"/>
        </w:rPr>
        <w:t>名称（盖章）：</w:t>
      </w:r>
      <w:r>
        <w:rPr>
          <w:rFonts w:hint="eastAsia" w:ascii="仿宋_GB2312" w:eastAsia="仿宋_GB2312"/>
          <w:sz w:val="28"/>
          <w:szCs w:val="28"/>
          <w:u w:val="single"/>
        </w:rPr>
        <w:t xml:space="preserve">                         </w:t>
      </w:r>
    </w:p>
    <w:p w14:paraId="5BA37BCA">
      <w:pPr>
        <w:adjustRightInd w:val="0"/>
        <w:snapToGrid w:val="0"/>
        <w:spacing w:line="312" w:lineRule="auto"/>
        <w:ind w:firstLine="2800" w:firstLineChars="1000"/>
        <w:rPr>
          <w:rFonts w:hint="eastAsia" w:ascii="仿宋_GB2312" w:eastAsia="仿宋_GB2312"/>
          <w:sz w:val="28"/>
          <w:szCs w:val="28"/>
          <w:u w:val="single"/>
        </w:rPr>
      </w:pPr>
      <w:r>
        <w:rPr>
          <w:rFonts w:hint="eastAsia" w:ascii="仿宋_GB2312" w:eastAsia="仿宋_GB2312"/>
          <w:sz w:val="28"/>
          <w:szCs w:val="28"/>
        </w:rPr>
        <w:t>法定代表人或授权代表（签字</w:t>
      </w:r>
      <w:r>
        <w:rPr>
          <w:rFonts w:hint="eastAsia" w:ascii="仿宋_GB2312" w:hAnsi="宋体" w:eastAsia="仿宋_GB2312"/>
          <w:sz w:val="28"/>
          <w:szCs w:val="28"/>
        </w:rPr>
        <w:t>或盖章</w:t>
      </w:r>
      <w:r>
        <w:rPr>
          <w:rFonts w:hint="eastAsia" w:ascii="仿宋_GB2312" w:eastAsia="仿宋_GB2312"/>
          <w:sz w:val="28"/>
          <w:szCs w:val="28"/>
        </w:rPr>
        <w:t>）：</w:t>
      </w:r>
      <w:r>
        <w:rPr>
          <w:rFonts w:hint="eastAsia" w:ascii="仿宋_GB2312" w:eastAsia="仿宋_GB2312"/>
          <w:sz w:val="28"/>
          <w:szCs w:val="28"/>
          <w:u w:val="single"/>
        </w:rPr>
        <w:t xml:space="preserve">         </w:t>
      </w:r>
    </w:p>
    <w:p w14:paraId="6579282C">
      <w:pPr>
        <w:adjustRightInd w:val="0"/>
        <w:snapToGrid w:val="0"/>
        <w:spacing w:line="312" w:lineRule="auto"/>
        <w:ind w:firstLine="2800" w:firstLineChars="1000"/>
        <w:rPr>
          <w:rFonts w:hint="default"/>
          <w:lang w:val="en-US"/>
        </w:rPr>
      </w:pPr>
      <w:r>
        <w:rPr>
          <w:rFonts w:hint="eastAsia" w:ascii="仿宋_GB2312" w:eastAsia="仿宋_GB2312"/>
          <w:sz w:val="28"/>
          <w:szCs w:val="28"/>
        </w:rPr>
        <w:t>日    期：</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NzdmOTM5YmVkNWYxMDI1ZDJkZDk5YzNhZTc2YzAifQ=="/>
  </w:docVars>
  <w:rsids>
    <w:rsidRoot w:val="49F72CE2"/>
    <w:rsid w:val="01146ECB"/>
    <w:rsid w:val="0C0B73DD"/>
    <w:rsid w:val="0DA72FE3"/>
    <w:rsid w:val="0E7E0613"/>
    <w:rsid w:val="17661BFA"/>
    <w:rsid w:val="1E3F0D8E"/>
    <w:rsid w:val="1ED511B7"/>
    <w:rsid w:val="226B1CD2"/>
    <w:rsid w:val="297161E6"/>
    <w:rsid w:val="2CCE2DE9"/>
    <w:rsid w:val="2D1B503E"/>
    <w:rsid w:val="3902776C"/>
    <w:rsid w:val="483A3336"/>
    <w:rsid w:val="489276B0"/>
    <w:rsid w:val="49F72CE2"/>
    <w:rsid w:val="51A600CA"/>
    <w:rsid w:val="5842572D"/>
    <w:rsid w:val="64BE2429"/>
    <w:rsid w:val="6D96525D"/>
    <w:rsid w:val="6DB51BC6"/>
    <w:rsid w:val="6FFD072B"/>
    <w:rsid w:val="711B525F"/>
    <w:rsid w:val="73D92AB6"/>
    <w:rsid w:val="747E5633"/>
    <w:rsid w:val="7EF31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80</Words>
  <Characters>80</Characters>
  <Lines>0</Lines>
  <Paragraphs>0</Paragraphs>
  <TotalTime>0</TotalTime>
  <ScaleCrop>false</ScaleCrop>
  <LinksUpToDate>false</LinksUpToDate>
  <CharactersWithSpaces>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2026-07-24T11:51:03Z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2841A82600C549A0B4838E254160951C_13</vt:lpwstr>
  </property>
  <property fmtid="{D5CDD505-2E9C-101B-9397-08002B2CF9AE}" pid="4" name="KSOTemplateDocerSaveRecord">
    <vt:lpwstr>eyJoZGlkIjoiYjZjMDgwYWJjZmNiM2YzZmU4MTk1ZjZmYmY1NWU1OTEiLCJ1c2VySWQiOiI5MzY1NjA0ODAifQ==</vt:lpwstr>
  </property>
</Properties>
</file>