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6ABD18">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eastAsia" w:ascii="仿宋_GB2312" w:hAnsi="仿宋" w:eastAsia="仿宋_GB2312"/>
          <w:bCs/>
          <w:sz w:val="44"/>
          <w:szCs w:val="44"/>
          <w:highlight w:val="none"/>
        </w:rPr>
      </w:pPr>
      <w:r>
        <w:rPr>
          <w:rFonts w:hint="eastAsia" w:ascii="仿宋_GB2312" w:hAnsi="仿宋" w:eastAsia="仿宋_GB2312"/>
          <w:b/>
          <w:bCs w:val="0"/>
          <w:sz w:val="44"/>
          <w:szCs w:val="44"/>
          <w:highlight w:val="none"/>
        </w:rPr>
        <w:t>拟签订采购合同文本</w:t>
      </w:r>
    </w:p>
    <w:p w14:paraId="00B4CAB1">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u w:val="single"/>
        </w:rPr>
      </w:pPr>
      <w:r>
        <w:rPr>
          <w:rFonts w:hint="eastAsia" w:ascii="仿宋_GB2312" w:hAnsi="仿宋_GB2312" w:eastAsia="仿宋_GB2312" w:cs="仿宋_GB2312"/>
          <w:bCs/>
          <w:color w:val="auto"/>
          <w:sz w:val="28"/>
          <w:szCs w:val="28"/>
          <w:highlight w:val="none"/>
          <w:lang w:val="en-US" w:eastAsia="zh-CN"/>
        </w:rPr>
        <w:t>采购</w:t>
      </w:r>
      <w:r>
        <w:rPr>
          <w:rFonts w:hint="eastAsia" w:ascii="仿宋_GB2312" w:hAnsi="仿宋_GB2312" w:eastAsia="仿宋_GB2312" w:cs="仿宋_GB2312"/>
          <w:bCs/>
          <w:color w:val="auto"/>
          <w:sz w:val="28"/>
          <w:szCs w:val="28"/>
          <w:highlight w:val="none"/>
          <w:lang w:val="zh-CN"/>
        </w:rPr>
        <w:t>人(全称，以下简称甲方)：</w:t>
      </w:r>
      <w:r>
        <w:rPr>
          <w:rFonts w:hint="eastAsia" w:ascii="仿宋_GB2312" w:hAnsi="仿宋_GB2312" w:eastAsia="仿宋_GB2312" w:cs="仿宋_GB2312"/>
          <w:bCs/>
          <w:color w:val="auto"/>
          <w:sz w:val="28"/>
          <w:szCs w:val="28"/>
          <w:highlight w:val="none"/>
          <w:u w:val="single"/>
          <w:lang w:val="zh-CN"/>
        </w:rPr>
        <w:t xml:space="preserve">                              </w:t>
      </w:r>
    </w:p>
    <w:p w14:paraId="6EAC4F47">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en-US" w:eastAsia="zh-CN"/>
        </w:rPr>
        <w:t>中标</w:t>
      </w:r>
      <w:r>
        <w:rPr>
          <w:rFonts w:hint="eastAsia" w:ascii="仿宋_GB2312" w:hAnsi="仿宋_GB2312" w:eastAsia="仿宋_GB2312" w:cs="仿宋_GB2312"/>
          <w:bCs/>
          <w:color w:val="auto"/>
          <w:sz w:val="28"/>
          <w:szCs w:val="28"/>
          <w:highlight w:val="none"/>
          <w:lang w:val="zh-CN"/>
        </w:rPr>
        <w:t>人(全称，以下简称乙方)：</w:t>
      </w:r>
      <w:r>
        <w:rPr>
          <w:rFonts w:hint="eastAsia" w:ascii="仿宋_GB2312" w:hAnsi="仿宋_GB2312" w:eastAsia="仿宋_GB2312" w:cs="仿宋_GB2312"/>
          <w:bCs/>
          <w:color w:val="auto"/>
          <w:sz w:val="28"/>
          <w:szCs w:val="28"/>
          <w:highlight w:val="none"/>
          <w:u w:val="single"/>
          <w:lang w:val="zh-CN"/>
        </w:rPr>
        <w:t xml:space="preserve">                              </w:t>
      </w:r>
      <w:r>
        <w:rPr>
          <w:rFonts w:hint="eastAsia" w:ascii="仿宋_GB2312" w:hAnsi="仿宋_GB2312" w:eastAsia="仿宋_GB2312" w:cs="仿宋_GB2312"/>
          <w:bCs/>
          <w:color w:val="auto"/>
          <w:sz w:val="28"/>
          <w:szCs w:val="28"/>
          <w:highlight w:val="none"/>
          <w:lang w:val="zh-CN"/>
        </w:rPr>
        <w:t xml:space="preserve">                             </w:t>
      </w:r>
      <w:r>
        <w:rPr>
          <w:rFonts w:hint="eastAsia" w:ascii="仿宋_GB2312" w:hAnsi="仿宋_GB2312" w:eastAsia="仿宋_GB2312" w:cs="仿宋_GB2312"/>
          <w:bCs/>
          <w:color w:val="auto"/>
          <w:sz w:val="28"/>
          <w:szCs w:val="28"/>
          <w:highlight w:val="none"/>
        </w:rPr>
        <w:t xml:space="preserve"> </w:t>
      </w:r>
    </w:p>
    <w:p w14:paraId="49B51C27">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按照《中华人民共和</w:t>
      </w:r>
      <w:bookmarkStart w:id="0" w:name="_GoBack"/>
      <w:bookmarkEnd w:id="0"/>
      <w:r>
        <w:rPr>
          <w:rFonts w:hint="eastAsia" w:ascii="仿宋_GB2312" w:hAnsi="仿宋_GB2312" w:eastAsia="仿宋_GB2312" w:cs="仿宋_GB2312"/>
          <w:bCs/>
          <w:color w:val="auto"/>
          <w:sz w:val="28"/>
          <w:szCs w:val="28"/>
          <w:highlight w:val="none"/>
          <w:lang w:val="zh-CN"/>
        </w:rPr>
        <w:t>国民法典》、《中华人民共和国建筑法》等法律、行政法规，遵循平等、自愿、公平和诚实信用的原则，双方就</w:t>
      </w:r>
      <w:r>
        <w:rPr>
          <w:rFonts w:hint="eastAsia" w:ascii="仿宋_GB2312" w:hAnsi="仿宋_GB2312" w:eastAsia="仿宋_GB2312" w:cs="仿宋_GB2312"/>
          <w:bCs/>
          <w:color w:val="auto"/>
          <w:sz w:val="28"/>
          <w:szCs w:val="28"/>
          <w:highlight w:val="none"/>
          <w:u w:val="single"/>
          <w:lang w:val="en-US" w:eastAsia="zh-CN"/>
        </w:rPr>
        <w:t xml:space="preserve"> </w:t>
      </w:r>
      <w:r>
        <w:rPr>
          <w:rFonts w:hint="eastAsia" w:ascii="仿宋_GB2312" w:hAnsi="仿宋_GB2312" w:eastAsia="仿宋_GB2312" w:cs="仿宋_GB2312"/>
          <w:bCs/>
          <w:color w:val="auto"/>
          <w:sz w:val="28"/>
          <w:szCs w:val="28"/>
          <w:highlight w:val="none"/>
          <w:u w:val="single"/>
          <w:lang w:val="zh-CN" w:eastAsia="zh-CN"/>
        </w:rPr>
        <w:t>西安高新区2026年市政道路占道开挖路面恢复服务项目（</w:t>
      </w:r>
      <w:r>
        <w:rPr>
          <w:rFonts w:hint="eastAsia" w:ascii="仿宋_GB2312" w:hAnsi="仿宋_GB2312" w:eastAsia="仿宋_GB2312" w:cs="仿宋_GB2312"/>
          <w:bCs/>
          <w:color w:val="auto"/>
          <w:sz w:val="28"/>
          <w:szCs w:val="28"/>
          <w:highlight w:val="none"/>
          <w:u w:val="single"/>
          <w:lang w:val="en-US" w:eastAsia="zh-CN"/>
        </w:rPr>
        <w:t>项目编号：SXHC2025-322</w:t>
      </w:r>
      <w:r>
        <w:rPr>
          <w:rFonts w:hint="eastAsia" w:ascii="仿宋_GB2312" w:hAnsi="仿宋_GB2312" w:eastAsia="仿宋_GB2312" w:cs="仿宋_GB2312"/>
          <w:bCs/>
          <w:color w:val="auto"/>
          <w:sz w:val="28"/>
          <w:szCs w:val="28"/>
          <w:highlight w:val="none"/>
          <w:u w:val="single"/>
          <w:lang w:val="zh-CN" w:eastAsia="zh-CN"/>
        </w:rPr>
        <w:t>）</w:t>
      </w:r>
      <w:r>
        <w:rPr>
          <w:rFonts w:hint="eastAsia" w:ascii="仿宋_GB2312" w:hAnsi="仿宋_GB2312" w:eastAsia="仿宋_GB2312" w:cs="仿宋_GB2312"/>
          <w:bCs/>
          <w:color w:val="auto"/>
          <w:sz w:val="28"/>
          <w:szCs w:val="28"/>
          <w:highlight w:val="none"/>
          <w:lang w:val="zh-CN"/>
        </w:rPr>
        <w:t>订立本合同，双方达成如下协议：</w:t>
      </w:r>
    </w:p>
    <w:p w14:paraId="0C0DC2AA">
      <w:pPr>
        <w:autoSpaceDE w:val="0"/>
        <w:autoSpaceDN w:val="0"/>
        <w:adjustRightInd w:val="0"/>
        <w:snapToGrid w:val="0"/>
        <w:spacing w:line="360" w:lineRule="auto"/>
        <w:ind w:firstLine="562" w:firstLineChars="200"/>
        <w:rPr>
          <w:rFonts w:hint="eastAsia" w:ascii="仿宋_GB2312" w:hAnsi="仿宋_GB2312" w:eastAsia="仿宋_GB2312" w:cs="仿宋_GB2312"/>
          <w:b/>
          <w:bCs w:val="0"/>
          <w:color w:val="auto"/>
          <w:sz w:val="28"/>
          <w:szCs w:val="28"/>
          <w:highlight w:val="none"/>
          <w:lang w:val="zh-CN"/>
        </w:rPr>
      </w:pPr>
      <w:r>
        <w:rPr>
          <w:rFonts w:hint="eastAsia" w:ascii="仿宋_GB2312" w:hAnsi="仿宋_GB2312" w:eastAsia="仿宋_GB2312" w:cs="仿宋_GB2312"/>
          <w:b/>
          <w:bCs w:val="0"/>
          <w:color w:val="auto"/>
          <w:sz w:val="28"/>
          <w:szCs w:val="28"/>
          <w:highlight w:val="none"/>
          <w:lang w:val="zh-CN"/>
        </w:rPr>
        <w:t>一、项目概况：</w:t>
      </w:r>
    </w:p>
    <w:p w14:paraId="121E35AF">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1、项目地点：西安高新区</w:t>
      </w:r>
      <w:r>
        <w:rPr>
          <w:rFonts w:hint="eastAsia" w:ascii="仿宋_GB2312" w:hAnsi="仿宋_GB2312" w:eastAsia="仿宋_GB2312" w:cs="仿宋_GB2312"/>
          <w:bCs/>
          <w:color w:val="auto"/>
          <w:sz w:val="28"/>
          <w:szCs w:val="28"/>
          <w:highlight w:val="none"/>
          <w:lang w:val="en-US" w:eastAsia="zh-CN"/>
        </w:rPr>
        <w:t>范围</w:t>
      </w:r>
      <w:r>
        <w:rPr>
          <w:rFonts w:hint="eastAsia" w:ascii="仿宋_GB2312" w:hAnsi="仿宋_GB2312" w:eastAsia="仿宋_GB2312" w:cs="仿宋_GB2312"/>
          <w:bCs/>
          <w:color w:val="auto"/>
          <w:sz w:val="28"/>
          <w:szCs w:val="28"/>
          <w:highlight w:val="none"/>
          <w:lang w:val="zh-CN"/>
        </w:rPr>
        <w:t xml:space="preserve">内，具体以甲方指定地点为准。        </w:t>
      </w:r>
    </w:p>
    <w:p w14:paraId="0F931816">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2、服务范围：拟对占用挖掘城市道路进行恢复服务，包含本项目场地土方开挖及外运消纳、路面恢复等全过程服务。</w:t>
      </w:r>
    </w:p>
    <w:p w14:paraId="10E6E645">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3、服务期限：自合同签订之日起</w:t>
      </w:r>
      <w:r>
        <w:rPr>
          <w:rFonts w:hint="eastAsia" w:ascii="仿宋_GB2312" w:hAnsi="仿宋_GB2312" w:eastAsia="仿宋_GB2312" w:cs="仿宋_GB2312"/>
          <w:bCs/>
          <w:color w:val="auto"/>
          <w:sz w:val="28"/>
          <w:szCs w:val="28"/>
          <w:highlight w:val="none"/>
          <w:lang w:val="en-US" w:eastAsia="zh-CN"/>
        </w:rPr>
        <w:t>1</w:t>
      </w:r>
      <w:r>
        <w:rPr>
          <w:rFonts w:hint="eastAsia" w:ascii="仿宋_GB2312" w:hAnsi="仿宋_GB2312" w:eastAsia="仿宋_GB2312" w:cs="仿宋_GB2312"/>
          <w:bCs/>
          <w:color w:val="auto"/>
          <w:sz w:val="28"/>
          <w:szCs w:val="28"/>
          <w:highlight w:val="none"/>
          <w:lang w:val="zh-CN"/>
        </w:rPr>
        <w:t>年。</w:t>
      </w:r>
    </w:p>
    <w:p w14:paraId="633B840D">
      <w:pPr>
        <w:autoSpaceDE w:val="0"/>
        <w:autoSpaceDN w:val="0"/>
        <w:adjustRightInd w:val="0"/>
        <w:snapToGrid w:val="0"/>
        <w:spacing w:line="360" w:lineRule="auto"/>
        <w:ind w:firstLine="560" w:firstLineChars="200"/>
        <w:rPr>
          <w:ins w:id="0" w:author="华采" w:date="2024-07-08T18:34:00Z"/>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4、质量标准：</w:t>
      </w:r>
      <w:r>
        <w:rPr>
          <w:rFonts w:hint="eastAsia" w:ascii="仿宋_GB2312" w:hAnsi="仿宋_GB2312" w:eastAsia="仿宋_GB2312" w:cs="仿宋_GB2312"/>
          <w:bCs/>
          <w:color w:val="auto"/>
          <w:sz w:val="28"/>
          <w:szCs w:val="28"/>
          <w:highlight w:val="none"/>
          <w:lang w:val="en-US" w:eastAsia="zh-CN"/>
        </w:rPr>
        <w:t>符合国家现行有关施工质量验收规范“合格”要求</w:t>
      </w:r>
      <w:r>
        <w:rPr>
          <w:rFonts w:hint="eastAsia" w:ascii="仿宋_GB2312" w:hAnsi="仿宋_GB2312" w:eastAsia="仿宋_GB2312" w:cs="仿宋_GB2312"/>
          <w:bCs/>
          <w:color w:val="auto"/>
          <w:sz w:val="28"/>
          <w:szCs w:val="28"/>
          <w:highlight w:val="none"/>
          <w:lang w:val="zh-CN" w:eastAsia="zh-CN"/>
        </w:rPr>
        <w:t>。</w:t>
      </w:r>
    </w:p>
    <w:p w14:paraId="4DFAC3B7">
      <w:pPr>
        <w:autoSpaceDE w:val="0"/>
        <w:autoSpaceDN w:val="0"/>
        <w:adjustRightInd w:val="0"/>
        <w:snapToGrid w:val="0"/>
        <w:spacing w:line="360" w:lineRule="auto"/>
        <w:ind w:firstLine="562" w:firstLineChars="200"/>
        <w:rPr>
          <w:ins w:id="1" w:author="华采" w:date="2024-07-08T18:42:00Z"/>
          <w:rFonts w:hint="eastAsia" w:ascii="仿宋_GB2312" w:hAnsi="仿宋_GB2312" w:eastAsia="仿宋_GB2312" w:cs="仿宋_GB2312"/>
          <w:b/>
          <w:bCs w:val="0"/>
          <w:color w:val="auto"/>
          <w:sz w:val="28"/>
          <w:szCs w:val="28"/>
          <w:highlight w:val="none"/>
          <w:lang w:val="en-US"/>
        </w:rPr>
      </w:pPr>
      <w:r>
        <w:rPr>
          <w:rFonts w:hint="eastAsia" w:ascii="仿宋_GB2312" w:hAnsi="仿宋_GB2312" w:eastAsia="仿宋_GB2312" w:cs="仿宋_GB2312"/>
          <w:b/>
          <w:bCs w:val="0"/>
          <w:color w:val="auto"/>
          <w:sz w:val="28"/>
          <w:szCs w:val="28"/>
          <w:highlight w:val="none"/>
          <w:lang w:val="zh-CN"/>
        </w:rPr>
        <w:t>二、</w:t>
      </w:r>
      <w:r>
        <w:rPr>
          <w:rFonts w:hint="eastAsia" w:ascii="仿宋_GB2312" w:hAnsi="仿宋_GB2312" w:eastAsia="仿宋_GB2312" w:cs="仿宋_GB2312"/>
          <w:b/>
          <w:bCs w:val="0"/>
          <w:color w:val="auto"/>
          <w:sz w:val="28"/>
          <w:szCs w:val="28"/>
          <w:highlight w:val="none"/>
          <w:lang w:val="en-US" w:eastAsia="zh-CN"/>
        </w:rPr>
        <w:t>服务方式</w:t>
      </w:r>
    </w:p>
    <w:p w14:paraId="3A9503C4">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本项目分批实施，</w:t>
      </w:r>
      <w:r>
        <w:rPr>
          <w:rFonts w:hint="eastAsia" w:ascii="仿宋_GB2312" w:hAnsi="仿宋_GB2312" w:eastAsia="仿宋_GB2312" w:cs="仿宋_GB2312"/>
          <w:bCs/>
          <w:color w:val="auto"/>
          <w:sz w:val="28"/>
          <w:szCs w:val="28"/>
          <w:highlight w:val="none"/>
          <w:lang w:val="en-US" w:eastAsia="zh-CN"/>
        </w:rPr>
        <w:t>乙方</w:t>
      </w:r>
      <w:r>
        <w:rPr>
          <w:rFonts w:hint="eastAsia" w:ascii="仿宋_GB2312" w:hAnsi="仿宋_GB2312" w:eastAsia="仿宋_GB2312" w:cs="仿宋_GB2312"/>
          <w:bCs/>
          <w:color w:val="auto"/>
          <w:sz w:val="28"/>
          <w:szCs w:val="28"/>
          <w:highlight w:val="none"/>
          <w:lang w:val="zh-CN"/>
        </w:rPr>
        <w:t>自甲方下达任务后2日历日内完成当次路面恢复任务（如遇任务量过大时双方协商处理），接甲方通知后，按路面情况采用合理的路面恢复工艺完成路面恢复，保障城市路面通行功能，工程质量保修期为</w:t>
      </w:r>
      <w:r>
        <w:rPr>
          <w:rFonts w:hint="eastAsia" w:ascii="仿宋_GB2312" w:hAnsi="仿宋_GB2312" w:eastAsia="仿宋_GB2312" w:cs="仿宋_GB2312"/>
          <w:bCs/>
          <w:color w:val="auto"/>
          <w:sz w:val="28"/>
          <w:szCs w:val="28"/>
          <w:highlight w:val="none"/>
          <w:lang w:val="en-US" w:eastAsia="zh-CN"/>
        </w:rPr>
        <w:t>自项目验收合格之日起</w:t>
      </w:r>
      <w:r>
        <w:rPr>
          <w:rFonts w:hint="eastAsia" w:ascii="仿宋_GB2312" w:hAnsi="仿宋_GB2312" w:eastAsia="仿宋_GB2312" w:cs="仿宋_GB2312"/>
          <w:bCs/>
          <w:color w:val="auto"/>
          <w:sz w:val="28"/>
          <w:szCs w:val="28"/>
          <w:highlight w:val="none"/>
          <w:lang w:val="zh-CN"/>
        </w:rPr>
        <w:t>1年，因乙方原因修补后出现路面病害需无条件进行修补恢复至原路面承载等能力。</w:t>
      </w:r>
    </w:p>
    <w:p w14:paraId="38674E6A">
      <w:pPr>
        <w:autoSpaceDE w:val="0"/>
        <w:autoSpaceDN w:val="0"/>
        <w:adjustRightInd w:val="0"/>
        <w:snapToGrid w:val="0"/>
        <w:spacing w:line="360" w:lineRule="auto"/>
        <w:ind w:firstLine="562" w:firstLineChars="200"/>
        <w:rPr>
          <w:rFonts w:hint="eastAsia" w:ascii="仿宋_GB2312" w:hAnsi="仿宋_GB2312" w:eastAsia="仿宋_GB2312" w:cs="仿宋_GB2312"/>
          <w:b/>
          <w:bCs w:val="0"/>
          <w:color w:val="auto"/>
          <w:sz w:val="28"/>
          <w:szCs w:val="28"/>
          <w:highlight w:val="none"/>
          <w:lang w:val="zh-CN"/>
        </w:rPr>
      </w:pPr>
      <w:r>
        <w:rPr>
          <w:rFonts w:hint="eastAsia" w:ascii="仿宋_GB2312" w:hAnsi="仿宋_GB2312" w:eastAsia="仿宋_GB2312" w:cs="仿宋_GB2312"/>
          <w:b/>
          <w:bCs w:val="0"/>
          <w:color w:val="auto"/>
          <w:sz w:val="28"/>
          <w:szCs w:val="28"/>
          <w:highlight w:val="none"/>
          <w:lang w:val="zh-CN"/>
        </w:rPr>
        <w:t>三、双方的</w:t>
      </w:r>
      <w:r>
        <w:rPr>
          <w:rFonts w:hint="eastAsia" w:ascii="仿宋_GB2312" w:hAnsi="仿宋_GB2312" w:eastAsia="仿宋_GB2312" w:cs="仿宋_GB2312"/>
          <w:b/>
          <w:bCs w:val="0"/>
          <w:color w:val="auto"/>
          <w:sz w:val="28"/>
          <w:szCs w:val="28"/>
          <w:highlight w:val="none"/>
          <w:lang w:val="en-US" w:eastAsia="zh-CN"/>
        </w:rPr>
        <w:t>责任、</w:t>
      </w:r>
      <w:r>
        <w:rPr>
          <w:rFonts w:hint="eastAsia" w:ascii="仿宋_GB2312" w:hAnsi="仿宋_GB2312" w:eastAsia="仿宋_GB2312" w:cs="仿宋_GB2312"/>
          <w:b/>
          <w:bCs w:val="0"/>
          <w:color w:val="auto"/>
          <w:sz w:val="28"/>
          <w:szCs w:val="28"/>
          <w:highlight w:val="none"/>
          <w:lang w:val="zh-CN"/>
        </w:rPr>
        <w:t>权利及义务</w:t>
      </w:r>
    </w:p>
    <w:p w14:paraId="11AA99E6">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 xml:space="preserve">（一）甲方责任、权利和义务 </w:t>
      </w:r>
    </w:p>
    <w:p w14:paraId="409E9C76">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 xml:space="preserve">1、根据项目情况，确定施工任务。 </w:t>
      </w:r>
    </w:p>
    <w:p w14:paraId="6620D586">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 xml:space="preserve">2、委派指定代表与乙方联系，甲方更换代表应及时通知乙方。 </w:t>
      </w:r>
    </w:p>
    <w:p w14:paraId="28203156">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 xml:space="preserve">3、按本合同的约定办理款项支付。 </w:t>
      </w:r>
    </w:p>
    <w:p w14:paraId="3FA2E849">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 xml:space="preserve">4、负责向乙方明确具体任务实施范围、工作内容及工期安排。 </w:t>
      </w:r>
    </w:p>
    <w:p w14:paraId="54F8D00F">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5、有对项目实际数量的确认权。</w:t>
      </w:r>
    </w:p>
    <w:p w14:paraId="39E53B2F">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 xml:space="preserve">6、有权随时检查、监督现场及项目进度、质量和安全。 </w:t>
      </w:r>
    </w:p>
    <w:p w14:paraId="130329B9">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 xml:space="preserve">7、对于乙方的违约行为以及其它不利于实现本承包合同目的的行为，有权责令其限期改正，并依法保留依照本承包合同采取进一步法律措施的权利。 </w:t>
      </w:r>
    </w:p>
    <w:p w14:paraId="344A5BDC">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 xml:space="preserve">8、向乙方发出相关指令或要求。 </w:t>
      </w:r>
    </w:p>
    <w:p w14:paraId="55E2AE20">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9、有权要求乙方更换不能胜任工作或玩忽职守的人员，乙方应在 1 周内将上述人员撤离现场并补报能够胜任的人员到岗。如上述人员不撤离现场或补报 的人员仍不能胜任工作或玩忽职守，甲方将视同乙方无能力履行本合同，有权单方终止合同，由此给甲方造成的所有损失由乙方承担。</w:t>
      </w:r>
    </w:p>
    <w:p w14:paraId="004A8F4F">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 xml:space="preserve">10、乙方在项目质量、项目管理、安全文明施工等方面未按甲方及监理 单位要求进行施工及管理，甲方有权要求乙方支付违约金并在以书面形式通 知乙方后直接从项目款中扣除。 </w:t>
      </w:r>
    </w:p>
    <w:p w14:paraId="67F89D0B">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 xml:space="preserve">11、如乙方不按甲方、监理单位要求进行施工，甲方有权勒令乙方暂停施工并进行整改，待整改完毕后报监理单位及甲方验收并同意后方可复工，由此造成的损失由乙方负责。 </w:t>
      </w:r>
    </w:p>
    <w:p w14:paraId="7017A0EB">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 xml:space="preserve">12、负责组织项目验收。 </w:t>
      </w:r>
    </w:p>
    <w:p w14:paraId="733677E3">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 xml:space="preserve">（二）乙方责任、权利和义务 </w:t>
      </w:r>
    </w:p>
    <w:p w14:paraId="780048B9">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 xml:space="preserve">1、全面履行本合同，接受甲方、监理单位和各级建设主管部门的监督和管 理，在甲方指定时间内，保质保量完成施工任务。 </w:t>
      </w:r>
    </w:p>
    <w:p w14:paraId="5A346FD4">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 xml:space="preserve">2、负责临时设施的搭建、大型机械及施工设备的进出场、临时水电的接引。 </w:t>
      </w:r>
    </w:p>
    <w:p w14:paraId="3B335E8E">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 xml:space="preserve">3、乙方须全面协调、统筹及管理承包范围内所含所有内容的施工，办理政府有关部门规定的本项目施工所需全部手续（如施工许可、园林绿化协调、市政协调、施工用水电协调、占道、占地、排污等，此处仅为列举，包括但不仅限于以上内容）；协调处理施工现场周围所涉及的政府部门、企业、地方组织或个人的关系，不得因此影响施工进展，此项工作为乙方合同义务，甲方不另增加任何费用。 </w:t>
      </w:r>
    </w:p>
    <w:p w14:paraId="0B6354A3">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 xml:space="preserve">4、乙方须做好施工期间的交通疏导并采取必要的安全防护措施，且应设置安全提醒标志。 </w:t>
      </w:r>
    </w:p>
    <w:p w14:paraId="04557EA3">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 xml:space="preserve">5、必须服从甲方、监理单位对对质量、安全、文明施工、治污减霾、治安等项目建设的统一管理。 </w:t>
      </w:r>
    </w:p>
    <w:p w14:paraId="0BC788B9">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 xml:space="preserve">6、乙方必须自行施工，不得转包，确需分包时，需征得甲方同意。 </w:t>
      </w:r>
    </w:p>
    <w:p w14:paraId="590DA582">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 xml:space="preserve">7、乙方必须保证安全生产，文明施工，特别是冬季和高温季节作业，要确保作业工人保温、防暑和身体健康，严禁带病工作。 </w:t>
      </w:r>
    </w:p>
    <w:p w14:paraId="6348DC7C">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 xml:space="preserve">8、乙方应确保施工现场的清洁卫生，建筑垃圾必须当日清理干净，不得留在现场过夜。保证施工现场清洁符合环境卫生管理的有关规定,达到西安市“创卫”要求，交工前保证施工现场清洁符合环境卫生管理的有关规定清理现场达到建筑物无污染，现场无建筑垃圾。 </w:t>
      </w:r>
    </w:p>
    <w:p w14:paraId="6F4CB198">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9、必须做好周围道路、人行道、路灯、管线、管沟、绿化植物及草坪等的成品保护，如有损毁必须及时修复，并承担相应的维修费用。</w:t>
      </w:r>
    </w:p>
    <w:p w14:paraId="0E4511F3">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 xml:space="preserve">10、乙方在施工过程中，如遇到需与外部相关的单位协调的问题时，应自行解决，甲方只负责协助。 </w:t>
      </w:r>
    </w:p>
    <w:p w14:paraId="75985055">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 xml:space="preserve">11、乙方必须注意施工安全，做好安全文明施工工作，如因措施不当造成 </w:t>
      </w:r>
    </w:p>
    <w:p w14:paraId="3DDACE26">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 xml:space="preserve">人身安全或工伤死亡事故，一切责任由乙方负责。项目施工要求以安全第一、安全设施自备自负、应达到安全标准要求。做好安全生产、文明施工，杜绝安全事故发生，承担事故的责任和因此发生的费用。负责对其在施工场地的工作人员进行安全教育，并对他们的安全负责。 做好消防、环保、应急预案，全面、充的分考虑的各种突发事件。 </w:t>
      </w:r>
    </w:p>
    <w:p w14:paraId="588E45A1">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 xml:space="preserve">12、乙方必须严格按照已经确认的施工方案组织施工，并接受甲方、监理单位对项目质量、工期、安全、文明施工、环保、夜间施工及工地纪律的监督和管理。 </w:t>
      </w:r>
    </w:p>
    <w:p w14:paraId="78B9ADDB">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 xml:space="preserve">13、乙方在项目施工期间，须严格遵守政府职能部门的各项规定，接受政府职能部门的监督和检查，由于管理不善，导致政府职能部门的罚款或停工整改，由此发生的费用与损失由乙方自行承担，且甲方保留暂缓支付项目款的权利，以确保文明施工有效实施。 </w:t>
      </w:r>
    </w:p>
    <w:p w14:paraId="714760D2">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 xml:space="preserve">14、乙方在项目施工期间，必须按照国家相关规定配备专职安全员，建立健全安全管理制度。 </w:t>
      </w:r>
    </w:p>
    <w:p w14:paraId="605790D0">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 xml:space="preserve">15、在施工期间，乙方必须建立施工安全用电制度，确保施工用电设备的完好无损，并设置漏电保护装置。 </w:t>
      </w:r>
    </w:p>
    <w:p w14:paraId="5FF828F6">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 xml:space="preserve">16、乙方必须确保农民工工资支付到位，不因甲方任何原因不予支付或迟缓支付。 </w:t>
      </w:r>
    </w:p>
    <w:p w14:paraId="7D508E25">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 xml:space="preserve">17、乙方严格应遵守项目建设安全生产有关规定，严格按照安全标准、规范、操作规程等组织施工，并随时接受相关部门安全检查人员依法实施的监督检查，采取必要的安全防护措施，消除事故隐患。如乙方未履行上述义务而造成项目、财产和人身伤害，由乙方承担责任及所发生的费用。因乙方施工现场安全措施不力而引起的安全事故，其责任及经济赔偿等由乙方承担。 </w:t>
      </w:r>
    </w:p>
    <w:p w14:paraId="364A86CC">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 xml:space="preserve">18、在垃圾外运过程中，应严格遵守关于治污减霾相关规定，服从相关部门管理，严格做好治污减霾工作。冬防期、重污染应急响应期间，乙方必须严格按照相关规定执行。若因治污减霾工作不力导致受到处罚，甲方将按乙方违约处理，主管部门做出的任何处罚均由乙方承担，直至合同解除。 </w:t>
      </w:r>
    </w:p>
    <w:p w14:paraId="7E50277C">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 xml:space="preserve">19、材料运输车辆、垃圾清运车辆应按规定装载，遮盖严密，沿途不得遗落、抛洒。设置专人清理车身及车轮泥土，确保车辆不带泥上路。 </w:t>
      </w:r>
    </w:p>
    <w:p w14:paraId="1BC7AE81">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20、垃圾清运完毕后，应及时维护现场，采取4 针绿色防尘网遮盖已清理完毕现场，保持场地平整和防尘网遮盖直至通过甲方验收。</w:t>
      </w:r>
    </w:p>
    <w:p w14:paraId="51EFD7D8">
      <w:pPr>
        <w:autoSpaceDE w:val="0"/>
        <w:autoSpaceDN w:val="0"/>
        <w:adjustRightInd w:val="0"/>
        <w:snapToGrid w:val="0"/>
        <w:spacing w:line="360" w:lineRule="auto"/>
        <w:ind w:firstLine="562" w:firstLineChars="200"/>
        <w:rPr>
          <w:rFonts w:hint="eastAsia" w:ascii="仿宋_GB2312" w:hAnsi="仿宋_GB2312" w:eastAsia="仿宋_GB2312" w:cs="仿宋_GB2312"/>
          <w:b/>
          <w:bCs w:val="0"/>
          <w:color w:val="auto"/>
          <w:sz w:val="28"/>
          <w:szCs w:val="28"/>
          <w:highlight w:val="none"/>
        </w:rPr>
      </w:pPr>
      <w:r>
        <w:rPr>
          <w:rFonts w:hint="eastAsia" w:ascii="仿宋_GB2312" w:hAnsi="仿宋_GB2312" w:eastAsia="仿宋_GB2312" w:cs="仿宋_GB2312"/>
          <w:b/>
          <w:bCs w:val="0"/>
          <w:color w:val="auto"/>
          <w:sz w:val="28"/>
          <w:szCs w:val="28"/>
          <w:highlight w:val="none"/>
          <w:lang w:val="zh-CN"/>
        </w:rPr>
        <w:t>四、合同价款和付款方式</w:t>
      </w:r>
    </w:p>
    <w:p w14:paraId="2D922CCA">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（一）合同价款</w:t>
      </w:r>
    </w:p>
    <w:p w14:paraId="521C2E84">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1</w:t>
      </w:r>
      <w:r>
        <w:rPr>
          <w:rFonts w:hint="eastAsia" w:ascii="仿宋_GB2312" w:hAnsi="仿宋_GB2312" w:eastAsia="仿宋_GB2312" w:cs="仿宋_GB2312"/>
          <w:bCs/>
          <w:color w:val="auto"/>
          <w:sz w:val="28"/>
          <w:szCs w:val="28"/>
          <w:highlight w:val="none"/>
          <w:lang w:val="en-US" w:eastAsia="zh-CN"/>
        </w:rPr>
        <w:t>、</w:t>
      </w:r>
      <w:r>
        <w:rPr>
          <w:rFonts w:hint="eastAsia" w:ascii="仿宋_GB2312" w:hAnsi="仿宋_GB2312" w:eastAsia="仿宋_GB2312" w:cs="仿宋_GB2312"/>
          <w:bCs/>
          <w:color w:val="auto"/>
          <w:sz w:val="28"/>
          <w:szCs w:val="28"/>
          <w:highlight w:val="none"/>
          <w:lang w:val="zh-CN"/>
        </w:rPr>
        <w:t>本工程采用固定综合单价合同方式。合同综合单价在合同履约期内固定不变，不因任何因素调整。</w:t>
      </w:r>
    </w:p>
    <w:p w14:paraId="09A58FAF">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en-US" w:eastAsia="zh-CN"/>
        </w:rPr>
      </w:pPr>
      <w:r>
        <w:rPr>
          <w:rFonts w:hint="eastAsia" w:ascii="仿宋_GB2312" w:hAnsi="仿宋_GB2312" w:eastAsia="仿宋_GB2312" w:cs="仿宋_GB2312"/>
          <w:bCs/>
          <w:color w:val="auto"/>
          <w:sz w:val="28"/>
          <w:szCs w:val="28"/>
          <w:highlight w:val="none"/>
          <w:lang w:val="zh-CN"/>
        </w:rPr>
        <w:t>2</w:t>
      </w:r>
      <w:r>
        <w:rPr>
          <w:rFonts w:hint="eastAsia" w:ascii="仿宋_GB2312" w:hAnsi="仿宋_GB2312" w:eastAsia="仿宋_GB2312" w:cs="仿宋_GB2312"/>
          <w:bCs/>
          <w:color w:val="auto"/>
          <w:sz w:val="28"/>
          <w:szCs w:val="28"/>
          <w:highlight w:val="none"/>
          <w:lang w:val="en-US" w:eastAsia="zh-CN"/>
        </w:rPr>
        <w:t>、</w:t>
      </w:r>
      <w:r>
        <w:rPr>
          <w:rFonts w:hint="eastAsia" w:ascii="仿宋_GB2312" w:hAnsi="仿宋_GB2312" w:eastAsia="仿宋_GB2312" w:cs="仿宋_GB2312"/>
          <w:bCs/>
          <w:color w:val="auto"/>
          <w:sz w:val="28"/>
          <w:szCs w:val="28"/>
          <w:highlight w:val="none"/>
          <w:lang w:val="zh-CN"/>
        </w:rPr>
        <w:t>合同总价暂定为</w:t>
      </w:r>
      <w:r>
        <w:rPr>
          <w:rFonts w:hint="eastAsia" w:ascii="仿宋_GB2312" w:hAnsi="仿宋_GB2312" w:eastAsia="仿宋_GB2312" w:cs="仿宋_GB2312"/>
          <w:bCs/>
          <w:color w:val="auto"/>
          <w:sz w:val="28"/>
          <w:szCs w:val="28"/>
          <w:highlight w:val="none"/>
          <w:lang w:val="en-US" w:eastAsia="zh-CN"/>
        </w:rPr>
        <w:t>¥</w:t>
      </w:r>
      <w:r>
        <w:rPr>
          <w:rFonts w:hint="eastAsia" w:ascii="仿宋_GB2312" w:hAnsi="仿宋_GB2312" w:eastAsia="仿宋_GB2312" w:cs="仿宋_GB2312"/>
          <w:bCs/>
          <w:color w:val="auto"/>
          <w:sz w:val="28"/>
          <w:szCs w:val="28"/>
          <w:highlight w:val="none"/>
          <w:u w:val="single"/>
          <w:lang w:val="zh-CN"/>
        </w:rPr>
        <w:t xml:space="preserve">         </w:t>
      </w:r>
      <w:r>
        <w:rPr>
          <w:rFonts w:hint="eastAsia" w:ascii="仿宋_GB2312" w:hAnsi="仿宋_GB2312" w:eastAsia="仿宋_GB2312" w:cs="仿宋_GB2312"/>
          <w:bCs/>
          <w:color w:val="auto"/>
          <w:sz w:val="28"/>
          <w:szCs w:val="28"/>
          <w:highlight w:val="none"/>
          <w:lang w:val="zh-CN"/>
        </w:rPr>
        <w:t>元，</w:t>
      </w:r>
      <w:r>
        <w:rPr>
          <w:rFonts w:hint="eastAsia" w:ascii="仿宋_GB2312" w:hAnsi="仿宋_GB2312" w:eastAsia="仿宋_GB2312" w:cs="仿宋_GB2312"/>
          <w:bCs/>
          <w:color w:val="auto"/>
          <w:sz w:val="28"/>
          <w:szCs w:val="28"/>
          <w:highlight w:val="none"/>
          <w:lang w:val="en-US" w:eastAsia="zh-CN"/>
        </w:rPr>
        <w:t>最终合同支付价款根据中标全费用综合单价乘以实际发生工程量按实结算，但最终不超过本项目采购预算金额。</w:t>
      </w:r>
    </w:p>
    <w:p w14:paraId="1DEF38C8">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3</w:t>
      </w:r>
      <w:r>
        <w:rPr>
          <w:rFonts w:hint="eastAsia" w:ascii="仿宋_GB2312" w:hAnsi="仿宋_GB2312" w:eastAsia="仿宋_GB2312" w:cs="仿宋_GB2312"/>
          <w:bCs/>
          <w:color w:val="auto"/>
          <w:sz w:val="28"/>
          <w:szCs w:val="28"/>
          <w:highlight w:val="none"/>
          <w:lang w:val="en-US" w:eastAsia="zh-CN"/>
        </w:rPr>
        <w:t>、</w:t>
      </w:r>
      <w:r>
        <w:rPr>
          <w:rFonts w:hint="eastAsia" w:ascii="仿宋_GB2312" w:hAnsi="仿宋_GB2312" w:eastAsia="仿宋_GB2312" w:cs="仿宋_GB2312"/>
          <w:bCs/>
          <w:color w:val="auto"/>
          <w:sz w:val="28"/>
          <w:szCs w:val="28"/>
          <w:highlight w:val="none"/>
          <w:lang w:val="zh-CN"/>
        </w:rPr>
        <w:t>拆除中可回收利用的材料、构件等物品，乙方自行处理的，以现场签证为准，在结算中扣减。</w:t>
      </w:r>
    </w:p>
    <w:p w14:paraId="06D8EBCE">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en-US" w:eastAsia="zh-CN"/>
        </w:rPr>
        <w:t>4、</w:t>
      </w:r>
      <w:r>
        <w:rPr>
          <w:rFonts w:hint="eastAsia" w:ascii="仿宋_GB2312" w:hAnsi="仿宋_GB2312" w:eastAsia="仿宋_GB2312" w:cs="仿宋_GB2312"/>
          <w:bCs/>
          <w:color w:val="auto"/>
          <w:sz w:val="28"/>
          <w:szCs w:val="28"/>
          <w:highlight w:val="none"/>
          <w:lang w:val="zh-CN"/>
        </w:rPr>
        <w:t>如遇强拆等其它非正常情况产生额外费用，双方及时办理洽商签证，并按签证费用在结算中调整。</w:t>
      </w:r>
    </w:p>
    <w:p w14:paraId="0AA653FB">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en-US" w:eastAsia="zh-CN"/>
        </w:rPr>
        <w:t>5、</w:t>
      </w:r>
      <w:r>
        <w:rPr>
          <w:rFonts w:hint="eastAsia" w:ascii="仿宋_GB2312" w:hAnsi="仿宋_GB2312" w:eastAsia="仿宋_GB2312" w:cs="仿宋_GB2312"/>
          <w:bCs/>
          <w:color w:val="auto"/>
          <w:sz w:val="28"/>
          <w:szCs w:val="28"/>
          <w:highlight w:val="none"/>
          <w:lang w:val="zh-CN"/>
        </w:rPr>
        <w:t>因新增拆除项目或强拆等非正常情况此导致施工工期延误的，甲方可根据实际情况批准适当工期顺延。</w:t>
      </w:r>
    </w:p>
    <w:p w14:paraId="22A83FB7">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（二）付款方式</w:t>
      </w:r>
    </w:p>
    <w:p w14:paraId="7B8EEEA3">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本项目据实结算，结算金额=∑</w:t>
      </w:r>
      <w:r>
        <w:rPr>
          <w:rFonts w:hint="eastAsia" w:ascii="仿宋_GB2312" w:hAnsi="仿宋_GB2312" w:eastAsia="仿宋_GB2312" w:cs="仿宋_GB2312"/>
          <w:bCs/>
          <w:color w:val="auto"/>
          <w:sz w:val="28"/>
          <w:szCs w:val="28"/>
          <w:highlight w:val="none"/>
          <w:lang w:val="en-US" w:eastAsia="zh-CN"/>
        </w:rPr>
        <w:t>全费用综合</w:t>
      </w:r>
      <w:r>
        <w:rPr>
          <w:rFonts w:hint="eastAsia" w:ascii="仿宋_GB2312" w:hAnsi="仿宋_GB2312" w:eastAsia="仿宋_GB2312" w:cs="仿宋_GB2312"/>
          <w:bCs/>
          <w:color w:val="auto"/>
          <w:sz w:val="28"/>
          <w:szCs w:val="28"/>
          <w:highlight w:val="none"/>
          <w:lang w:val="zh-CN"/>
        </w:rPr>
        <w:t>单价*实际完成工程量。</w:t>
      </w:r>
    </w:p>
    <w:p w14:paraId="6B5C34EA">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en-US" w:eastAsia="zh-CN"/>
        </w:rPr>
        <w:t>1、</w:t>
      </w:r>
      <w:r>
        <w:rPr>
          <w:rFonts w:hint="eastAsia" w:ascii="仿宋_GB2312" w:hAnsi="仿宋_GB2312" w:eastAsia="仿宋_GB2312" w:cs="仿宋_GB2312"/>
          <w:bCs/>
          <w:color w:val="auto"/>
          <w:sz w:val="28"/>
          <w:szCs w:val="28"/>
          <w:highlight w:val="none"/>
          <w:lang w:val="zh-CN"/>
        </w:rPr>
        <w:t>项目未整体完工且阶段性验收合格按项目实施进度分次支付进度款，当次支付结算金额为实际完成工程量的70%；</w:t>
      </w:r>
    </w:p>
    <w:p w14:paraId="525B026E">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en-US" w:eastAsia="zh-CN"/>
        </w:rPr>
        <w:t>2、</w:t>
      </w:r>
      <w:r>
        <w:rPr>
          <w:rFonts w:hint="eastAsia" w:ascii="仿宋_GB2312" w:hAnsi="仿宋_GB2312" w:eastAsia="仿宋_GB2312" w:cs="仿宋_GB2312"/>
          <w:bCs/>
          <w:color w:val="auto"/>
          <w:sz w:val="28"/>
          <w:szCs w:val="28"/>
          <w:highlight w:val="none"/>
          <w:lang w:val="zh-CN"/>
        </w:rPr>
        <w:t>项目整体完工且验收合格后支付至实际完成工程量的90%；</w:t>
      </w:r>
    </w:p>
    <w:p w14:paraId="54D71898">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en-US" w:eastAsia="zh-CN"/>
        </w:rPr>
        <w:t>3、</w:t>
      </w:r>
      <w:r>
        <w:rPr>
          <w:rFonts w:hint="eastAsia" w:ascii="仿宋_GB2312" w:hAnsi="仿宋_GB2312" w:eastAsia="仿宋_GB2312" w:cs="仿宋_GB2312"/>
          <w:bCs/>
          <w:color w:val="auto"/>
          <w:sz w:val="28"/>
          <w:szCs w:val="28"/>
          <w:highlight w:val="none"/>
          <w:lang w:val="zh-CN"/>
        </w:rPr>
        <w:t>剩余10%在12个月服务期结束后结合项目服务考核结果一次性无息支付。</w:t>
      </w:r>
    </w:p>
    <w:p w14:paraId="5C52AE51">
      <w:pPr>
        <w:autoSpaceDE w:val="0"/>
        <w:autoSpaceDN w:val="0"/>
        <w:adjustRightInd w:val="0"/>
        <w:snapToGrid w:val="0"/>
        <w:spacing w:line="360" w:lineRule="auto"/>
        <w:ind w:firstLine="562" w:firstLineChars="200"/>
        <w:rPr>
          <w:rFonts w:hint="eastAsia" w:ascii="仿宋_GB2312" w:hAnsi="仿宋_GB2312" w:eastAsia="仿宋_GB2312" w:cs="仿宋_GB2312"/>
          <w:b/>
          <w:bCs w:val="0"/>
          <w:color w:val="auto"/>
          <w:sz w:val="28"/>
          <w:szCs w:val="28"/>
          <w:highlight w:val="none"/>
          <w:lang w:val="en-US" w:eastAsia="zh-CN"/>
        </w:rPr>
      </w:pPr>
      <w:r>
        <w:rPr>
          <w:rFonts w:hint="eastAsia" w:ascii="仿宋_GB2312" w:hAnsi="仿宋_GB2312" w:eastAsia="仿宋_GB2312" w:cs="仿宋_GB2312"/>
          <w:b/>
          <w:bCs w:val="0"/>
          <w:color w:val="auto"/>
          <w:sz w:val="28"/>
          <w:szCs w:val="28"/>
          <w:highlight w:val="none"/>
          <w:lang w:val="en-US" w:eastAsia="zh-CN"/>
        </w:rPr>
        <w:t>五、验收</w:t>
      </w:r>
    </w:p>
    <w:p w14:paraId="1F439DAC">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eastAsia="zh-CN"/>
        </w:rPr>
      </w:pPr>
      <w:r>
        <w:rPr>
          <w:rFonts w:hint="eastAsia" w:ascii="仿宋_GB2312" w:hAnsi="仿宋_GB2312" w:eastAsia="仿宋_GB2312" w:cs="仿宋_GB2312"/>
          <w:bCs/>
          <w:color w:val="auto"/>
          <w:sz w:val="28"/>
          <w:szCs w:val="28"/>
          <w:highlight w:val="none"/>
          <w:lang w:val="zh-CN" w:eastAsia="zh-CN"/>
        </w:rPr>
        <w:t xml:space="preserve">（一）分阶段验收，按照甲方下派工作清单内容分期验收，用于支付进度款项及质保期计算。 </w:t>
      </w:r>
    </w:p>
    <w:p w14:paraId="40C73703">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eastAsia="zh-CN"/>
        </w:rPr>
      </w:pPr>
      <w:r>
        <w:rPr>
          <w:rFonts w:hint="eastAsia" w:ascii="仿宋_GB2312" w:hAnsi="仿宋_GB2312" w:eastAsia="仿宋_GB2312" w:cs="仿宋_GB2312"/>
          <w:bCs/>
          <w:color w:val="auto"/>
          <w:sz w:val="28"/>
          <w:szCs w:val="28"/>
          <w:highlight w:val="none"/>
          <w:lang w:val="zh-CN" w:eastAsia="zh-CN"/>
        </w:rPr>
        <w:t>（二）项目整体完工后，乙方提交竣工验收单及项目清单，甲方组织验收，验收合格，各方在验收报告上签字并出具正式验收报告，验收报告出具之日开始计算质保期。</w:t>
      </w:r>
    </w:p>
    <w:p w14:paraId="52478638">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eastAsia="zh-CN"/>
        </w:rPr>
      </w:pPr>
      <w:r>
        <w:rPr>
          <w:rFonts w:hint="eastAsia" w:ascii="仿宋_GB2312" w:hAnsi="仿宋_GB2312" w:eastAsia="仿宋_GB2312" w:cs="仿宋_GB2312"/>
          <w:bCs/>
          <w:color w:val="auto"/>
          <w:sz w:val="28"/>
          <w:szCs w:val="28"/>
          <w:highlight w:val="none"/>
          <w:lang w:val="zh-CN" w:eastAsia="zh-CN"/>
        </w:rPr>
        <w:t xml:space="preserve">（三）验收依据：合同文本、招投标文件、经双方及第三方监理出具的现场清单等相关资料。 </w:t>
      </w:r>
    </w:p>
    <w:p w14:paraId="20BF6EC2">
      <w:pPr>
        <w:autoSpaceDE w:val="0"/>
        <w:autoSpaceDN w:val="0"/>
        <w:adjustRightInd w:val="0"/>
        <w:snapToGrid w:val="0"/>
        <w:spacing w:line="360" w:lineRule="auto"/>
        <w:ind w:firstLine="562" w:firstLineChars="200"/>
        <w:rPr>
          <w:ins w:id="2" w:author="华采" w:date="2024-07-08T18:47:00Z"/>
          <w:rFonts w:hint="eastAsia" w:ascii="仿宋_GB2312" w:hAnsi="仿宋_GB2312" w:eastAsia="仿宋_GB2312" w:cs="仿宋_GB2312"/>
          <w:b/>
          <w:bCs w:val="0"/>
          <w:color w:val="auto"/>
          <w:sz w:val="28"/>
          <w:szCs w:val="28"/>
          <w:highlight w:val="none"/>
          <w:lang w:val="zh-CN"/>
        </w:rPr>
      </w:pPr>
      <w:r>
        <w:rPr>
          <w:rFonts w:hint="eastAsia" w:ascii="仿宋_GB2312" w:hAnsi="仿宋_GB2312" w:eastAsia="仿宋_GB2312" w:cs="仿宋_GB2312"/>
          <w:b/>
          <w:bCs w:val="0"/>
          <w:color w:val="auto"/>
          <w:sz w:val="28"/>
          <w:szCs w:val="28"/>
          <w:highlight w:val="none"/>
          <w:lang w:val="en-US" w:eastAsia="zh-CN"/>
        </w:rPr>
        <w:t>六、违约、索赔</w:t>
      </w:r>
    </w:p>
    <w:p w14:paraId="30BFFF3D">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 xml:space="preserve">（一）违约 </w:t>
      </w:r>
    </w:p>
    <w:p w14:paraId="033C4343">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 xml:space="preserve">1、甲方代表不能及时给出必要指令、确认、批准，不按合同约定履行自己的各项责任、权利和义务及发生其它使合同无法履行的行为，应承担违约责任(包括支付因其违约导致乙方增加的经济支出和从应支付之日起计算的应支付款项的利息等)相应顺延项目。 </w:t>
      </w:r>
    </w:p>
    <w:p w14:paraId="73C37600">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 xml:space="preserve">2、乙方不能按甲方要求期限完工，每逾期一天向乙方支付人民币5000 元的违约金。 </w:t>
      </w:r>
    </w:p>
    <w:p w14:paraId="0CEDC4EA">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 xml:space="preserve">3、施工质量达不到要求，乙方必须返工重建，直至质量符合甲方要求。 </w:t>
      </w:r>
    </w:p>
    <w:p w14:paraId="626EC60A">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 xml:space="preserve">4、除非双方协议将合同终止，或因一方违约使合同无法履行，违约方承担上述违约责任后仍应继续履行合同。因一方违约使合同不能履行，另一方欲中止或解除全部合同，应提前10天通知违约方后，方可中止或解除合同，由违约方承担违约责任。 </w:t>
      </w:r>
    </w:p>
    <w:p w14:paraId="00B4263A">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（二）索赔</w:t>
      </w:r>
    </w:p>
    <w:p w14:paraId="5BC0AFE7">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 xml:space="preserve">1、甲方未能按合同约定支付各种费用，顺延工期，赔偿损失，乙方可按以下规定书面向甲方索赔： </w:t>
      </w:r>
    </w:p>
    <w:p w14:paraId="463C47CF">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 xml:space="preserve">（1）有正当索赔理由，且有索赔事件发生的有效证据： </w:t>
      </w:r>
    </w:p>
    <w:p w14:paraId="47B0EB7A">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 xml:space="preserve">（2）索赔事件发生后28天内，向甲方发出要求索赔的通知： </w:t>
      </w:r>
    </w:p>
    <w:p w14:paraId="05AF6BE0">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 xml:space="preserve">（3）甲方在接到索赔通知后28天内给予批准，或要求乙方进一步补充索赔理由和证据，甲方在28天内未予答复，应视为该项索赔已经批准。 </w:t>
      </w:r>
    </w:p>
    <w:p w14:paraId="13DFC5ED">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 xml:space="preserve">2、乙方未能按合同约定履行自己的各项义务或发生错误，给甲方造成经济损失，甲方可按上述规定向乙方提出索赔。 </w:t>
      </w:r>
    </w:p>
    <w:p w14:paraId="0C4FD5A1">
      <w:pPr>
        <w:autoSpaceDE w:val="0"/>
        <w:autoSpaceDN w:val="0"/>
        <w:adjustRightInd w:val="0"/>
        <w:snapToGrid w:val="0"/>
        <w:spacing w:line="360" w:lineRule="auto"/>
        <w:ind w:firstLine="562"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
          <w:bCs w:val="0"/>
          <w:color w:val="auto"/>
          <w:sz w:val="28"/>
          <w:szCs w:val="28"/>
          <w:highlight w:val="none"/>
          <w:lang w:val="zh-CN"/>
        </w:rPr>
        <w:t>七、合同纠纷或争议</w:t>
      </w:r>
      <w:r>
        <w:rPr>
          <w:rFonts w:hint="eastAsia" w:ascii="仿宋_GB2312" w:hAnsi="仿宋_GB2312" w:eastAsia="仿宋_GB2312" w:cs="仿宋_GB2312"/>
          <w:bCs/>
          <w:color w:val="auto"/>
          <w:sz w:val="28"/>
          <w:szCs w:val="28"/>
          <w:highlight w:val="none"/>
          <w:lang w:val="zh-CN"/>
        </w:rPr>
        <w:t xml:space="preserve"> </w:t>
      </w:r>
    </w:p>
    <w:p w14:paraId="20ADB3CB">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 xml:space="preserve">因本合同或与本合同有关的一切事项发生争议，由双方友好协商解决。协商不成的，任何一方均可选择以下方式解决： </w:t>
      </w:r>
    </w:p>
    <w:p w14:paraId="0B059240">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（一）向甲方所在地仲裁委员会申请仲裁。</w:t>
      </w:r>
    </w:p>
    <w:p w14:paraId="7D0EC955">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 xml:space="preserve">（二）向甲方所在地人民法院提起诉讼。 </w:t>
      </w:r>
    </w:p>
    <w:p w14:paraId="1F43ED56">
      <w:pPr>
        <w:autoSpaceDE w:val="0"/>
        <w:autoSpaceDN w:val="0"/>
        <w:adjustRightInd w:val="0"/>
        <w:snapToGrid w:val="0"/>
        <w:spacing w:line="360" w:lineRule="auto"/>
        <w:ind w:firstLine="562"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
          <w:bCs w:val="0"/>
          <w:color w:val="auto"/>
          <w:sz w:val="28"/>
          <w:szCs w:val="28"/>
          <w:highlight w:val="none"/>
          <w:lang w:val="zh-CN"/>
        </w:rPr>
        <w:t>八、不可抗力事件处理</w:t>
      </w:r>
      <w:r>
        <w:rPr>
          <w:rFonts w:hint="eastAsia" w:ascii="仿宋_GB2312" w:hAnsi="仿宋_GB2312" w:eastAsia="仿宋_GB2312" w:cs="仿宋_GB2312"/>
          <w:bCs/>
          <w:color w:val="auto"/>
          <w:sz w:val="28"/>
          <w:szCs w:val="28"/>
          <w:highlight w:val="none"/>
          <w:lang w:val="zh-CN"/>
        </w:rPr>
        <w:t xml:space="preserve"> </w:t>
      </w:r>
    </w:p>
    <w:p w14:paraId="39C37E36">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 xml:space="preserve">（一）因不可抗力造成违约的，遭受不可抗力一方应及时向对方通报不能履行或不能完全履行的理由，并在随后取得有关权威机构出具的证明后的 15 日内向另一方提供不可抗力发生以及持续期间的充分证据。基本于以上行为，允许遭受不可抗力一方延期履行、部分履行或者不履行合同，并根据情况可部分或全部免于承担违约责任。 </w:t>
      </w:r>
    </w:p>
    <w:p w14:paraId="41A95EA6">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 xml:space="preserve">（二）本合同中的不可抗力指不能预见、不能避免并不能克服的客观情况。不可抗力应以国家和本市有关部门正式发布为准，不可抗力是指战争、严重火灾、水灾、台风、地震等人力不可抗拒的因素引起的延误和影响。 </w:t>
      </w:r>
    </w:p>
    <w:p w14:paraId="4242A832">
      <w:pPr>
        <w:autoSpaceDE w:val="0"/>
        <w:autoSpaceDN w:val="0"/>
        <w:adjustRightInd w:val="0"/>
        <w:snapToGrid w:val="0"/>
        <w:spacing w:line="360" w:lineRule="auto"/>
        <w:ind w:firstLine="562"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
          <w:bCs w:val="0"/>
          <w:color w:val="auto"/>
          <w:sz w:val="28"/>
          <w:szCs w:val="28"/>
          <w:highlight w:val="none"/>
          <w:lang w:val="zh-CN"/>
        </w:rPr>
        <w:t>九、违约解除合同</w:t>
      </w:r>
      <w:r>
        <w:rPr>
          <w:rFonts w:hint="eastAsia" w:ascii="仿宋_GB2312" w:hAnsi="仿宋_GB2312" w:eastAsia="仿宋_GB2312" w:cs="仿宋_GB2312"/>
          <w:bCs/>
          <w:color w:val="auto"/>
          <w:sz w:val="28"/>
          <w:szCs w:val="28"/>
          <w:highlight w:val="none"/>
          <w:lang w:val="zh-CN"/>
        </w:rPr>
        <w:t xml:space="preserve"> </w:t>
      </w:r>
    </w:p>
    <w:p w14:paraId="5656AE86">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 xml:space="preserve">（一）在乙方违约的情况下，甲方可向乙方发出书面通知，部分或全部终止本合同，同时保留向对方追诉的权利。 </w:t>
      </w:r>
    </w:p>
    <w:p w14:paraId="709AE458">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 xml:space="preserve">2、乙方有转让或未经甲方同意的分包行为，甲方可以单方解除合同。 </w:t>
      </w:r>
    </w:p>
    <w:p w14:paraId="24379001">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3、乙方未能履行本合同规定的责任、权利、义务的，甲方可以单方解除合同。</w:t>
      </w:r>
    </w:p>
    <w:p w14:paraId="08F3DA1A">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 xml:space="preserve">4、在本合同履行过程中，乙方有腐败、欺诈、违法行为的，甲方可以单方解除合同。 </w:t>
      </w:r>
    </w:p>
    <w:p w14:paraId="6349602C">
      <w:pPr>
        <w:autoSpaceDE w:val="0"/>
        <w:autoSpaceDN w:val="0"/>
        <w:adjustRightInd w:val="0"/>
        <w:snapToGrid w:val="0"/>
        <w:spacing w:line="360" w:lineRule="auto"/>
        <w:ind w:firstLine="562"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
          <w:bCs w:val="0"/>
          <w:color w:val="auto"/>
          <w:sz w:val="28"/>
          <w:szCs w:val="28"/>
          <w:highlight w:val="none"/>
          <w:lang w:val="zh-CN"/>
        </w:rPr>
        <w:t>十、合同的生效</w:t>
      </w:r>
      <w:r>
        <w:rPr>
          <w:rFonts w:hint="eastAsia" w:ascii="仿宋_GB2312" w:hAnsi="仿宋_GB2312" w:eastAsia="仿宋_GB2312" w:cs="仿宋_GB2312"/>
          <w:bCs/>
          <w:color w:val="auto"/>
          <w:sz w:val="28"/>
          <w:szCs w:val="28"/>
          <w:highlight w:val="none"/>
          <w:lang w:val="zh-CN"/>
        </w:rPr>
        <w:t xml:space="preserve"> </w:t>
      </w:r>
    </w:p>
    <w:p w14:paraId="384DFC24">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 xml:space="preserve">本合同经双方法定代表人（负责人）或授权代表签字并加盖公章（或合同专用章），并经本鉴证单位盖章后，即开始生效，在合同完全履行完毕终止。 </w:t>
      </w:r>
    </w:p>
    <w:p w14:paraId="6F3823F2">
      <w:pPr>
        <w:autoSpaceDE w:val="0"/>
        <w:autoSpaceDN w:val="0"/>
        <w:adjustRightInd w:val="0"/>
        <w:snapToGrid w:val="0"/>
        <w:spacing w:line="360" w:lineRule="auto"/>
        <w:ind w:firstLine="562" w:firstLineChars="200"/>
        <w:rPr>
          <w:rFonts w:hint="eastAsia" w:ascii="仿宋_GB2312" w:hAnsi="仿宋_GB2312" w:eastAsia="仿宋_GB2312" w:cs="仿宋_GB2312"/>
          <w:b/>
          <w:bCs w:val="0"/>
          <w:color w:val="auto"/>
          <w:sz w:val="28"/>
          <w:szCs w:val="28"/>
          <w:highlight w:val="none"/>
          <w:lang w:val="zh-CN"/>
        </w:rPr>
      </w:pPr>
      <w:r>
        <w:rPr>
          <w:rFonts w:hint="eastAsia" w:ascii="仿宋_GB2312" w:hAnsi="仿宋_GB2312" w:eastAsia="仿宋_GB2312" w:cs="仿宋_GB2312"/>
          <w:b/>
          <w:bCs w:val="0"/>
          <w:color w:val="auto"/>
          <w:sz w:val="28"/>
          <w:szCs w:val="28"/>
          <w:highlight w:val="none"/>
          <w:lang w:val="zh-CN"/>
        </w:rPr>
        <w:t>十一、其他</w:t>
      </w:r>
    </w:p>
    <w:p w14:paraId="207B5E43">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 xml:space="preserve">（一）本合同未尽事宜，双方协商解决，签订补充合同，补充合同与本合同具有 同等法律效力。 </w:t>
      </w:r>
    </w:p>
    <w:p w14:paraId="60664D30">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 xml:space="preserve">（二）本合同正本一式 </w:t>
      </w:r>
      <w:r>
        <w:rPr>
          <w:rFonts w:hint="eastAsia" w:ascii="仿宋_GB2312" w:hAnsi="仿宋_GB2312" w:eastAsia="仿宋_GB2312" w:cs="仿宋_GB2312"/>
          <w:bCs/>
          <w:color w:val="auto"/>
          <w:sz w:val="28"/>
          <w:szCs w:val="28"/>
          <w:highlight w:val="none"/>
          <w:lang w:val="en-US" w:eastAsia="zh-CN"/>
        </w:rPr>
        <w:t xml:space="preserve">   </w:t>
      </w:r>
      <w:r>
        <w:rPr>
          <w:rFonts w:hint="eastAsia" w:ascii="仿宋_GB2312" w:hAnsi="仿宋_GB2312" w:eastAsia="仿宋_GB2312" w:cs="仿宋_GB2312"/>
          <w:bCs/>
          <w:color w:val="auto"/>
          <w:sz w:val="28"/>
          <w:szCs w:val="28"/>
          <w:highlight w:val="none"/>
          <w:lang w:val="zh-CN"/>
        </w:rPr>
        <w:t xml:space="preserve">份，双方各执 </w:t>
      </w:r>
      <w:r>
        <w:rPr>
          <w:rFonts w:hint="eastAsia" w:ascii="仿宋_GB2312" w:hAnsi="仿宋_GB2312" w:eastAsia="仿宋_GB2312" w:cs="仿宋_GB2312"/>
          <w:bCs/>
          <w:color w:val="auto"/>
          <w:sz w:val="28"/>
          <w:szCs w:val="28"/>
          <w:highlight w:val="none"/>
          <w:lang w:val="en-US" w:eastAsia="zh-CN"/>
        </w:rPr>
        <w:t xml:space="preserve">  </w:t>
      </w:r>
      <w:r>
        <w:rPr>
          <w:rFonts w:hint="eastAsia" w:ascii="仿宋_GB2312" w:hAnsi="仿宋_GB2312" w:eastAsia="仿宋_GB2312" w:cs="仿宋_GB2312"/>
          <w:bCs/>
          <w:color w:val="auto"/>
          <w:sz w:val="28"/>
          <w:szCs w:val="28"/>
          <w:highlight w:val="none"/>
          <w:lang w:val="zh-CN"/>
        </w:rPr>
        <w:t xml:space="preserve">份，副本 </w:t>
      </w:r>
      <w:r>
        <w:rPr>
          <w:rFonts w:hint="eastAsia" w:ascii="仿宋_GB2312" w:hAnsi="仿宋_GB2312" w:eastAsia="仿宋_GB2312" w:cs="仿宋_GB2312"/>
          <w:bCs/>
          <w:color w:val="auto"/>
          <w:sz w:val="28"/>
          <w:szCs w:val="28"/>
          <w:highlight w:val="none"/>
          <w:lang w:val="en-US" w:eastAsia="zh-CN"/>
        </w:rPr>
        <w:t xml:space="preserve">  </w:t>
      </w:r>
      <w:r>
        <w:rPr>
          <w:rFonts w:hint="eastAsia" w:ascii="仿宋_GB2312" w:hAnsi="仿宋_GB2312" w:eastAsia="仿宋_GB2312" w:cs="仿宋_GB2312"/>
          <w:bCs/>
          <w:color w:val="auto"/>
          <w:sz w:val="28"/>
          <w:szCs w:val="28"/>
          <w:highlight w:val="none"/>
          <w:lang w:val="zh-CN"/>
        </w:rPr>
        <w:t xml:space="preserve">份，双方各执 </w:t>
      </w:r>
      <w:r>
        <w:rPr>
          <w:rFonts w:hint="eastAsia" w:ascii="仿宋_GB2312" w:hAnsi="仿宋_GB2312" w:eastAsia="仿宋_GB2312" w:cs="仿宋_GB2312"/>
          <w:bCs/>
          <w:color w:val="auto"/>
          <w:sz w:val="28"/>
          <w:szCs w:val="28"/>
          <w:highlight w:val="none"/>
          <w:lang w:val="en-US" w:eastAsia="zh-CN"/>
        </w:rPr>
        <w:t xml:space="preserve">  </w:t>
      </w:r>
      <w:r>
        <w:rPr>
          <w:rFonts w:hint="eastAsia" w:ascii="仿宋_GB2312" w:hAnsi="仿宋_GB2312" w:eastAsia="仿宋_GB2312" w:cs="仿宋_GB2312"/>
          <w:bCs/>
          <w:color w:val="auto"/>
          <w:sz w:val="28"/>
          <w:szCs w:val="28"/>
          <w:highlight w:val="none"/>
          <w:lang w:val="zh-CN"/>
        </w:rPr>
        <w:t>份</w:t>
      </w:r>
    </w:p>
    <w:p w14:paraId="667DB7E1">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（三）合同的组成部分：</w:t>
      </w:r>
    </w:p>
    <w:p w14:paraId="076B92D4">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1、</w:t>
      </w:r>
      <w:r>
        <w:rPr>
          <w:rFonts w:hint="eastAsia" w:ascii="仿宋_GB2312" w:hAnsi="仿宋_GB2312" w:eastAsia="仿宋_GB2312" w:cs="仿宋_GB2312"/>
          <w:bCs/>
          <w:color w:val="auto"/>
          <w:sz w:val="28"/>
          <w:szCs w:val="28"/>
          <w:highlight w:val="none"/>
          <w:lang w:val="en-US" w:eastAsia="zh-CN"/>
        </w:rPr>
        <w:t>乙方</w:t>
      </w:r>
      <w:r>
        <w:rPr>
          <w:rFonts w:hint="eastAsia" w:ascii="仿宋_GB2312" w:hAnsi="仿宋_GB2312" w:eastAsia="仿宋_GB2312" w:cs="仿宋_GB2312"/>
          <w:bCs/>
          <w:color w:val="auto"/>
          <w:sz w:val="28"/>
          <w:szCs w:val="28"/>
          <w:highlight w:val="none"/>
          <w:lang w:val="zh-CN"/>
        </w:rPr>
        <w:t>的投标文件；</w:t>
      </w:r>
    </w:p>
    <w:p w14:paraId="43A731A8">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2、招标文件及澄清、修改等补充文件；</w:t>
      </w:r>
    </w:p>
    <w:p w14:paraId="0F51B919">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lang w:val="zh-CN"/>
        </w:rPr>
      </w:pPr>
      <w:r>
        <w:rPr>
          <w:rFonts w:hint="eastAsia" w:ascii="仿宋_GB2312" w:hAnsi="仿宋_GB2312" w:eastAsia="仿宋_GB2312" w:cs="仿宋_GB2312"/>
          <w:bCs/>
          <w:color w:val="auto"/>
          <w:sz w:val="28"/>
          <w:szCs w:val="28"/>
          <w:highlight w:val="none"/>
          <w:lang w:val="zh-CN"/>
        </w:rPr>
        <w:t>3、相关的国家、行业标准、规范</w:t>
      </w:r>
    </w:p>
    <w:p w14:paraId="1DA60FBB">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lang w:val="zh-CN"/>
        </w:rPr>
        <w:t>4、其他相关法律、法规等有关文件</w:t>
      </w:r>
      <w:r>
        <w:rPr>
          <w:rFonts w:hint="eastAsia" w:ascii="仿宋_GB2312" w:hAnsi="仿宋_GB2312" w:eastAsia="仿宋_GB2312" w:cs="仿宋_GB2312"/>
          <w:bCs/>
          <w:color w:val="auto"/>
          <w:sz w:val="28"/>
          <w:szCs w:val="28"/>
          <w:highlight w:val="none"/>
        </w:rPr>
        <w:t>。</w:t>
      </w:r>
    </w:p>
    <w:p w14:paraId="7F0C2E2D">
      <w:pPr>
        <w:pStyle w:val="5"/>
        <w:rPr>
          <w:rFonts w:ascii="仿宋_GB2312" w:hAnsi="仿宋_GB2312" w:eastAsia="仿宋_GB2312" w:cs="仿宋_GB2312"/>
          <w:color w:val="auto"/>
          <w:sz w:val="28"/>
          <w:szCs w:val="28"/>
          <w:highlight w:val="none"/>
        </w:rPr>
      </w:pPr>
    </w:p>
    <w:p w14:paraId="699CB23A">
      <w:pPr>
        <w:pStyle w:val="5"/>
        <w:rPr>
          <w:rFonts w:ascii="仿宋_GB2312" w:hAnsi="仿宋_GB2312" w:eastAsia="仿宋_GB2312" w:cs="仿宋_GB2312"/>
          <w:color w:val="auto"/>
          <w:sz w:val="28"/>
          <w:szCs w:val="28"/>
          <w:highlight w:val="none"/>
        </w:rPr>
      </w:pPr>
    </w:p>
    <w:tbl>
      <w:tblPr>
        <w:tblStyle w:val="14"/>
        <w:tblW w:w="0" w:type="auto"/>
        <w:jc w:val="center"/>
        <w:tblLayout w:type="fixed"/>
        <w:tblCellMar>
          <w:top w:w="0" w:type="dxa"/>
          <w:left w:w="108" w:type="dxa"/>
          <w:bottom w:w="0" w:type="dxa"/>
          <w:right w:w="108" w:type="dxa"/>
        </w:tblCellMar>
      </w:tblPr>
      <w:tblGrid>
        <w:gridCol w:w="4201"/>
        <w:gridCol w:w="4202"/>
      </w:tblGrid>
      <w:tr w14:paraId="77BFA85D">
        <w:tblPrEx>
          <w:tblCellMar>
            <w:top w:w="0" w:type="dxa"/>
            <w:left w:w="108" w:type="dxa"/>
            <w:bottom w:w="0" w:type="dxa"/>
            <w:right w:w="108" w:type="dxa"/>
          </w:tblCellMar>
        </w:tblPrEx>
        <w:trPr>
          <w:trHeight w:val="567" w:hRule="exact"/>
          <w:jc w:val="center"/>
        </w:trPr>
        <w:tc>
          <w:tcPr>
            <w:tcW w:w="4201" w:type="dxa"/>
            <w:vAlign w:val="center"/>
          </w:tcPr>
          <w:p w14:paraId="4F011BBB">
            <w:pPr>
              <w:rPr>
                <w:rFonts w:ascii="仿宋_GB2312" w:hAnsi="仿宋_GB2312" w:eastAsia="仿宋_GB2312" w:cs="仿宋_GB2312"/>
                <w:color w:val="auto"/>
                <w:spacing w:val="-20"/>
                <w:sz w:val="28"/>
                <w:szCs w:val="28"/>
                <w:highlight w:val="none"/>
              </w:rPr>
            </w:pPr>
            <w:r>
              <w:rPr>
                <w:rFonts w:hint="eastAsia" w:ascii="仿宋_GB2312" w:hAnsi="仿宋_GB2312" w:eastAsia="仿宋_GB2312" w:cs="仿宋_GB2312"/>
                <w:color w:val="auto"/>
                <w:spacing w:val="-20"/>
                <w:sz w:val="28"/>
                <w:szCs w:val="28"/>
                <w:highlight w:val="none"/>
              </w:rPr>
              <w:t>甲  方</w:t>
            </w:r>
          </w:p>
        </w:tc>
        <w:tc>
          <w:tcPr>
            <w:tcW w:w="4202" w:type="dxa"/>
            <w:vAlign w:val="center"/>
          </w:tcPr>
          <w:p w14:paraId="673CFDCC">
            <w:pPr>
              <w:rPr>
                <w:rFonts w:ascii="仿宋_GB2312" w:hAnsi="仿宋_GB2312" w:eastAsia="仿宋_GB2312" w:cs="仿宋_GB2312"/>
                <w:color w:val="auto"/>
                <w:spacing w:val="-20"/>
                <w:sz w:val="28"/>
                <w:szCs w:val="28"/>
                <w:highlight w:val="none"/>
              </w:rPr>
            </w:pPr>
            <w:r>
              <w:rPr>
                <w:rFonts w:hint="eastAsia" w:ascii="仿宋_GB2312" w:hAnsi="仿宋_GB2312" w:eastAsia="仿宋_GB2312" w:cs="仿宋_GB2312"/>
                <w:color w:val="auto"/>
                <w:spacing w:val="-20"/>
                <w:sz w:val="28"/>
                <w:szCs w:val="28"/>
                <w:highlight w:val="none"/>
              </w:rPr>
              <w:t>乙  方</w:t>
            </w:r>
          </w:p>
        </w:tc>
      </w:tr>
      <w:tr w14:paraId="4753CA75">
        <w:tblPrEx>
          <w:tblCellMar>
            <w:top w:w="0" w:type="dxa"/>
            <w:left w:w="108" w:type="dxa"/>
            <w:bottom w:w="0" w:type="dxa"/>
            <w:right w:w="108" w:type="dxa"/>
          </w:tblCellMar>
        </w:tblPrEx>
        <w:trPr>
          <w:trHeight w:val="567" w:hRule="exact"/>
          <w:jc w:val="center"/>
        </w:trPr>
        <w:tc>
          <w:tcPr>
            <w:tcW w:w="4201" w:type="dxa"/>
            <w:vAlign w:val="center"/>
          </w:tcPr>
          <w:p w14:paraId="6AC8F3B4">
            <w:pPr>
              <w:ind w:firstLine="840" w:firstLineChars="350"/>
              <w:rPr>
                <w:rFonts w:ascii="仿宋_GB2312" w:hAnsi="仿宋_GB2312" w:eastAsia="仿宋_GB2312" w:cs="仿宋_GB2312"/>
                <w:color w:val="auto"/>
                <w:spacing w:val="-20"/>
                <w:sz w:val="28"/>
                <w:szCs w:val="28"/>
                <w:highlight w:val="none"/>
              </w:rPr>
            </w:pPr>
            <w:r>
              <w:rPr>
                <w:rFonts w:hint="eastAsia" w:ascii="仿宋_GB2312" w:hAnsi="仿宋_GB2312" w:eastAsia="仿宋_GB2312" w:cs="仿宋_GB2312"/>
                <w:color w:val="auto"/>
                <w:spacing w:val="-20"/>
                <w:sz w:val="28"/>
                <w:szCs w:val="28"/>
                <w:highlight w:val="none"/>
              </w:rPr>
              <w:t>（盖章）</w:t>
            </w:r>
          </w:p>
        </w:tc>
        <w:tc>
          <w:tcPr>
            <w:tcW w:w="4202" w:type="dxa"/>
            <w:vAlign w:val="center"/>
          </w:tcPr>
          <w:p w14:paraId="1736655A">
            <w:pPr>
              <w:ind w:firstLine="960" w:firstLineChars="400"/>
              <w:rPr>
                <w:rFonts w:ascii="仿宋_GB2312" w:hAnsi="仿宋_GB2312" w:eastAsia="仿宋_GB2312" w:cs="仿宋_GB2312"/>
                <w:color w:val="auto"/>
                <w:spacing w:val="-20"/>
                <w:sz w:val="28"/>
                <w:szCs w:val="28"/>
                <w:highlight w:val="none"/>
              </w:rPr>
            </w:pPr>
            <w:r>
              <w:rPr>
                <w:rFonts w:hint="eastAsia" w:ascii="仿宋_GB2312" w:hAnsi="仿宋_GB2312" w:eastAsia="仿宋_GB2312" w:cs="仿宋_GB2312"/>
                <w:color w:val="auto"/>
                <w:spacing w:val="-20"/>
                <w:sz w:val="28"/>
                <w:szCs w:val="28"/>
                <w:highlight w:val="none"/>
              </w:rPr>
              <w:t>（盖章）</w:t>
            </w:r>
          </w:p>
        </w:tc>
      </w:tr>
      <w:tr w14:paraId="4E0E6611">
        <w:tblPrEx>
          <w:tblCellMar>
            <w:top w:w="0" w:type="dxa"/>
            <w:left w:w="108" w:type="dxa"/>
            <w:bottom w:w="0" w:type="dxa"/>
            <w:right w:w="108" w:type="dxa"/>
          </w:tblCellMar>
        </w:tblPrEx>
        <w:trPr>
          <w:trHeight w:val="567" w:hRule="exact"/>
          <w:jc w:val="center"/>
        </w:trPr>
        <w:tc>
          <w:tcPr>
            <w:tcW w:w="4201" w:type="dxa"/>
            <w:vAlign w:val="center"/>
          </w:tcPr>
          <w:p w14:paraId="4EFEA748">
            <w:pPr>
              <w:rPr>
                <w:rFonts w:ascii="仿宋_GB2312" w:hAnsi="仿宋_GB2312" w:eastAsia="仿宋_GB2312" w:cs="仿宋_GB2312"/>
                <w:color w:val="auto"/>
                <w:spacing w:val="-20"/>
                <w:sz w:val="28"/>
                <w:szCs w:val="28"/>
                <w:highlight w:val="none"/>
              </w:rPr>
            </w:pPr>
            <w:r>
              <w:rPr>
                <w:rFonts w:hint="eastAsia" w:ascii="仿宋_GB2312" w:hAnsi="仿宋_GB2312" w:eastAsia="仿宋_GB2312" w:cs="仿宋_GB2312"/>
                <w:color w:val="auto"/>
                <w:spacing w:val="-20"/>
                <w:sz w:val="28"/>
                <w:szCs w:val="28"/>
                <w:highlight w:val="none"/>
              </w:rPr>
              <w:t xml:space="preserve">地址： </w:t>
            </w:r>
          </w:p>
        </w:tc>
        <w:tc>
          <w:tcPr>
            <w:tcW w:w="4202" w:type="dxa"/>
            <w:vAlign w:val="center"/>
          </w:tcPr>
          <w:p w14:paraId="441B78FF">
            <w:pPr>
              <w:rPr>
                <w:rFonts w:ascii="仿宋_GB2312" w:hAnsi="仿宋_GB2312" w:eastAsia="仿宋_GB2312" w:cs="仿宋_GB2312"/>
                <w:color w:val="auto"/>
                <w:spacing w:val="-20"/>
                <w:sz w:val="28"/>
                <w:szCs w:val="28"/>
                <w:highlight w:val="none"/>
              </w:rPr>
            </w:pPr>
            <w:r>
              <w:rPr>
                <w:rFonts w:hint="eastAsia" w:ascii="仿宋_GB2312" w:hAnsi="仿宋_GB2312" w:eastAsia="仿宋_GB2312" w:cs="仿宋_GB2312"/>
                <w:color w:val="auto"/>
                <w:spacing w:val="-20"/>
                <w:sz w:val="28"/>
                <w:szCs w:val="28"/>
                <w:highlight w:val="none"/>
              </w:rPr>
              <w:t>地址：</w:t>
            </w:r>
          </w:p>
        </w:tc>
      </w:tr>
      <w:tr w14:paraId="598F8520">
        <w:tblPrEx>
          <w:tblCellMar>
            <w:top w:w="0" w:type="dxa"/>
            <w:left w:w="108" w:type="dxa"/>
            <w:bottom w:w="0" w:type="dxa"/>
            <w:right w:w="108" w:type="dxa"/>
          </w:tblCellMar>
        </w:tblPrEx>
        <w:trPr>
          <w:trHeight w:val="567" w:hRule="exact"/>
          <w:jc w:val="center"/>
        </w:trPr>
        <w:tc>
          <w:tcPr>
            <w:tcW w:w="4201" w:type="dxa"/>
            <w:vAlign w:val="center"/>
          </w:tcPr>
          <w:p w14:paraId="58049886">
            <w:pPr>
              <w:rPr>
                <w:rFonts w:ascii="仿宋_GB2312" w:hAnsi="仿宋_GB2312" w:eastAsia="仿宋_GB2312" w:cs="仿宋_GB2312"/>
                <w:color w:val="auto"/>
                <w:spacing w:val="-20"/>
                <w:sz w:val="28"/>
                <w:szCs w:val="28"/>
                <w:highlight w:val="none"/>
              </w:rPr>
            </w:pPr>
            <w:r>
              <w:rPr>
                <w:rFonts w:hint="eastAsia" w:ascii="仿宋_GB2312" w:hAnsi="仿宋_GB2312" w:eastAsia="仿宋_GB2312" w:cs="仿宋_GB2312"/>
                <w:color w:val="auto"/>
                <w:spacing w:val="-20"/>
                <w:sz w:val="28"/>
                <w:szCs w:val="28"/>
                <w:highlight w:val="none"/>
              </w:rPr>
              <w:t>邮编：</w:t>
            </w:r>
          </w:p>
        </w:tc>
        <w:tc>
          <w:tcPr>
            <w:tcW w:w="4202" w:type="dxa"/>
            <w:vAlign w:val="center"/>
          </w:tcPr>
          <w:p w14:paraId="490E7293">
            <w:pPr>
              <w:rPr>
                <w:rFonts w:ascii="仿宋_GB2312" w:hAnsi="仿宋_GB2312" w:eastAsia="仿宋_GB2312" w:cs="仿宋_GB2312"/>
                <w:color w:val="auto"/>
                <w:spacing w:val="-20"/>
                <w:sz w:val="28"/>
                <w:szCs w:val="28"/>
                <w:highlight w:val="none"/>
              </w:rPr>
            </w:pPr>
            <w:r>
              <w:rPr>
                <w:rFonts w:hint="eastAsia" w:ascii="仿宋_GB2312" w:hAnsi="仿宋_GB2312" w:eastAsia="仿宋_GB2312" w:cs="仿宋_GB2312"/>
                <w:color w:val="auto"/>
                <w:spacing w:val="-20"/>
                <w:sz w:val="28"/>
                <w:szCs w:val="28"/>
                <w:highlight w:val="none"/>
              </w:rPr>
              <w:t>邮编：</w:t>
            </w:r>
          </w:p>
        </w:tc>
      </w:tr>
      <w:tr w14:paraId="715BF674">
        <w:tblPrEx>
          <w:tblCellMar>
            <w:top w:w="0" w:type="dxa"/>
            <w:left w:w="108" w:type="dxa"/>
            <w:bottom w:w="0" w:type="dxa"/>
            <w:right w:w="108" w:type="dxa"/>
          </w:tblCellMar>
        </w:tblPrEx>
        <w:trPr>
          <w:trHeight w:val="567" w:hRule="exact"/>
          <w:jc w:val="center"/>
        </w:trPr>
        <w:tc>
          <w:tcPr>
            <w:tcW w:w="4201" w:type="dxa"/>
            <w:vAlign w:val="center"/>
          </w:tcPr>
          <w:p w14:paraId="6B8B3096">
            <w:pPr>
              <w:rPr>
                <w:rFonts w:ascii="仿宋_GB2312" w:hAnsi="仿宋_GB2312" w:eastAsia="仿宋_GB2312" w:cs="仿宋_GB2312"/>
                <w:color w:val="auto"/>
                <w:spacing w:val="-20"/>
                <w:sz w:val="28"/>
                <w:szCs w:val="28"/>
                <w:highlight w:val="none"/>
              </w:rPr>
            </w:pPr>
            <w:r>
              <w:rPr>
                <w:rFonts w:hint="eastAsia" w:ascii="仿宋_GB2312" w:hAnsi="仿宋_GB2312" w:eastAsia="仿宋_GB2312" w:cs="仿宋_GB2312"/>
                <w:color w:val="auto"/>
                <w:spacing w:val="-20"/>
                <w:sz w:val="28"/>
                <w:szCs w:val="28"/>
                <w:highlight w:val="none"/>
              </w:rPr>
              <w:t xml:space="preserve">法定代表人： </w:t>
            </w:r>
          </w:p>
        </w:tc>
        <w:tc>
          <w:tcPr>
            <w:tcW w:w="4202" w:type="dxa"/>
            <w:vAlign w:val="center"/>
          </w:tcPr>
          <w:p w14:paraId="0889409D">
            <w:pPr>
              <w:rPr>
                <w:rFonts w:ascii="仿宋_GB2312" w:hAnsi="仿宋_GB2312" w:eastAsia="仿宋_GB2312" w:cs="仿宋_GB2312"/>
                <w:color w:val="auto"/>
                <w:spacing w:val="-20"/>
                <w:sz w:val="28"/>
                <w:szCs w:val="28"/>
                <w:highlight w:val="none"/>
              </w:rPr>
            </w:pPr>
            <w:r>
              <w:rPr>
                <w:rFonts w:hint="eastAsia" w:ascii="仿宋_GB2312" w:hAnsi="仿宋_GB2312" w:eastAsia="仿宋_GB2312" w:cs="仿宋_GB2312"/>
                <w:color w:val="auto"/>
                <w:spacing w:val="-20"/>
                <w:sz w:val="28"/>
                <w:szCs w:val="28"/>
                <w:highlight w:val="none"/>
              </w:rPr>
              <w:t>法定代表人：</w:t>
            </w:r>
          </w:p>
        </w:tc>
      </w:tr>
      <w:tr w14:paraId="2F7F64BD">
        <w:tblPrEx>
          <w:tblCellMar>
            <w:top w:w="0" w:type="dxa"/>
            <w:left w:w="108" w:type="dxa"/>
            <w:bottom w:w="0" w:type="dxa"/>
            <w:right w:w="108" w:type="dxa"/>
          </w:tblCellMar>
        </w:tblPrEx>
        <w:trPr>
          <w:trHeight w:val="567" w:hRule="exact"/>
          <w:jc w:val="center"/>
        </w:trPr>
        <w:tc>
          <w:tcPr>
            <w:tcW w:w="4201" w:type="dxa"/>
            <w:vAlign w:val="center"/>
          </w:tcPr>
          <w:p w14:paraId="42971B91">
            <w:pPr>
              <w:rPr>
                <w:rFonts w:ascii="仿宋_GB2312" w:hAnsi="仿宋_GB2312" w:eastAsia="仿宋_GB2312" w:cs="仿宋_GB2312"/>
                <w:color w:val="auto"/>
                <w:spacing w:val="-20"/>
                <w:sz w:val="28"/>
                <w:szCs w:val="28"/>
                <w:highlight w:val="none"/>
              </w:rPr>
            </w:pPr>
            <w:r>
              <w:rPr>
                <w:rFonts w:hint="eastAsia" w:ascii="仿宋_GB2312" w:hAnsi="仿宋_GB2312" w:eastAsia="仿宋_GB2312" w:cs="仿宋_GB2312"/>
                <w:color w:val="auto"/>
                <w:spacing w:val="-20"/>
                <w:sz w:val="28"/>
                <w:szCs w:val="28"/>
                <w:highlight w:val="none"/>
              </w:rPr>
              <w:t>被授权代表：</w:t>
            </w:r>
          </w:p>
        </w:tc>
        <w:tc>
          <w:tcPr>
            <w:tcW w:w="4202" w:type="dxa"/>
            <w:vAlign w:val="center"/>
          </w:tcPr>
          <w:p w14:paraId="2D464E6D">
            <w:pPr>
              <w:rPr>
                <w:rFonts w:ascii="仿宋_GB2312" w:hAnsi="仿宋_GB2312" w:eastAsia="仿宋_GB2312" w:cs="仿宋_GB2312"/>
                <w:color w:val="auto"/>
                <w:spacing w:val="-20"/>
                <w:sz w:val="28"/>
                <w:szCs w:val="28"/>
                <w:highlight w:val="none"/>
              </w:rPr>
            </w:pPr>
            <w:r>
              <w:rPr>
                <w:rFonts w:hint="eastAsia" w:ascii="仿宋_GB2312" w:hAnsi="仿宋_GB2312" w:eastAsia="仿宋_GB2312" w:cs="仿宋_GB2312"/>
                <w:color w:val="auto"/>
                <w:spacing w:val="-20"/>
                <w:sz w:val="28"/>
                <w:szCs w:val="28"/>
                <w:highlight w:val="none"/>
              </w:rPr>
              <w:t>被授权代表：</w:t>
            </w:r>
          </w:p>
        </w:tc>
      </w:tr>
      <w:tr w14:paraId="3C535BEC">
        <w:tblPrEx>
          <w:tblCellMar>
            <w:top w:w="0" w:type="dxa"/>
            <w:left w:w="108" w:type="dxa"/>
            <w:bottom w:w="0" w:type="dxa"/>
            <w:right w:w="108" w:type="dxa"/>
          </w:tblCellMar>
        </w:tblPrEx>
        <w:trPr>
          <w:trHeight w:val="567" w:hRule="exact"/>
          <w:jc w:val="center"/>
        </w:trPr>
        <w:tc>
          <w:tcPr>
            <w:tcW w:w="4201" w:type="dxa"/>
            <w:vAlign w:val="center"/>
          </w:tcPr>
          <w:p w14:paraId="3A8FAF06">
            <w:pPr>
              <w:rPr>
                <w:rFonts w:ascii="仿宋_GB2312" w:hAnsi="仿宋_GB2312" w:eastAsia="仿宋_GB2312" w:cs="仿宋_GB2312"/>
                <w:color w:val="auto"/>
                <w:spacing w:val="-20"/>
                <w:sz w:val="28"/>
                <w:szCs w:val="28"/>
                <w:highlight w:val="none"/>
              </w:rPr>
            </w:pPr>
            <w:r>
              <w:rPr>
                <w:rFonts w:hint="eastAsia" w:ascii="仿宋_GB2312" w:hAnsi="仿宋_GB2312" w:eastAsia="仿宋_GB2312" w:cs="仿宋_GB2312"/>
                <w:color w:val="auto"/>
                <w:spacing w:val="-20"/>
                <w:sz w:val="28"/>
                <w:szCs w:val="28"/>
                <w:highlight w:val="none"/>
              </w:rPr>
              <w:t>电话：</w:t>
            </w:r>
          </w:p>
        </w:tc>
        <w:tc>
          <w:tcPr>
            <w:tcW w:w="4202" w:type="dxa"/>
            <w:vAlign w:val="center"/>
          </w:tcPr>
          <w:p w14:paraId="21D5E77A">
            <w:pPr>
              <w:ind w:left="720" w:hanging="720" w:hangingChars="300"/>
              <w:rPr>
                <w:rFonts w:ascii="仿宋_GB2312" w:hAnsi="仿宋_GB2312" w:eastAsia="仿宋_GB2312" w:cs="仿宋_GB2312"/>
                <w:color w:val="auto"/>
                <w:spacing w:val="-20"/>
                <w:sz w:val="28"/>
                <w:szCs w:val="28"/>
                <w:highlight w:val="none"/>
              </w:rPr>
            </w:pPr>
            <w:r>
              <w:rPr>
                <w:rFonts w:hint="eastAsia" w:ascii="仿宋_GB2312" w:hAnsi="仿宋_GB2312" w:eastAsia="仿宋_GB2312" w:cs="仿宋_GB2312"/>
                <w:color w:val="auto"/>
                <w:spacing w:val="-20"/>
                <w:sz w:val="28"/>
                <w:szCs w:val="28"/>
                <w:highlight w:val="none"/>
              </w:rPr>
              <w:t>电话：</w:t>
            </w:r>
          </w:p>
        </w:tc>
      </w:tr>
      <w:tr w14:paraId="2A40E66F">
        <w:tblPrEx>
          <w:tblCellMar>
            <w:top w:w="0" w:type="dxa"/>
            <w:left w:w="108" w:type="dxa"/>
            <w:bottom w:w="0" w:type="dxa"/>
            <w:right w:w="108" w:type="dxa"/>
          </w:tblCellMar>
        </w:tblPrEx>
        <w:trPr>
          <w:trHeight w:val="567" w:hRule="exact"/>
          <w:jc w:val="center"/>
        </w:trPr>
        <w:tc>
          <w:tcPr>
            <w:tcW w:w="4201" w:type="dxa"/>
            <w:vAlign w:val="center"/>
          </w:tcPr>
          <w:p w14:paraId="15B10C45">
            <w:pPr>
              <w:rPr>
                <w:rFonts w:ascii="仿宋_GB2312" w:hAnsi="仿宋_GB2312" w:eastAsia="仿宋_GB2312" w:cs="仿宋_GB2312"/>
                <w:color w:val="auto"/>
                <w:spacing w:val="-20"/>
                <w:sz w:val="28"/>
                <w:szCs w:val="28"/>
                <w:highlight w:val="none"/>
              </w:rPr>
            </w:pPr>
            <w:r>
              <w:rPr>
                <w:rFonts w:hint="eastAsia" w:ascii="仿宋_GB2312" w:hAnsi="仿宋_GB2312" w:eastAsia="仿宋_GB2312" w:cs="仿宋_GB2312"/>
                <w:color w:val="auto"/>
                <w:spacing w:val="-20"/>
                <w:sz w:val="28"/>
                <w:szCs w:val="28"/>
                <w:highlight w:val="none"/>
              </w:rPr>
              <w:t>传真：</w:t>
            </w:r>
          </w:p>
        </w:tc>
        <w:tc>
          <w:tcPr>
            <w:tcW w:w="4202" w:type="dxa"/>
            <w:vAlign w:val="center"/>
          </w:tcPr>
          <w:p w14:paraId="5573E5BD">
            <w:pPr>
              <w:rPr>
                <w:rFonts w:ascii="仿宋_GB2312" w:hAnsi="仿宋_GB2312" w:eastAsia="仿宋_GB2312" w:cs="仿宋_GB2312"/>
                <w:color w:val="auto"/>
                <w:spacing w:val="-20"/>
                <w:sz w:val="28"/>
                <w:szCs w:val="28"/>
                <w:highlight w:val="none"/>
              </w:rPr>
            </w:pPr>
            <w:r>
              <w:rPr>
                <w:rFonts w:hint="eastAsia" w:ascii="仿宋_GB2312" w:hAnsi="仿宋_GB2312" w:eastAsia="仿宋_GB2312" w:cs="仿宋_GB2312"/>
                <w:color w:val="auto"/>
                <w:spacing w:val="-20"/>
                <w:sz w:val="28"/>
                <w:szCs w:val="28"/>
                <w:highlight w:val="none"/>
              </w:rPr>
              <w:t>传真：</w:t>
            </w:r>
          </w:p>
        </w:tc>
      </w:tr>
      <w:tr w14:paraId="37AD6EE6">
        <w:tblPrEx>
          <w:tblCellMar>
            <w:top w:w="0" w:type="dxa"/>
            <w:left w:w="108" w:type="dxa"/>
            <w:bottom w:w="0" w:type="dxa"/>
            <w:right w:w="108" w:type="dxa"/>
          </w:tblCellMar>
        </w:tblPrEx>
        <w:trPr>
          <w:trHeight w:val="567" w:hRule="exact"/>
          <w:jc w:val="center"/>
        </w:trPr>
        <w:tc>
          <w:tcPr>
            <w:tcW w:w="4201" w:type="dxa"/>
            <w:vAlign w:val="center"/>
          </w:tcPr>
          <w:p w14:paraId="4D660B23">
            <w:pPr>
              <w:rPr>
                <w:rFonts w:ascii="仿宋_GB2312" w:hAnsi="仿宋_GB2312" w:eastAsia="仿宋_GB2312" w:cs="仿宋_GB2312"/>
                <w:color w:val="auto"/>
                <w:spacing w:val="-20"/>
                <w:sz w:val="28"/>
                <w:szCs w:val="28"/>
                <w:highlight w:val="none"/>
              </w:rPr>
            </w:pPr>
            <w:r>
              <w:rPr>
                <w:rFonts w:hint="eastAsia" w:ascii="仿宋_GB2312" w:hAnsi="仿宋_GB2312" w:eastAsia="仿宋_GB2312" w:cs="仿宋_GB2312"/>
                <w:color w:val="auto"/>
                <w:spacing w:val="-20"/>
                <w:sz w:val="28"/>
                <w:szCs w:val="28"/>
                <w:highlight w:val="none"/>
              </w:rPr>
              <w:t>开户银行：</w:t>
            </w:r>
          </w:p>
        </w:tc>
        <w:tc>
          <w:tcPr>
            <w:tcW w:w="4202" w:type="dxa"/>
            <w:vAlign w:val="center"/>
          </w:tcPr>
          <w:p w14:paraId="6AA233E3">
            <w:pPr>
              <w:rPr>
                <w:rFonts w:ascii="仿宋_GB2312" w:hAnsi="仿宋_GB2312" w:eastAsia="仿宋_GB2312" w:cs="仿宋_GB2312"/>
                <w:color w:val="auto"/>
                <w:spacing w:val="-20"/>
                <w:sz w:val="28"/>
                <w:szCs w:val="28"/>
                <w:highlight w:val="none"/>
              </w:rPr>
            </w:pPr>
            <w:r>
              <w:rPr>
                <w:rFonts w:hint="eastAsia" w:ascii="仿宋_GB2312" w:hAnsi="仿宋_GB2312" w:eastAsia="仿宋_GB2312" w:cs="仿宋_GB2312"/>
                <w:color w:val="auto"/>
                <w:spacing w:val="-20"/>
                <w:sz w:val="28"/>
                <w:szCs w:val="28"/>
                <w:highlight w:val="none"/>
              </w:rPr>
              <w:t>开户银行：</w:t>
            </w:r>
          </w:p>
        </w:tc>
      </w:tr>
      <w:tr w14:paraId="6775EDBB">
        <w:tblPrEx>
          <w:tblCellMar>
            <w:top w:w="0" w:type="dxa"/>
            <w:left w:w="108" w:type="dxa"/>
            <w:bottom w:w="0" w:type="dxa"/>
            <w:right w:w="108" w:type="dxa"/>
          </w:tblCellMar>
        </w:tblPrEx>
        <w:trPr>
          <w:trHeight w:val="567" w:hRule="exact"/>
          <w:jc w:val="center"/>
        </w:trPr>
        <w:tc>
          <w:tcPr>
            <w:tcW w:w="4201" w:type="dxa"/>
            <w:vAlign w:val="center"/>
          </w:tcPr>
          <w:p w14:paraId="7F70A4E0">
            <w:pPr>
              <w:rPr>
                <w:rFonts w:ascii="仿宋_GB2312" w:hAnsi="仿宋_GB2312" w:eastAsia="仿宋_GB2312" w:cs="仿宋_GB2312"/>
                <w:color w:val="auto"/>
                <w:spacing w:val="-20"/>
                <w:sz w:val="28"/>
                <w:szCs w:val="28"/>
                <w:highlight w:val="none"/>
              </w:rPr>
            </w:pPr>
            <w:r>
              <w:rPr>
                <w:rFonts w:hint="eastAsia" w:ascii="仿宋_GB2312" w:hAnsi="仿宋_GB2312" w:eastAsia="仿宋_GB2312" w:cs="仿宋_GB2312"/>
                <w:color w:val="auto"/>
                <w:spacing w:val="-20"/>
                <w:sz w:val="28"/>
                <w:szCs w:val="28"/>
                <w:highlight w:val="none"/>
              </w:rPr>
              <w:t>日期：</w:t>
            </w:r>
          </w:p>
        </w:tc>
        <w:tc>
          <w:tcPr>
            <w:tcW w:w="4202" w:type="dxa"/>
            <w:vAlign w:val="center"/>
          </w:tcPr>
          <w:p w14:paraId="36A67747">
            <w:pPr>
              <w:rPr>
                <w:rFonts w:ascii="仿宋_GB2312" w:hAnsi="仿宋_GB2312" w:eastAsia="仿宋_GB2312" w:cs="仿宋_GB2312"/>
                <w:color w:val="auto"/>
                <w:spacing w:val="-20"/>
                <w:sz w:val="28"/>
                <w:szCs w:val="28"/>
                <w:highlight w:val="none"/>
              </w:rPr>
            </w:pPr>
            <w:r>
              <w:rPr>
                <w:rFonts w:hint="eastAsia" w:ascii="仿宋_GB2312" w:hAnsi="仿宋_GB2312" w:eastAsia="仿宋_GB2312" w:cs="仿宋_GB2312"/>
                <w:color w:val="auto"/>
                <w:spacing w:val="-20"/>
                <w:sz w:val="28"/>
                <w:szCs w:val="28"/>
                <w:highlight w:val="none"/>
              </w:rPr>
              <w:t>日期：</w:t>
            </w:r>
          </w:p>
        </w:tc>
      </w:tr>
    </w:tbl>
    <w:p w14:paraId="3689BEB9">
      <w:pPr>
        <w:jc w:val="right"/>
      </w:pPr>
    </w:p>
    <w:sectPr>
      <w:headerReference r:id="rId3" w:type="default"/>
      <w:footerReference r:id="rId4" w:type="default"/>
      <w:pgSz w:w="11909" w:h="16841"/>
      <w:pgMar w:top="1417" w:right="1417" w:bottom="1417" w:left="1417" w:header="850" w:footer="10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8163D5B4-894E-44D2-B3AB-B5B997EED944}"/>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2" w:fontKey="{A4D875F2-2BC6-4289-A8EA-C4CCA32C3146}"/>
  </w:font>
  <w:font w:name="仿宋_GB2312">
    <w:panose1 w:val="02010609030101010101"/>
    <w:charset w:val="86"/>
    <w:family w:val="modern"/>
    <w:pitch w:val="default"/>
    <w:sig w:usb0="00000001" w:usb1="080E0000" w:usb2="00000000" w:usb3="00000000" w:csb0="00040000" w:csb1="00000000"/>
    <w:embedRegular r:id="rId3" w:fontKey="{A6E684E8-E932-432B-881E-1C5540D277B3}"/>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78FE8">
    <w:pPr>
      <w:spacing w:line="14" w:lineRule="auto"/>
      <w:rPr>
        <w:rFonts w:ascii="Arial"/>
        <w:sz w:val="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C11F6">
    <w:pPr>
      <w:spacing w:line="14" w:lineRule="auto"/>
      <w:rPr>
        <w:rFonts w:ascii="Arial"/>
        <w:sz w:val="2"/>
      </w:rP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华采">
    <w15:presenceInfo w15:providerId="None" w15:userId="华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29BB6BC2"/>
    <w:rsid w:val="00032C77"/>
    <w:rsid w:val="00042B50"/>
    <w:rsid w:val="0005444A"/>
    <w:rsid w:val="00055484"/>
    <w:rsid w:val="00196F8D"/>
    <w:rsid w:val="002134F5"/>
    <w:rsid w:val="00240D10"/>
    <w:rsid w:val="002A2C9E"/>
    <w:rsid w:val="00301B8C"/>
    <w:rsid w:val="00333158"/>
    <w:rsid w:val="00366B06"/>
    <w:rsid w:val="005C205E"/>
    <w:rsid w:val="00680F55"/>
    <w:rsid w:val="006B2966"/>
    <w:rsid w:val="006E04B8"/>
    <w:rsid w:val="007377F8"/>
    <w:rsid w:val="007646EA"/>
    <w:rsid w:val="008B1E38"/>
    <w:rsid w:val="009015B2"/>
    <w:rsid w:val="009F1E94"/>
    <w:rsid w:val="00AD6F4F"/>
    <w:rsid w:val="00B35765"/>
    <w:rsid w:val="00C65FC8"/>
    <w:rsid w:val="00CC3A78"/>
    <w:rsid w:val="00CE21B5"/>
    <w:rsid w:val="00CF6641"/>
    <w:rsid w:val="00E8712A"/>
    <w:rsid w:val="00EF3803"/>
    <w:rsid w:val="00F47186"/>
    <w:rsid w:val="00FA5ACA"/>
    <w:rsid w:val="00FC1B97"/>
    <w:rsid w:val="01981D96"/>
    <w:rsid w:val="02680F16"/>
    <w:rsid w:val="05C313AC"/>
    <w:rsid w:val="06044D8E"/>
    <w:rsid w:val="063C3527"/>
    <w:rsid w:val="071938B9"/>
    <w:rsid w:val="0B186D4E"/>
    <w:rsid w:val="0BFB500F"/>
    <w:rsid w:val="0CF24C32"/>
    <w:rsid w:val="0DA008CC"/>
    <w:rsid w:val="0EBB3568"/>
    <w:rsid w:val="0EC60B07"/>
    <w:rsid w:val="10332904"/>
    <w:rsid w:val="10CF4970"/>
    <w:rsid w:val="10F63A27"/>
    <w:rsid w:val="14561BE7"/>
    <w:rsid w:val="172B4FA4"/>
    <w:rsid w:val="192A37C4"/>
    <w:rsid w:val="198577DD"/>
    <w:rsid w:val="19966094"/>
    <w:rsid w:val="1CA80820"/>
    <w:rsid w:val="1D6E70FD"/>
    <w:rsid w:val="1E0F7272"/>
    <w:rsid w:val="21665943"/>
    <w:rsid w:val="244871F4"/>
    <w:rsid w:val="25295AB7"/>
    <w:rsid w:val="274E2D73"/>
    <w:rsid w:val="27EF733B"/>
    <w:rsid w:val="281441C3"/>
    <w:rsid w:val="292902AA"/>
    <w:rsid w:val="29BB6BC2"/>
    <w:rsid w:val="2C0F4050"/>
    <w:rsid w:val="2EEA293E"/>
    <w:rsid w:val="2F1025C8"/>
    <w:rsid w:val="30104537"/>
    <w:rsid w:val="313868D1"/>
    <w:rsid w:val="325B49C3"/>
    <w:rsid w:val="326A7D77"/>
    <w:rsid w:val="33EF3E56"/>
    <w:rsid w:val="39094D4C"/>
    <w:rsid w:val="3CCE5611"/>
    <w:rsid w:val="3CE71A85"/>
    <w:rsid w:val="3FC574F3"/>
    <w:rsid w:val="412A6A1E"/>
    <w:rsid w:val="414032D5"/>
    <w:rsid w:val="45FB0DB9"/>
    <w:rsid w:val="467E02E4"/>
    <w:rsid w:val="4EC118A7"/>
    <w:rsid w:val="4F1C52C5"/>
    <w:rsid w:val="4FDA2485"/>
    <w:rsid w:val="54F63A8A"/>
    <w:rsid w:val="57DF2953"/>
    <w:rsid w:val="5C7E1FD1"/>
    <w:rsid w:val="5D3B49BA"/>
    <w:rsid w:val="60E414E6"/>
    <w:rsid w:val="61E5759F"/>
    <w:rsid w:val="6398560D"/>
    <w:rsid w:val="64A137DB"/>
    <w:rsid w:val="64A2036D"/>
    <w:rsid w:val="696F3399"/>
    <w:rsid w:val="6CA05205"/>
    <w:rsid w:val="734E36BE"/>
    <w:rsid w:val="741C09D0"/>
    <w:rsid w:val="74343D24"/>
    <w:rsid w:val="764F97C9"/>
    <w:rsid w:val="78C53AE4"/>
    <w:rsid w:val="7EB51055"/>
    <w:rsid w:val="7FB46D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1"/>
    </w:rPr>
  </w:style>
  <w:style w:type="paragraph" w:styleId="4">
    <w:name w:val="annotation text"/>
    <w:basedOn w:val="1"/>
    <w:autoRedefine/>
    <w:qFormat/>
    <w:uiPriority w:val="0"/>
    <w:pPr>
      <w:jc w:val="left"/>
    </w:pPr>
  </w:style>
  <w:style w:type="paragraph" w:styleId="5">
    <w:name w:val="Body Text"/>
    <w:basedOn w:val="1"/>
    <w:autoRedefine/>
    <w:qFormat/>
    <w:uiPriority w:val="99"/>
    <w:pPr>
      <w:jc w:val="left"/>
    </w:pPr>
    <w:rPr>
      <w:kern w:val="0"/>
    </w:rPr>
  </w:style>
  <w:style w:type="paragraph" w:styleId="6">
    <w:name w:val="Body Text Indent"/>
    <w:basedOn w:val="1"/>
    <w:qFormat/>
    <w:uiPriority w:val="0"/>
    <w:pPr>
      <w:ind w:firstLine="630"/>
    </w:pPr>
    <w:rPr>
      <w:sz w:val="32"/>
    </w:rPr>
  </w:style>
  <w:style w:type="paragraph" w:styleId="7">
    <w:name w:val="Plain Text"/>
    <w:basedOn w:val="1"/>
    <w:autoRedefine/>
    <w:qFormat/>
    <w:uiPriority w:val="0"/>
    <w:rPr>
      <w:rFonts w:ascii="宋体" w:hAnsi="Courier New"/>
      <w:kern w:val="0"/>
      <w:sz w:val="20"/>
    </w:rPr>
  </w:style>
  <w:style w:type="paragraph" w:styleId="8">
    <w:name w:val="Balloon Text"/>
    <w:basedOn w:val="1"/>
    <w:link w:val="19"/>
    <w:autoRedefine/>
    <w:qFormat/>
    <w:uiPriority w:val="0"/>
    <w:rPr>
      <w:sz w:val="18"/>
      <w:szCs w:val="18"/>
    </w:rPr>
  </w:style>
  <w:style w:type="paragraph" w:styleId="9">
    <w:name w:val="footer"/>
    <w:basedOn w:val="1"/>
    <w:autoRedefine/>
    <w:qFormat/>
    <w:uiPriority w:val="0"/>
    <w:pPr>
      <w:tabs>
        <w:tab w:val="center" w:pos="4140"/>
        <w:tab w:val="right" w:pos="8300"/>
      </w:tabs>
      <w:snapToGrid w:val="0"/>
      <w:jc w:val="left"/>
    </w:pPr>
    <w:rPr>
      <w:sz w:val="18"/>
      <w:szCs w:val="18"/>
    </w:rPr>
  </w:style>
  <w:style w:type="paragraph" w:styleId="10">
    <w:name w:val="header"/>
    <w:basedOn w:val="1"/>
    <w:link w:val="18"/>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12">
    <w:name w:val="Normal (Web)"/>
    <w:basedOn w:val="1"/>
    <w:autoRedefine/>
    <w:qFormat/>
    <w:uiPriority w:val="99"/>
    <w:pPr>
      <w:widowControl/>
      <w:spacing w:before="100" w:beforeAutospacing="1" w:after="100" w:afterAutospacing="1"/>
      <w:jc w:val="left"/>
    </w:pPr>
    <w:rPr>
      <w:rFonts w:ascii="宋体" w:cs="宋体"/>
      <w:kern w:val="0"/>
      <w:sz w:val="24"/>
      <w:szCs w:val="24"/>
    </w:rPr>
  </w:style>
  <w:style w:type="paragraph" w:styleId="13">
    <w:name w:val="Body Text First Indent"/>
    <w:basedOn w:val="5"/>
    <w:autoRedefine/>
    <w:qFormat/>
    <w:uiPriority w:val="0"/>
    <w:pPr>
      <w:spacing w:line="360" w:lineRule="auto"/>
      <w:ind w:firstLine="420"/>
    </w:pPr>
    <w:rPr>
      <w:rFonts w:ascii="宋体" w:hAnsi="宋体"/>
      <w:sz w:val="24"/>
    </w:rPr>
  </w:style>
  <w:style w:type="table" w:styleId="15">
    <w:name w:val="Table Grid"/>
    <w:basedOn w:val="14"/>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annotation reference"/>
    <w:basedOn w:val="16"/>
    <w:autoRedefine/>
    <w:qFormat/>
    <w:uiPriority w:val="0"/>
    <w:rPr>
      <w:sz w:val="21"/>
      <w:szCs w:val="21"/>
    </w:rPr>
  </w:style>
  <w:style w:type="character" w:customStyle="1" w:styleId="18">
    <w:name w:val="页眉 Char"/>
    <w:basedOn w:val="16"/>
    <w:link w:val="10"/>
    <w:autoRedefine/>
    <w:qFormat/>
    <w:uiPriority w:val="0"/>
    <w:rPr>
      <w:kern w:val="2"/>
      <w:sz w:val="18"/>
      <w:szCs w:val="18"/>
    </w:rPr>
  </w:style>
  <w:style w:type="character" w:customStyle="1" w:styleId="19">
    <w:name w:val="批注框文本 Char"/>
    <w:basedOn w:val="16"/>
    <w:link w:val="8"/>
    <w:autoRedefine/>
    <w:qFormat/>
    <w:uiPriority w:val="0"/>
    <w:rPr>
      <w:kern w:val="2"/>
      <w:sz w:val="18"/>
      <w:szCs w:val="18"/>
    </w:rPr>
  </w:style>
  <w:style w:type="paragraph" w:customStyle="1" w:styleId="20">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
    <w:name w:val="正文空2格  1."/>
    <w:basedOn w:val="1"/>
    <w:autoRedefine/>
    <w:qFormat/>
    <w:uiPriority w:val="0"/>
    <w:pPr>
      <w:adjustRightInd w:val="0"/>
      <w:spacing w:line="360" w:lineRule="auto"/>
      <w:ind w:firstLine="480" w:firstLineChars="200"/>
    </w:pPr>
    <w:rPr>
      <w:rFonts w:hint="eastAsia" w:ascii="宋体" w:eastAsia="仿宋" w:cs="宋体"/>
      <w:kern w:val="0"/>
      <w:sz w:val="28"/>
    </w:rPr>
  </w:style>
  <w:style w:type="paragraph" w:customStyle="1" w:styleId="22">
    <w:name w:val="Default1"/>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HP</Company>
  <Pages>8</Pages>
  <Words>2083</Words>
  <Characters>2107</Characters>
  <Lines>12</Lines>
  <Paragraphs>3</Paragraphs>
  <TotalTime>1</TotalTime>
  <ScaleCrop>false</ScaleCrop>
  <LinksUpToDate>false</LinksUpToDate>
  <CharactersWithSpaces>2170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2025-03-26T08:38:00Z</dcterms:created>
  <dc:creator>独舞的蒲公英</dc:creator>
  <cp:lastModifiedBy>陕西华采招标有限公司</cp:lastModifiedBy>
  <cp:lastPrinted>2022-09-28T14:56:00Z</cp:lastPrinted>
  <dcterms:modified xsi:type="dcterms:W3CDTF">2026-07-24T11:41:54Z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E79E879024B94D3FB100E7468F0D228F</vt:lpwstr>
  </property>
  <property fmtid="{D5CDD505-2E9C-101B-9397-08002B2CF9AE}" pid="4" name="KSOTemplateDocerSaveRecord">
    <vt:lpwstr>eyJoZGlkIjoiYjZjMDgwYWJjZmNiM2YzZmU4MTk1ZjZmYmY1NWU1OTEiLCJ1c2VySWQiOiI5MzY1NjA0ODAifQ==</vt:lpwstr>
  </property>
</Properties>
</file>