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版本号：ZMZB2026SYDX-29720260709001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油页岩煤岩原位开采物理模拟装置采购项目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ZMZB2026SYDX-297</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油页岩煤岩原位开采物理模拟装置采购项目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ZMZB2026SYDX-297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油页岩煤岩原位开采物理模拟装置采购项目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油页岩煤岩原位开采物理模拟装置采购项目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p>
      <w:pPr>
        <w:pStyle w:val="null3"/>
      </w:pPr>
      <w:r>
        <w:rPr>
          <w:rFonts w:ascii="仿宋_GB2312" w:hAnsi="仿宋_GB2312" w:cs="仿宋_GB2312" w:eastAsia="仿宋_GB2312"/>
        </w:rPr>
        <w:t>3、具有履行本合同所必需专业技术能力的说明及承诺：具有履行本合同所必需专业技术能力的说明及承诺</w:t>
      </w:r>
    </w:p>
    <w:p>
      <w:pPr>
        <w:pStyle w:val="null3"/>
      </w:pPr>
      <w:r>
        <w:rPr>
          <w:rFonts w:ascii="仿宋_GB2312" w:hAnsi="仿宋_GB2312" w:cs="仿宋_GB2312" w:eastAsia="仿宋_GB2312"/>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代理服务费收费标准：采购代理服务费参照国家计委颁布的《招标代理服务收费管理暂行办法》（计价格[2002]1980号）号文件收费标准的90%收取。 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1、采购目的 油页岩煤岩原位开采物理模拟装置的采购旨在解决油页岩与煤岩原位转化开发过程中的关键科学问题和技术瓶颈。该装置通过模拟地下原位开采过程中高温、高压及多场耦合条件，可真实再现油页岩与煤岩热解、生烃排烃、裂缝演化及流体运移等关键过程，为原位转化开发机理研究和关键参数获取提供实验支撑。该设备的购置与使用在揭示页岩热解演化规律、明确热解过程中储层物性动态变化特征、建立原位转化多场耦合模型以及优化原位开发工艺参数等方面具有重要作用，可为非常规油气资源高效开发及新型原位转化技术研究提供重要实验平台。 2、装置功能 油页岩煤岩原位开采物理模拟装置主要用于模拟地下原位开采环境，可在高温高压条件下开展油页岩、煤岩等非常规储层热解转化及流体运移过程研究。装置能够实现不同温度、压力及加热方式条件下油页岩与煤岩热解实验，精确测试热解过程中产气量、产油量、流体组成、压力变化及储层物性演化等关键参数，并可结合气相色谱、质谱等分析设备开展热解产物组成特征分析。同时，可对蒸汽/超临界CO2辅助热解驱替、多场耦合渗流、裂缝扩展及储层孔渗结构动态演化等过程进行实验模拟与分析，为页岩原位转化、煤原位热解及超临界流体强化开发等新型非常规油气开发技术研究提供理论基础与实验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油页岩煤岩原位开采物理模拟装置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标的名称：油页岩煤岩原位开采物理模拟装置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油页岩煤岩原位开采物理模拟装置</w:t>
            </w:r>
          </w:p>
          <w:p>
            <w:pPr>
              <w:pStyle w:val="null3"/>
            </w:pPr>
            <w:r>
              <w:rPr>
                <w:rFonts w:ascii="仿宋_GB2312" w:hAnsi="仿宋_GB2312" w:cs="仿宋_GB2312" w:eastAsia="仿宋_GB2312"/>
                <w:b/>
              </w:rPr>
              <w:t>功能要求：</w:t>
            </w:r>
          </w:p>
          <w:p>
            <w:pPr>
              <w:pStyle w:val="null3"/>
            </w:pPr>
            <w:r>
              <w:rPr>
                <w:rFonts w:ascii="仿宋_GB2312" w:hAnsi="仿宋_GB2312" w:cs="仿宋_GB2312" w:eastAsia="仿宋_GB2312"/>
              </w:rPr>
              <w:t>1.电加热及流体加热功能；</w:t>
            </w:r>
          </w:p>
          <w:p>
            <w:pPr>
              <w:pStyle w:val="null3"/>
            </w:pPr>
            <w:r>
              <w:rPr>
                <w:rFonts w:ascii="仿宋_GB2312" w:hAnsi="仿宋_GB2312" w:cs="仿宋_GB2312" w:eastAsia="仿宋_GB2312"/>
              </w:rPr>
              <w:t>2.高温蒸汽、氮气、超临界CO</w:t>
            </w:r>
            <w:r>
              <w:rPr>
                <w:rFonts w:ascii="仿宋_GB2312" w:hAnsi="仿宋_GB2312" w:cs="仿宋_GB2312" w:eastAsia="仿宋_GB2312"/>
                <w:vertAlign w:val="subscript"/>
              </w:rPr>
              <w:t>2</w:t>
            </w:r>
            <w:r>
              <w:rPr>
                <w:rFonts w:ascii="仿宋_GB2312" w:hAnsi="仿宋_GB2312" w:cs="仿宋_GB2312" w:eastAsia="仿宋_GB2312"/>
              </w:rPr>
              <w:t>注入功能；</w:t>
            </w:r>
          </w:p>
          <w:p>
            <w:pPr>
              <w:pStyle w:val="null3"/>
            </w:pPr>
            <w:r>
              <w:rPr>
                <w:rFonts w:ascii="仿宋_GB2312" w:hAnsi="仿宋_GB2312" w:cs="仿宋_GB2312" w:eastAsia="仿宋_GB2312"/>
              </w:rPr>
              <w:t>3.CO</w:t>
            </w:r>
            <w:r>
              <w:rPr>
                <w:rFonts w:ascii="仿宋_GB2312" w:hAnsi="仿宋_GB2312" w:cs="仿宋_GB2312" w:eastAsia="仿宋_GB2312"/>
                <w:vertAlign w:val="subscript"/>
              </w:rPr>
              <w:t>2</w:t>
            </w:r>
            <w:r>
              <w:rPr>
                <w:rFonts w:ascii="仿宋_GB2312" w:hAnsi="仿宋_GB2312" w:cs="仿宋_GB2312" w:eastAsia="仿宋_GB2312"/>
              </w:rPr>
              <w:t>制冷、增压、预热一体化功能，稳定维持超临界状态；</w:t>
            </w:r>
          </w:p>
          <w:p>
            <w:pPr>
              <w:pStyle w:val="null3"/>
              <w:jc w:val="both"/>
            </w:pPr>
            <w:r>
              <w:rPr>
                <w:rFonts w:ascii="仿宋_GB2312" w:hAnsi="仿宋_GB2312" w:cs="仿宋_GB2312" w:eastAsia="仿宋_GB2312"/>
                <w:sz w:val="21"/>
              </w:rPr>
              <w:t>4.原位储层物性实时测试功能。</w:t>
            </w:r>
          </w:p>
          <w:p>
            <w:pPr>
              <w:pStyle w:val="null3"/>
            </w:pPr>
            <w:r>
              <w:rPr>
                <w:rFonts w:ascii="仿宋_GB2312" w:hAnsi="仿宋_GB2312" w:cs="仿宋_GB2312" w:eastAsia="仿宋_GB2312"/>
                <w:b/>
              </w:rPr>
              <w:t>系统要求：</w:t>
            </w:r>
          </w:p>
          <w:p>
            <w:pPr>
              <w:pStyle w:val="null3"/>
            </w:pPr>
            <w:r>
              <w:rPr>
                <w:rFonts w:ascii="仿宋_GB2312" w:hAnsi="仿宋_GB2312" w:cs="仿宋_GB2312" w:eastAsia="仿宋_GB2312"/>
              </w:rPr>
              <w:t>1.包含高温热流体注入系统、原位热解系统、围压与轴压加载系统、加热与温控系统、压力与位移监测系统、产物收集与分析系统、安全与控制系统；</w:t>
            </w:r>
          </w:p>
          <w:p>
            <w:pPr>
              <w:pStyle w:val="null3"/>
              <w:jc w:val="both"/>
            </w:pPr>
            <w:r>
              <w:rPr>
                <w:rFonts w:ascii="仿宋_GB2312" w:hAnsi="仿宋_GB2312" w:cs="仿宋_GB2312" w:eastAsia="仿宋_GB2312"/>
                <w:sz w:val="21"/>
              </w:rPr>
              <w:t>2.装置集成热流体注入、原位热解、应力加载、温度控制、参数监测、产物分析及安全控制等功能模块，实现温度场—应力场—渗流场耦合条件下储层原位转化过程的模拟、监测与评价。</w:t>
            </w:r>
          </w:p>
          <w:p>
            <w:pPr>
              <w:pStyle w:val="null3"/>
            </w:pPr>
            <w:r>
              <w:rPr>
                <w:rFonts w:ascii="仿宋_GB2312" w:hAnsi="仿宋_GB2312" w:cs="仿宋_GB2312" w:eastAsia="仿宋_GB2312"/>
                <w:b/>
              </w:rPr>
              <w:t>1.1高温热流体注入系统</w:t>
            </w:r>
          </w:p>
          <w:p>
            <w:pPr>
              <w:pStyle w:val="null3"/>
              <w:jc w:val="both"/>
            </w:pPr>
            <w:r>
              <w:rPr>
                <w:rFonts w:ascii="仿宋_GB2312" w:hAnsi="仿宋_GB2312" w:cs="仿宋_GB2312" w:eastAsia="仿宋_GB2312"/>
              </w:rPr>
              <w:t>1.1.1流体加热温度:室温~500℃，精度±1℃，压力:（0~30）MPa，精度±0.1% FS;</w:t>
            </w:r>
          </w:p>
          <w:p>
            <w:pPr>
              <w:pStyle w:val="null3"/>
            </w:pPr>
            <w:r>
              <w:rPr>
                <w:rFonts w:ascii="仿宋_GB2312" w:hAnsi="仿宋_GB2312" w:cs="仿宋_GB2312" w:eastAsia="仿宋_GB2312"/>
              </w:rPr>
              <w:t>注入流量</w:t>
            </w:r>
            <w:r>
              <w:rPr>
                <w:rFonts w:ascii="仿宋_GB2312" w:hAnsi="仿宋_GB2312" w:cs="仿宋_GB2312" w:eastAsia="仿宋_GB2312"/>
              </w:rPr>
              <w:t>:（0.01~50）mL/min，精度±0.1% FS</w:t>
            </w:r>
            <w:r>
              <w:rPr>
                <w:rFonts w:ascii="仿宋_GB2312" w:hAnsi="仿宋_GB2312" w:cs="仿宋_GB2312" w:eastAsia="仿宋_GB2312"/>
                <w:b/>
              </w:rPr>
              <w:t>（</w:t>
            </w:r>
            <w:r>
              <w:rPr>
                <w:rFonts w:ascii="仿宋_GB2312" w:hAnsi="仿宋_GB2312" w:cs="仿宋_GB2312" w:eastAsia="仿宋_GB2312"/>
                <w:b/>
              </w:rPr>
              <w:t>提供证明材料</w:t>
            </w:r>
            <w:r>
              <w:rPr>
                <w:rFonts w:ascii="仿宋_GB2312" w:hAnsi="仿宋_GB2312" w:cs="仿宋_GB2312" w:eastAsia="仿宋_GB2312"/>
                <w:b/>
              </w:rPr>
              <w:t>）</w:t>
            </w:r>
          </w:p>
          <w:p>
            <w:pPr>
              <w:pStyle w:val="null3"/>
            </w:pPr>
            <w:r>
              <w:rPr>
                <w:rFonts w:ascii="仿宋_GB2312" w:hAnsi="仿宋_GB2312" w:cs="仿宋_GB2312" w:eastAsia="仿宋_GB2312"/>
              </w:rPr>
              <w:t>1.1.2配套恒速恒压泵，最大工作压力≥70MPa，流量范围（0.001～50）mL/min，控制精度±0.1MPa</w:t>
            </w:r>
          </w:p>
          <w:p>
            <w:pPr>
              <w:pStyle w:val="null3"/>
              <w:jc w:val="both"/>
            </w:pPr>
            <w:r>
              <w:rPr>
                <w:rFonts w:ascii="仿宋_GB2312" w:hAnsi="仿宋_GB2312" w:cs="仿宋_GB2312" w:eastAsia="仿宋_GB2312"/>
                <w:sz w:val="21"/>
              </w:rPr>
              <w:t>1.1.3配套气体预增压装置一套，配套气瓶及流体储存装置</w:t>
            </w:r>
          </w:p>
          <w:p>
            <w:pPr>
              <w:pStyle w:val="null3"/>
            </w:pPr>
            <w:r>
              <w:rPr>
                <w:rFonts w:ascii="仿宋_GB2312" w:hAnsi="仿宋_GB2312" w:cs="仿宋_GB2312" w:eastAsia="仿宋_GB2312"/>
                <w:b/>
              </w:rPr>
              <w:t>1.2原位热解系统</w:t>
            </w:r>
          </w:p>
          <w:p>
            <w:pPr>
              <w:pStyle w:val="null3"/>
            </w:pPr>
            <w:r>
              <w:rPr>
                <w:rFonts w:ascii="仿宋_GB2312" w:hAnsi="仿宋_GB2312" w:cs="仿宋_GB2312" w:eastAsia="仿宋_GB2312"/>
              </w:rPr>
              <w:t>1.2.1适用于粉末、不同尺寸岩块（200×200×200mm，100×100×100mm等）及不同尺寸岩心（Φ25mm、Φ100mm）样品</w:t>
            </w:r>
          </w:p>
          <w:p>
            <w:pPr>
              <w:pStyle w:val="null3"/>
              <w:jc w:val="left"/>
            </w:pPr>
            <w:r>
              <w:rPr>
                <w:rFonts w:ascii="仿宋_GB2312" w:hAnsi="仿宋_GB2312" w:cs="仿宋_GB2312" w:eastAsia="仿宋_GB2312"/>
                <w:sz w:val="21"/>
              </w:rPr>
              <w:t>1.2.2岩心夹持器：两种岩心夹持器内径规格，内径规格1：φ25mm×100mm、内径规格2：</w:t>
            </w:r>
            <w:r>
              <w:rPr>
                <w:rFonts w:ascii="仿宋_GB2312" w:hAnsi="仿宋_GB2312" w:cs="仿宋_GB2312" w:eastAsia="仿宋_GB2312"/>
                <w:sz w:val="21"/>
              </w:rPr>
              <w:t>φ</w:t>
            </w:r>
            <w:r>
              <w:rPr>
                <w:rFonts w:ascii="仿宋_GB2312" w:hAnsi="仿宋_GB2312" w:cs="仿宋_GB2312" w:eastAsia="仿宋_GB2312"/>
                <w:sz w:val="21"/>
              </w:rPr>
              <w:t>100mm×300mm，岩心夹持器均采用高温合金，600℃屈服强度≥GH3132；工作压力≥50MPa（围压/轴压），工作温度范围至少覆盖：室温~600℃，支持恒定升温、恒温热解等多种加热模式</w:t>
            </w:r>
          </w:p>
          <w:p>
            <w:pPr>
              <w:pStyle w:val="null3"/>
            </w:pPr>
            <w:r>
              <w:rPr>
                <w:rFonts w:ascii="仿宋_GB2312" w:hAnsi="仿宋_GB2312" w:cs="仿宋_GB2312" w:eastAsia="仿宋_GB2312"/>
              </w:rPr>
              <w:t>1.2.3具备真三轴实验功能，真三轴最大工作压力≥30MPa</w:t>
            </w:r>
            <w:r>
              <w:rPr>
                <w:rFonts w:ascii="仿宋_GB2312" w:hAnsi="仿宋_GB2312" w:cs="仿宋_GB2312" w:eastAsia="仿宋_GB2312"/>
                <w:b/>
              </w:rPr>
              <w:t>（</w:t>
            </w:r>
            <w:r>
              <w:rPr>
                <w:rFonts w:ascii="仿宋_GB2312" w:hAnsi="仿宋_GB2312" w:cs="仿宋_GB2312" w:eastAsia="仿宋_GB2312"/>
                <w:b/>
              </w:rPr>
              <w:t>提供证明材料</w:t>
            </w:r>
            <w:r>
              <w:rPr>
                <w:rFonts w:ascii="仿宋_GB2312" w:hAnsi="仿宋_GB2312" w:cs="仿宋_GB2312" w:eastAsia="仿宋_GB2312"/>
                <w:b/>
              </w:rPr>
              <w:t>）</w:t>
            </w:r>
          </w:p>
          <w:p>
            <w:pPr>
              <w:pStyle w:val="null3"/>
            </w:pPr>
            <w:r>
              <w:rPr>
                <w:rFonts w:ascii="仿宋_GB2312" w:hAnsi="仿宋_GB2312" w:cs="仿宋_GB2312" w:eastAsia="仿宋_GB2312"/>
              </w:rPr>
              <w:t>1.2.4实现热解过程中渗透率动态演化规律实时表征，渗透率测试范围0.01mD~1000mD</w:t>
            </w:r>
          </w:p>
          <w:p>
            <w:pPr>
              <w:pStyle w:val="null3"/>
            </w:pPr>
            <w:r>
              <w:rPr>
                <w:rFonts w:ascii="仿宋_GB2312" w:hAnsi="仿宋_GB2312" w:cs="仿宋_GB2312" w:eastAsia="仿宋_GB2312"/>
              </w:rPr>
              <w:t>1.2.5内置≥5组温度/压力测点，温度精度±1℃，压力精度±0.1MPa，实现岩心轴向多点参数监测</w:t>
            </w:r>
          </w:p>
          <w:p>
            <w:pPr>
              <w:pStyle w:val="null3"/>
              <w:jc w:val="both"/>
            </w:pPr>
            <w:r>
              <w:rPr>
                <w:rFonts w:ascii="仿宋_GB2312" w:hAnsi="仿宋_GB2312" w:cs="仿宋_GB2312" w:eastAsia="仿宋_GB2312"/>
                <w:sz w:val="21"/>
              </w:rPr>
              <w:t>1.2.6具有防堵功能，固体颗粒过滤效率≥95%，连续运行时间≥1000 h，堵塞故障率≤3%</w:t>
            </w:r>
          </w:p>
          <w:p>
            <w:pPr>
              <w:pStyle w:val="null3"/>
            </w:pPr>
            <w:r>
              <w:rPr>
                <w:rFonts w:ascii="仿宋_GB2312" w:hAnsi="仿宋_GB2312" w:cs="仿宋_GB2312" w:eastAsia="仿宋_GB2312"/>
                <w:b/>
              </w:rPr>
              <w:t>1.3围压与轴压加载系统</w:t>
            </w:r>
          </w:p>
          <w:p>
            <w:pPr>
              <w:pStyle w:val="null3"/>
            </w:pPr>
            <w:r>
              <w:rPr>
                <w:rFonts w:ascii="仿宋_GB2312" w:hAnsi="仿宋_GB2312" w:cs="仿宋_GB2312" w:eastAsia="仿宋_GB2312"/>
              </w:rPr>
              <w:t>1.3.1具备恒压控制、恒速控制、位移控制多种控制模式，轴/围压加载系统分别配置恒速恒压泵，输出压力至少覆盖（0～70）MPa，精度±0.1% FS，流量范围至少覆盖（0.01～50）mL/min</w:t>
            </w:r>
          </w:p>
          <w:p>
            <w:pPr>
              <w:pStyle w:val="null3"/>
            </w:pPr>
            <w:r>
              <w:rPr>
                <w:rFonts w:ascii="仿宋_GB2312" w:hAnsi="仿宋_GB2312" w:cs="仿宋_GB2312" w:eastAsia="仿宋_GB2312"/>
              </w:rPr>
              <w:t>1.3.2配套三轴加载液压泵，最大加载压力≥30MPa，精度±1MPa</w:t>
            </w:r>
          </w:p>
          <w:p>
            <w:pPr>
              <w:pStyle w:val="null3"/>
              <w:jc w:val="both"/>
            </w:pPr>
            <w:r>
              <w:rPr>
                <w:rFonts w:ascii="仿宋_GB2312" w:hAnsi="仿宋_GB2312" w:cs="仿宋_GB2312" w:eastAsia="仿宋_GB2312"/>
                <w:sz w:val="21"/>
              </w:rPr>
              <w:t>1.3.3配套压力自动跟踪装置一套，保证煤岩/页岩变形（膨胀、收缩）而设定轴压、围压不变，精度±0.1%</w:t>
            </w:r>
          </w:p>
          <w:p>
            <w:pPr>
              <w:pStyle w:val="null3"/>
            </w:pPr>
            <w:r>
              <w:rPr>
                <w:rFonts w:ascii="仿宋_GB2312" w:hAnsi="仿宋_GB2312" w:cs="仿宋_GB2312" w:eastAsia="仿宋_GB2312"/>
                <w:b/>
              </w:rPr>
              <w:t>1.4加热与温控系统</w:t>
            </w:r>
          </w:p>
          <w:p>
            <w:pPr>
              <w:pStyle w:val="null3"/>
            </w:pPr>
            <w:r>
              <w:rPr>
                <w:rFonts w:ascii="仿宋_GB2312" w:hAnsi="仿宋_GB2312" w:cs="仿宋_GB2312" w:eastAsia="仿宋_GB2312"/>
              </w:rPr>
              <w:t>1.4.1升温速率至少覆盖（0~50）℃/min连续可调，程序控温，控温精度±0.1℃，温度传感器量程至少覆盖（0～800）℃，精度±0.1℃</w:t>
            </w:r>
          </w:p>
          <w:p>
            <w:pPr>
              <w:pStyle w:val="null3"/>
            </w:pPr>
            <w:r>
              <w:rPr>
                <w:rFonts w:ascii="仿宋_GB2312" w:hAnsi="仿宋_GB2312" w:cs="仿宋_GB2312" w:eastAsia="仿宋_GB2312"/>
              </w:rPr>
              <w:t>1.4.2具备降温功能（从600℃降至100℃≤2h）</w:t>
            </w:r>
          </w:p>
          <w:p>
            <w:pPr>
              <w:pStyle w:val="null3"/>
              <w:jc w:val="both"/>
            </w:pPr>
            <w:r>
              <w:rPr>
                <w:rFonts w:ascii="仿宋_GB2312" w:hAnsi="仿宋_GB2312" w:cs="仿宋_GB2312" w:eastAsia="仿宋_GB2312"/>
                <w:sz w:val="21"/>
              </w:rPr>
              <w:t>1.4.3岩心轴向温度均匀性±2℃</w:t>
            </w:r>
          </w:p>
          <w:p>
            <w:pPr>
              <w:pStyle w:val="null3"/>
            </w:pPr>
            <w:r>
              <w:rPr>
                <w:rFonts w:ascii="仿宋_GB2312" w:hAnsi="仿宋_GB2312" w:cs="仿宋_GB2312" w:eastAsia="仿宋_GB2312"/>
                <w:b/>
              </w:rPr>
              <w:t>1.5压力与位移监测系统</w:t>
            </w:r>
          </w:p>
          <w:p>
            <w:pPr>
              <w:pStyle w:val="null3"/>
            </w:pPr>
            <w:r>
              <w:rPr>
                <w:rFonts w:ascii="仿宋_GB2312" w:hAnsi="仿宋_GB2312" w:cs="仿宋_GB2312" w:eastAsia="仿宋_GB2312"/>
              </w:rPr>
              <w:t>1.5.1两端配套电感耦合压力传感器，量程至少覆盖（0～30）MPa、精度±0.1% FS、响应时间≤1ms，具备温度补偿功能。</w:t>
            </w:r>
          </w:p>
          <w:p>
            <w:pPr>
              <w:pStyle w:val="null3"/>
              <w:jc w:val="both"/>
            </w:pPr>
            <w:r>
              <w:rPr>
                <w:rFonts w:ascii="仿宋_GB2312" w:hAnsi="仿宋_GB2312" w:cs="仿宋_GB2312" w:eastAsia="仿宋_GB2312"/>
                <w:sz w:val="21"/>
              </w:rPr>
              <w:t>1.5.2位移传感器量程至少覆盖（0～50）mm、精度±0.1μm</w:t>
            </w:r>
          </w:p>
          <w:p>
            <w:pPr>
              <w:pStyle w:val="null3"/>
            </w:pPr>
            <w:r>
              <w:rPr>
                <w:rFonts w:ascii="仿宋_GB2312" w:hAnsi="仿宋_GB2312" w:cs="仿宋_GB2312" w:eastAsia="仿宋_GB2312"/>
                <w:b/>
              </w:rPr>
              <w:t>1.6产物收集与分析系统</w:t>
            </w:r>
          </w:p>
          <w:p>
            <w:pPr>
              <w:pStyle w:val="null3"/>
            </w:pPr>
            <w:r>
              <w:rPr>
                <w:rFonts w:ascii="仿宋_GB2312" w:hAnsi="仿宋_GB2312" w:cs="仿宋_GB2312" w:eastAsia="仿宋_GB2312"/>
              </w:rPr>
              <w:t>1.6.1具备油、气、水三相分离功能，实现快速冷凝，冷凝温度0℃~5℃，液体收集瓶容积≥200mL，耐压≥1MPa</w:t>
            </w:r>
          </w:p>
          <w:p>
            <w:pPr>
              <w:pStyle w:val="null3"/>
            </w:pPr>
            <w:r>
              <w:rPr>
                <w:rFonts w:ascii="仿宋_GB2312" w:hAnsi="仿宋_GB2312" w:cs="仿宋_GB2312" w:eastAsia="仿宋_GB2312"/>
              </w:rPr>
              <w:t>1.6.2具备油、气产出量计量功能，计量装置精度±0.01mL/0.1g</w:t>
            </w:r>
          </w:p>
          <w:p>
            <w:pPr>
              <w:pStyle w:val="null3"/>
            </w:pPr>
            <w:r>
              <w:rPr>
                <w:rFonts w:ascii="仿宋_GB2312" w:hAnsi="仿宋_GB2312" w:cs="仿宋_GB2312" w:eastAsia="仿宋_GB2312"/>
              </w:rPr>
              <w:t>1.6.3配套气体流量计量程至少覆盖（0~10）L/min，精度±1%FS</w:t>
            </w:r>
          </w:p>
          <w:p>
            <w:pPr>
              <w:pStyle w:val="null3"/>
            </w:pPr>
            <w:r>
              <w:rPr>
                <w:rFonts w:ascii="仿宋_GB2312" w:hAnsi="仿宋_GB2312" w:cs="仿宋_GB2312" w:eastAsia="仿宋_GB2312"/>
              </w:rPr>
              <w:t>1.6.4在线分析接口，预留气相色谱（GC）、质谱（MS）、红外光谱（FTIR）接口等</w:t>
            </w:r>
          </w:p>
          <w:p>
            <w:pPr>
              <w:pStyle w:val="null3"/>
            </w:pPr>
            <w:r>
              <w:rPr>
                <w:rFonts w:ascii="仿宋_GB2312" w:hAnsi="仿宋_GB2312" w:cs="仿宋_GB2312" w:eastAsia="仿宋_GB2312"/>
              </w:rPr>
              <w:t>1.6.5</w:t>
            </w:r>
            <w:r>
              <w:rPr>
                <w:rFonts w:ascii="仿宋_GB2312" w:hAnsi="仿宋_GB2312" w:cs="仿宋_GB2312" w:eastAsia="仿宋_GB2312"/>
              </w:rPr>
              <w:t>具备固体产物收集功能，实验后取出样品</w:t>
            </w:r>
            <w:r>
              <w:rPr>
                <w:rFonts w:ascii="仿宋_GB2312" w:hAnsi="仿宋_GB2312" w:cs="仿宋_GB2312" w:eastAsia="仿宋_GB2312"/>
              </w:rPr>
              <w:t>回收率</w:t>
            </w:r>
            <w:r>
              <w:rPr>
                <w:rFonts w:ascii="仿宋_GB2312" w:hAnsi="仿宋_GB2312" w:cs="仿宋_GB2312" w:eastAsia="仿宋_GB2312"/>
              </w:rPr>
              <w:t>≥90%</w:t>
            </w:r>
          </w:p>
          <w:p>
            <w:pPr>
              <w:pStyle w:val="null3"/>
            </w:pPr>
            <w:r>
              <w:rPr>
                <w:rFonts w:ascii="仿宋_GB2312" w:hAnsi="仿宋_GB2312" w:cs="仿宋_GB2312" w:eastAsia="仿宋_GB2312"/>
              </w:rPr>
              <w:t>1.6.6配备回压自动跟踪泵、回压阀，最高压力≥30MPa，精度±0.1%，且保证在高温热解状态下回压系统稳定且不损坏。</w:t>
            </w:r>
          </w:p>
          <w:p>
            <w:pPr>
              <w:pStyle w:val="null3"/>
              <w:jc w:val="both"/>
            </w:pPr>
            <w:r>
              <w:rPr>
                <w:rFonts w:ascii="仿宋_GB2312" w:hAnsi="仿宋_GB2312" w:cs="仿宋_GB2312" w:eastAsia="仿宋_GB2312"/>
                <w:sz w:val="21"/>
              </w:rPr>
              <w:t>1.6.7配套釜腔及相应管路高压有机溶剂清洗残留产物。</w:t>
            </w:r>
          </w:p>
          <w:p>
            <w:pPr>
              <w:pStyle w:val="null3"/>
            </w:pPr>
            <w:r>
              <w:rPr>
                <w:rFonts w:ascii="仿宋_GB2312" w:hAnsi="仿宋_GB2312" w:cs="仿宋_GB2312" w:eastAsia="仿宋_GB2312"/>
                <w:b/>
              </w:rPr>
              <w:t>1.7安全与控制系统</w:t>
            </w:r>
          </w:p>
          <w:p>
            <w:pPr>
              <w:pStyle w:val="null3"/>
            </w:pPr>
            <w:r>
              <w:rPr>
                <w:rFonts w:ascii="仿宋_GB2312" w:hAnsi="仿宋_GB2312" w:cs="仿宋_GB2312" w:eastAsia="仿宋_GB2312"/>
              </w:rPr>
              <w:t>1.7.1具备手动/自动两种操作模式，实现所有参数（温度、压力、流量、位移）实时采集、显示、存储，采样频率≤1Hz，传感器校准，触摸屏控制；需配备相应的满足科研需求的操作终端</w:t>
            </w:r>
            <w:r>
              <w:rPr>
                <w:rFonts w:ascii="仿宋_GB2312" w:hAnsi="仿宋_GB2312" w:cs="仿宋_GB2312" w:eastAsia="仿宋_GB2312"/>
              </w:rPr>
              <w:t>。</w:t>
            </w:r>
          </w:p>
          <w:p>
            <w:pPr>
              <w:pStyle w:val="null3"/>
            </w:pPr>
            <w:r>
              <w:rPr>
                <w:rFonts w:ascii="仿宋_GB2312" w:hAnsi="仿宋_GB2312" w:cs="仿宋_GB2312" w:eastAsia="仿宋_GB2312"/>
              </w:rPr>
              <w:t>1.7.2具备超温保护、超压保护、漏电保护、过流保护、短路保护，以及设置紧急停机按钮。</w:t>
            </w:r>
          </w:p>
          <w:p>
            <w:pPr>
              <w:pStyle w:val="null3"/>
              <w:jc w:val="both"/>
            </w:pPr>
            <w:r>
              <w:rPr>
                <w:rFonts w:ascii="仿宋_GB2312" w:hAnsi="仿宋_GB2312" w:cs="仿宋_GB2312" w:eastAsia="仿宋_GB2312"/>
                <w:sz w:val="21"/>
              </w:rPr>
              <w:t>1.7.3具备编辑实验程序功能，自动完成升温、加压、注入、驱替等过程；具备数据回放、曲线绘制、报表生成功能。</w:t>
            </w:r>
          </w:p>
          <w:p>
            <w:pPr>
              <w:pStyle w:val="null3"/>
            </w:pPr>
            <w:r>
              <w:rPr>
                <w:rFonts w:ascii="仿宋_GB2312" w:hAnsi="仿宋_GB2312" w:cs="仿宋_GB2312" w:eastAsia="仿宋_GB2312"/>
                <w:b/>
              </w:rPr>
              <w:t>1.8其他</w:t>
            </w:r>
          </w:p>
          <w:p>
            <w:pPr>
              <w:pStyle w:val="null3"/>
            </w:pPr>
            <w:r>
              <w:rPr>
                <w:rFonts w:ascii="仿宋_GB2312" w:hAnsi="仿宋_GB2312" w:cs="仿宋_GB2312" w:eastAsia="仿宋_GB2312"/>
              </w:rPr>
              <w:t>1.8.1配套抽真空系统，抽气速率≥2L/S，极限压力≥6×10</w:t>
            </w:r>
            <w:r>
              <w:rPr>
                <w:rFonts w:ascii="仿宋_GB2312" w:hAnsi="仿宋_GB2312" w:cs="仿宋_GB2312" w:eastAsia="仿宋_GB2312"/>
                <w:vertAlign w:val="superscript"/>
              </w:rPr>
              <w:t>-2</w:t>
            </w:r>
            <w:r>
              <w:rPr>
                <w:rFonts w:ascii="仿宋_GB2312" w:hAnsi="仿宋_GB2312" w:cs="仿宋_GB2312" w:eastAsia="仿宋_GB2312"/>
              </w:rPr>
              <w:t>Pa</w:t>
            </w:r>
          </w:p>
          <w:p>
            <w:pPr>
              <w:pStyle w:val="null3"/>
            </w:pPr>
            <w:r>
              <w:rPr>
                <w:rFonts w:ascii="仿宋_GB2312" w:hAnsi="仿宋_GB2312" w:cs="仿宋_GB2312" w:eastAsia="仿宋_GB2312"/>
              </w:rPr>
              <w:t>1.8.2配套电子天平1台，量程至少覆盖（0~200）g，读数精度≤0.1mg</w:t>
            </w:r>
          </w:p>
          <w:p>
            <w:pPr>
              <w:pStyle w:val="null3"/>
            </w:pPr>
            <w:r>
              <w:rPr>
                <w:rFonts w:ascii="仿宋_GB2312" w:hAnsi="仿宋_GB2312" w:cs="仿宋_GB2312" w:eastAsia="仿宋_GB2312"/>
              </w:rPr>
              <w:t>1.8.3配套水泥浇筑设备及水泥材料1套</w:t>
            </w:r>
          </w:p>
          <w:p>
            <w:pPr>
              <w:pStyle w:val="null3"/>
            </w:pPr>
            <w:r>
              <w:rPr>
                <w:rFonts w:ascii="仿宋_GB2312" w:hAnsi="仿宋_GB2312" w:cs="仿宋_GB2312" w:eastAsia="仿宋_GB2312"/>
              </w:rPr>
              <w:t>钢制可拆卸浇筑模具，规格</w:t>
            </w:r>
            <w:r>
              <w:rPr>
                <w:rFonts w:ascii="仿宋_GB2312" w:hAnsi="仿宋_GB2312" w:cs="仿宋_GB2312" w:eastAsia="仿宋_GB2312"/>
              </w:rPr>
              <w:t>100×100×100mm和200×200×200mm，便于脱模，可重复使用，数量各一个。</w:t>
            </w:r>
          </w:p>
          <w:p>
            <w:pPr>
              <w:pStyle w:val="null3"/>
              <w:jc w:val="both"/>
            </w:pPr>
            <w:r>
              <w:rPr>
                <w:rFonts w:ascii="仿宋_GB2312" w:hAnsi="仿宋_GB2312" w:cs="仿宋_GB2312" w:eastAsia="仿宋_GB2312"/>
                <w:sz w:val="21"/>
              </w:rPr>
              <w:t>1.8.4配套实验后包裹材料（紫铜套/水泥）拆卸设备及切割设备1套</w:t>
            </w:r>
          </w:p>
          <w:p>
            <w:pPr>
              <w:pStyle w:val="null3"/>
            </w:pPr>
            <w:r>
              <w:rPr>
                <w:rFonts w:ascii="仿宋_GB2312" w:hAnsi="仿宋_GB2312" w:cs="仿宋_GB2312" w:eastAsia="仿宋_GB2312"/>
                <w:sz w:val="21"/>
              </w:rPr>
              <w:t>手持式切割机</w:t>
            </w:r>
            <w:r>
              <w:rPr>
                <w:rFonts w:ascii="仿宋_GB2312" w:hAnsi="仿宋_GB2312" w:cs="仿宋_GB2312" w:eastAsia="仿宋_GB2312"/>
                <w:sz w:val="21"/>
              </w:rPr>
              <w:t>1套，额定功率≥500W。</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2、技术参数与性能指标</w:t>
            </w:r>
            <w:r>
              <w:rPr>
                <w:rFonts w:ascii="仿宋_GB2312" w:hAnsi="仿宋_GB2312" w:cs="仿宋_GB2312" w:eastAsia="仿宋_GB2312"/>
                <w:sz w:val="21"/>
                <w:b/>
                <w:color w:val="000000"/>
              </w:rPr>
              <w:t>要求</w:t>
            </w:r>
            <w:r>
              <w:rPr>
                <w:rFonts w:ascii="仿宋_GB2312" w:hAnsi="仿宋_GB2312" w:cs="仿宋_GB2312" w:eastAsia="仿宋_GB2312"/>
                <w:sz w:val="21"/>
                <w:b/>
                <w:color w:val="000000"/>
              </w:rPr>
              <w:t>提供证明材料</w:t>
            </w:r>
            <w:r>
              <w:rPr>
                <w:rFonts w:ascii="仿宋_GB2312" w:hAnsi="仿宋_GB2312" w:cs="仿宋_GB2312" w:eastAsia="仿宋_GB2312"/>
                <w:sz w:val="21"/>
                <w:b/>
                <w:color w:val="000000"/>
              </w:rPr>
              <w:t>的</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需提供证明材料，</w:t>
            </w:r>
            <w:r>
              <w:rPr>
                <w:rFonts w:ascii="仿宋_GB2312" w:hAnsi="仿宋_GB2312" w:cs="仿宋_GB2312" w:eastAsia="仿宋_GB2312"/>
                <w:sz w:val="21"/>
                <w:b/>
                <w:color w:val="000000"/>
              </w:rPr>
              <w:t>证明材料为产品彩页、官网（功能）截图、检测报告、生产厂家盖章的技术白皮书其中任意一个</w:t>
            </w:r>
            <w:r>
              <w:rPr>
                <w:rFonts w:ascii="仿宋_GB2312" w:hAnsi="仿宋_GB2312" w:cs="仿宋_GB2312" w:eastAsia="仿宋_GB2312"/>
                <w:sz w:val="21"/>
                <w:b/>
                <w:color w:val="000000"/>
              </w:rPr>
              <w:t>(</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西安石油大学指定地点(西安石油大学雁塔校区)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开具全额银行保函，采购人收到银行保函正本后，一次性付清合同货款，待货物到达指定地点、安装调试验收合格后，采购人退还银行保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（1）按照技术指标要求逐项逐条验收，以最终验收为准； （2）货物安装调试运行正常后，甲方（采购单位）按学校相关业务部门规定提交验收申请，学校根据采购单位技术验收结果，组织有关专家进行货物的最终验收。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技术培训：在用户所在地对用户进行为期1周的培训。培训内容包括仪器的技术原理、操作、数据处理、基本维护等。验收后半年内组织买方相关人员2人参加举办的相关应用培训班。 5. 保修期：卖方提供一年的免费保修,保修期自仪器验收签字之日起计算。保修期间维修及零件更换费用由厂家负担。 6. 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1、报价要求： （1）供应商应当根据采购文件的要求和范围，以人民币为货币，以元为报价单位。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等全部相关费用； 2、投标保证金注意事项： （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3）供应商投标保证金缴纳完成后请致电代理机构财务部门确认投标保证金到账情况，电话：88225322 。 3、中标供应商应在中标结果发布后2日内提供与电子化交易平台上传一致的纸质投标文件2份。4、场地基础承载要求：若现场原有地面承载力不满足安装条件，中标单位须提供地面加固、承重基座制作全套施工方案并完成施工，所有施工材料、人工、检测费用全部包含在投标总价内。 5、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6、中标方须额外提供搬迁和安装调试一次，搬迁和安装调试过程中所产生的一切费用由中标方承担；搬迁和安装调试过程中仪器出现的一切故障和损坏由中标方负责维修修复。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供应商为合法注册的法人、其他组织或自然人，具有独立承担民事责任的能力</w:t>
            </w:r>
          </w:p>
        </w:tc>
        <w:tc>
          <w:tcPr>
            <w:tcW w:type="dxa" w:w="3322"/>
          </w:tcPr>
          <w:p>
            <w:pPr>
              <w:pStyle w:val="null3"/>
            </w:pPr>
            <w:r>
              <w:rPr>
                <w:rFonts w:ascii="仿宋_GB2312" w:hAnsi="仿宋_GB2312" w:cs="仿宋_GB2312" w:eastAsia="仿宋_GB2312"/>
              </w:rPr>
              <w:t>提供具有统一社会信用代码证的营业执照（或事业单位法人证），分支机构投标的，提供有效的分支机构营业执照，以及有效的总公司营业执照及总公司针对本项目的授权书；供应商为自然人的提供身份证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具有履行本合同所必需专业技术能力的说明及承诺</w:t>
            </w:r>
          </w:p>
        </w:tc>
        <w:tc>
          <w:tcPr>
            <w:tcW w:type="dxa" w:w="3322"/>
          </w:tcPr>
          <w:p>
            <w:pPr>
              <w:pStyle w:val="null3"/>
            </w:pPr>
            <w:r>
              <w:rPr>
                <w:rFonts w:ascii="仿宋_GB2312" w:hAnsi="仿宋_GB2312" w:cs="仿宋_GB2312" w:eastAsia="仿宋_GB2312"/>
              </w:rPr>
              <w:t>具有履行本合同所必需专业技术能力的说明及承诺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 (合格) ，响应报价超过采购预算或者最高限价(不合格)</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交货时间是否满足采购文件最低要求</w:t>
            </w:r>
          </w:p>
        </w:tc>
        <w:tc>
          <w:tcPr>
            <w:tcW w:type="dxa" w:w="3322"/>
          </w:tcPr>
          <w:p>
            <w:pPr>
              <w:pStyle w:val="null3"/>
            </w:pPr>
            <w:r>
              <w:rPr>
                <w:rFonts w:ascii="仿宋_GB2312" w:hAnsi="仿宋_GB2312" w:cs="仿宋_GB2312" w:eastAsia="仿宋_GB2312"/>
              </w:rPr>
              <w:t>交货时间满足采购文件要求 (合格)，交货时间不满足采购文件要求(不合格)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质量保修范围和保修期是否满足采购文件最低要求</w:t>
            </w:r>
          </w:p>
        </w:tc>
        <w:tc>
          <w:tcPr>
            <w:tcW w:type="dxa" w:w="3322"/>
          </w:tcPr>
          <w:p>
            <w:pPr>
              <w:pStyle w:val="null3"/>
            </w:pPr>
            <w:r>
              <w:rPr>
                <w:rFonts w:ascii="仿宋_GB2312" w:hAnsi="仿宋_GB2312" w:cs="仿宋_GB2312" w:eastAsia="仿宋_GB2312"/>
              </w:rPr>
              <w:t>质量保修范围和保修期满足采购文件要求(合格)， 质量保修范围和保修期不满足采购文件要求(不合格)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 ），支付约定不满足采购文件要求 （不合格）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 ）</w:t>
            </w:r>
          </w:p>
        </w:tc>
        <w:tc>
          <w:tcPr>
            <w:tcW w:type="dxa" w:w="1661"/>
          </w:tcPr>
          <w:p>
            <w:pPr>
              <w:pStyle w:val="null3"/>
            </w:pPr>
            <w:r>
              <w:rPr>
                <w:rFonts w:ascii="仿宋_GB2312" w:hAnsi="仿宋_GB2312" w:cs="仿宋_GB2312" w:eastAsia="仿宋_GB2312"/>
              </w:rPr>
              <w:t>响应文件封面 供应商资格要求.docx 商务应答表 标的清单 关于符合本国产品标准的声明函 报价表 产品技术参数表.docx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响应文件封面 标的清单 报价表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供应商资格要求.docx 中小企业声明函 残疾人福利性单位声明函 商务应答表 标的清单 报价表 产品技术参数表.docx 服务方案.docx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