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D885E">
      <w:pPr>
        <w:pStyle w:val="4"/>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jc w:val="center"/>
        <w:textAlignment w:val="auto"/>
        <w:rPr>
          <w:rFonts w:hint="default" w:ascii="仿宋" w:hAnsi="仿宋" w:eastAsia="仿宋" w:cs="仿宋"/>
          <w:b/>
          <w:bCs/>
          <w:sz w:val="36"/>
          <w:szCs w:val="36"/>
          <w:highlight w:val="none"/>
          <w:lang w:val="en-US" w:eastAsia="zh-CN"/>
        </w:rPr>
      </w:pPr>
      <w:r>
        <w:rPr>
          <w:rFonts w:hint="eastAsia" w:ascii="仿宋" w:hAnsi="仿宋" w:eastAsia="仿宋" w:cs="仿宋"/>
          <w:b/>
          <w:bCs/>
          <w:sz w:val="36"/>
          <w:szCs w:val="36"/>
          <w:highlight w:val="none"/>
          <w:lang w:val="en-US" w:eastAsia="zh-CN"/>
        </w:rPr>
        <w:t>拟签订的合同文本</w:t>
      </w:r>
    </w:p>
    <w:p w14:paraId="57056311">
      <w:pPr>
        <w:pStyle w:val="4"/>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（本合同模板仅供参考，合同具体条款由采购人与供应商自行协商，最终合同以采购人给出的合同定稿为准。）</w:t>
      </w:r>
    </w:p>
    <w:p w14:paraId="15C88B85">
      <w:pPr>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甲方（采购人）：</w:t>
      </w:r>
      <w:r>
        <w:rPr>
          <w:rFonts w:hint="eastAsia" w:ascii="仿宋" w:hAnsi="仿宋" w:eastAsia="仿宋" w:cs="仿宋"/>
          <w:b w:val="0"/>
          <w:bCs/>
          <w:color w:val="auto"/>
          <w:sz w:val="24"/>
          <w:szCs w:val="24"/>
          <w:highlight w:val="none"/>
          <w:u w:val="single"/>
          <w:lang w:val="en-US" w:eastAsia="zh-CN" w:bidi="ar-SA"/>
        </w:rPr>
        <w:t xml:space="preserve">                         </w:t>
      </w:r>
      <w:bookmarkStart w:id="0" w:name="_GoBack"/>
      <w:bookmarkEnd w:id="0"/>
    </w:p>
    <w:p w14:paraId="6FB1D5F2">
      <w:pPr>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乙方（供应商）：</w:t>
      </w:r>
      <w:r>
        <w:rPr>
          <w:rFonts w:hint="eastAsia" w:ascii="仿宋" w:hAnsi="仿宋" w:eastAsia="仿宋" w:cs="仿宋"/>
          <w:b w:val="0"/>
          <w:bCs/>
          <w:color w:val="auto"/>
          <w:sz w:val="24"/>
          <w:szCs w:val="24"/>
          <w:highlight w:val="none"/>
          <w:u w:val="single"/>
          <w:lang w:val="en-US" w:eastAsia="zh-CN" w:bidi="ar-SA"/>
        </w:rPr>
        <w:t xml:space="preserve">                         </w:t>
      </w:r>
    </w:p>
    <w:p w14:paraId="648F906E">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根据《中华人民共和国政府采购法》及实施条例、《中华人民共和国民法典》和甲方</w:t>
      </w:r>
      <w:r>
        <w:rPr>
          <w:rFonts w:hint="eastAsia" w:ascii="仿宋" w:hAnsi="仿宋" w:eastAsia="仿宋" w:cs="仿宋"/>
          <w:color w:val="auto"/>
          <w:kern w:val="2"/>
          <w:sz w:val="24"/>
          <w:szCs w:val="24"/>
          <w:highlight w:val="none"/>
          <w:u w:val="single"/>
          <w:lang w:val="en-US" w:eastAsia="zh-CN" w:bidi="ar-SA"/>
        </w:rPr>
        <w:t xml:space="preserve"> （项目名称）（项目编号）</w:t>
      </w:r>
      <w:r>
        <w:rPr>
          <w:rFonts w:hint="eastAsia" w:ascii="仿宋" w:hAnsi="仿宋" w:eastAsia="仿宋" w:cs="仿宋"/>
          <w:color w:val="auto"/>
          <w:kern w:val="2"/>
          <w:sz w:val="24"/>
          <w:szCs w:val="24"/>
          <w:highlight w:val="none"/>
          <w:lang w:val="en-US" w:eastAsia="zh-CN" w:bidi="ar-SA"/>
        </w:rPr>
        <w:t>的采购文件、响应文件等有关规定，为确保甲方采购项目的顺利实施，甲、乙双方在平等自愿原则下签订本合同，并共同遵守如下条款：</w:t>
      </w:r>
    </w:p>
    <w:p w14:paraId="5C799545">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一、合同内容（格式自拟：包含服务内容、服务要求、质量标准、其他内容及要求等）</w:t>
      </w:r>
    </w:p>
    <w:p w14:paraId="3269A05E">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1.服务内容：</w:t>
      </w:r>
      <w:r>
        <w:rPr>
          <w:rFonts w:hint="eastAsia" w:ascii="仿宋" w:hAnsi="仿宋" w:eastAsia="仿宋" w:cs="仿宋"/>
          <w:color w:val="auto"/>
          <w:kern w:val="2"/>
          <w:sz w:val="24"/>
          <w:szCs w:val="24"/>
          <w:highlight w:val="none"/>
          <w:u w:val="single"/>
          <w:lang w:val="en-US" w:eastAsia="zh-CN" w:bidi="ar-SA"/>
        </w:rPr>
        <w:t xml:space="preserve">                         </w:t>
      </w:r>
    </w:p>
    <w:p w14:paraId="1E03D93B">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2.服务要求：</w:t>
      </w:r>
      <w:r>
        <w:rPr>
          <w:rFonts w:hint="eastAsia" w:ascii="仿宋" w:hAnsi="仿宋" w:eastAsia="仿宋" w:cs="仿宋"/>
          <w:color w:val="auto"/>
          <w:kern w:val="2"/>
          <w:sz w:val="24"/>
          <w:szCs w:val="24"/>
          <w:highlight w:val="none"/>
          <w:u w:val="single"/>
          <w:lang w:val="en-US" w:eastAsia="zh-CN" w:bidi="ar-SA"/>
        </w:rPr>
        <w:t xml:space="preserve">                         </w:t>
      </w:r>
    </w:p>
    <w:p w14:paraId="2384DE63">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3.质量标准：</w:t>
      </w:r>
      <w:r>
        <w:rPr>
          <w:rFonts w:hint="eastAsia" w:ascii="仿宋" w:hAnsi="仿宋" w:eastAsia="仿宋" w:cs="仿宋"/>
          <w:color w:val="auto"/>
          <w:kern w:val="2"/>
          <w:sz w:val="24"/>
          <w:szCs w:val="24"/>
          <w:highlight w:val="none"/>
          <w:u w:val="single"/>
          <w:lang w:val="en-US" w:eastAsia="zh-CN" w:bidi="ar-SA"/>
        </w:rPr>
        <w:t xml:space="preserve">                         </w:t>
      </w:r>
    </w:p>
    <w:p w14:paraId="29042A27">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4.其他：</w:t>
      </w:r>
      <w:r>
        <w:rPr>
          <w:rFonts w:hint="eastAsia" w:ascii="仿宋" w:hAnsi="仿宋" w:eastAsia="仿宋" w:cs="仿宋"/>
          <w:color w:val="auto"/>
          <w:kern w:val="2"/>
          <w:sz w:val="24"/>
          <w:szCs w:val="24"/>
          <w:highlight w:val="none"/>
          <w:u w:val="single"/>
          <w:lang w:val="en-US" w:eastAsia="zh-CN" w:bidi="ar-SA"/>
        </w:rPr>
        <w:t xml:space="preserve">                             </w:t>
      </w:r>
    </w:p>
    <w:p w14:paraId="5974F83A">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二、履行期限及地点</w:t>
      </w:r>
    </w:p>
    <w:p w14:paraId="39B4156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auto"/>
          <w:spacing w:val="0"/>
          <w:kern w:val="2"/>
          <w:sz w:val="24"/>
          <w:szCs w:val="24"/>
          <w:highlight w:val="none"/>
          <w:lang w:val="en-US" w:eastAsia="zh-CN"/>
        </w:rPr>
      </w:pPr>
      <w:r>
        <w:rPr>
          <w:rFonts w:hint="eastAsia" w:ascii="仿宋" w:hAnsi="仿宋" w:eastAsia="仿宋" w:cs="仿宋"/>
          <w:b w:val="0"/>
          <w:bCs/>
          <w:snapToGrid/>
          <w:color w:val="auto"/>
          <w:spacing w:val="0"/>
          <w:kern w:val="2"/>
          <w:sz w:val="24"/>
          <w:szCs w:val="24"/>
          <w:highlight w:val="none"/>
          <w:lang w:val="en-US" w:eastAsia="zh-CN"/>
        </w:rPr>
        <w:t>1.</w:t>
      </w:r>
      <w:r>
        <w:rPr>
          <w:rFonts w:hint="eastAsia" w:ascii="仿宋" w:hAnsi="仿宋" w:eastAsia="仿宋" w:cs="仿宋"/>
          <w:snapToGrid/>
          <w:color w:val="auto"/>
          <w:spacing w:val="0"/>
          <w:kern w:val="2"/>
          <w:sz w:val="24"/>
          <w:szCs w:val="24"/>
          <w:highlight w:val="none"/>
          <w:lang w:eastAsia="zh-CN"/>
        </w:rPr>
        <w:t>服务</w:t>
      </w:r>
      <w:r>
        <w:rPr>
          <w:rFonts w:hint="eastAsia" w:ascii="仿宋" w:hAnsi="仿宋" w:eastAsia="仿宋" w:cs="仿宋"/>
          <w:bCs/>
          <w:snapToGrid/>
          <w:color w:val="auto"/>
          <w:spacing w:val="0"/>
          <w:kern w:val="2"/>
          <w:sz w:val="24"/>
          <w:szCs w:val="24"/>
          <w:highlight w:val="none"/>
          <w:lang w:eastAsia="zh-CN"/>
        </w:rPr>
        <w:t>期</w:t>
      </w:r>
      <w:r>
        <w:rPr>
          <w:rFonts w:hint="eastAsia" w:ascii="仿宋" w:hAnsi="仿宋" w:eastAsia="仿宋" w:cs="仿宋"/>
          <w:bCs/>
          <w:snapToGrid/>
          <w:color w:val="auto"/>
          <w:spacing w:val="0"/>
          <w:kern w:val="2"/>
          <w:sz w:val="24"/>
          <w:szCs w:val="24"/>
          <w:highlight w:val="none"/>
          <w:lang w:val="en-US" w:eastAsia="zh-CN"/>
        </w:rPr>
        <w:t>限</w:t>
      </w:r>
      <w:r>
        <w:rPr>
          <w:rFonts w:hint="eastAsia" w:ascii="仿宋" w:hAnsi="仿宋" w:eastAsia="仿宋" w:cs="仿宋"/>
          <w:bCs/>
          <w:snapToGrid/>
          <w:color w:val="auto"/>
          <w:spacing w:val="0"/>
          <w:kern w:val="2"/>
          <w:sz w:val="24"/>
          <w:szCs w:val="24"/>
          <w:highlight w:val="none"/>
          <w:lang w:eastAsia="zh-CN"/>
        </w:rPr>
        <w:t>：</w:t>
      </w:r>
      <w:r>
        <w:rPr>
          <w:rFonts w:hint="eastAsia" w:ascii="仿宋" w:hAnsi="仿宋" w:eastAsia="仿宋" w:cs="仿宋"/>
          <w:bCs/>
          <w:snapToGrid/>
          <w:color w:val="auto"/>
          <w:spacing w:val="0"/>
          <w:kern w:val="2"/>
          <w:sz w:val="24"/>
          <w:szCs w:val="24"/>
          <w:highlight w:val="none"/>
          <w:lang w:val="en-US" w:eastAsia="zh-CN"/>
        </w:rPr>
        <w:t>自合同签订之日起 30 日历天。</w:t>
      </w:r>
    </w:p>
    <w:p w14:paraId="6C7A255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snapToGrid/>
          <w:color w:val="auto"/>
          <w:spacing w:val="0"/>
          <w:kern w:val="2"/>
          <w:sz w:val="24"/>
          <w:szCs w:val="24"/>
          <w:highlight w:val="none"/>
          <w:lang w:eastAsia="zh-CN"/>
        </w:rPr>
      </w:pPr>
      <w:r>
        <w:rPr>
          <w:rFonts w:hint="eastAsia" w:ascii="仿宋" w:hAnsi="仿宋" w:eastAsia="仿宋" w:cs="仿宋"/>
          <w:b w:val="0"/>
          <w:bCs/>
          <w:snapToGrid/>
          <w:color w:val="auto"/>
          <w:spacing w:val="0"/>
          <w:kern w:val="2"/>
          <w:sz w:val="24"/>
          <w:szCs w:val="24"/>
          <w:highlight w:val="none"/>
          <w:lang w:val="en-US" w:eastAsia="zh-CN"/>
        </w:rPr>
        <w:t>2.</w:t>
      </w:r>
      <w:r>
        <w:rPr>
          <w:rFonts w:hint="eastAsia" w:ascii="仿宋" w:hAnsi="仿宋" w:eastAsia="仿宋" w:cs="仿宋"/>
          <w:bCs/>
          <w:snapToGrid/>
          <w:color w:val="auto"/>
          <w:spacing w:val="0"/>
          <w:kern w:val="2"/>
          <w:sz w:val="24"/>
          <w:szCs w:val="24"/>
          <w:highlight w:val="none"/>
          <w:lang w:eastAsia="zh-CN"/>
        </w:rPr>
        <w:t>服务地点：</w:t>
      </w:r>
      <w:r>
        <w:rPr>
          <w:rFonts w:hint="eastAsia" w:ascii="仿宋" w:hAnsi="仿宋" w:eastAsia="仿宋" w:cs="仿宋"/>
          <w:bCs/>
          <w:snapToGrid/>
          <w:color w:val="auto"/>
          <w:spacing w:val="0"/>
          <w:kern w:val="2"/>
          <w:sz w:val="24"/>
          <w:szCs w:val="24"/>
          <w:highlight w:val="none"/>
          <w:lang w:val="en-US" w:eastAsia="zh-CN"/>
        </w:rPr>
        <w:t>甲方</w:t>
      </w:r>
      <w:r>
        <w:rPr>
          <w:rFonts w:hint="eastAsia" w:ascii="仿宋" w:hAnsi="仿宋" w:eastAsia="仿宋" w:cs="仿宋"/>
          <w:bCs/>
          <w:snapToGrid/>
          <w:color w:val="auto"/>
          <w:spacing w:val="0"/>
          <w:kern w:val="2"/>
          <w:sz w:val="24"/>
          <w:szCs w:val="24"/>
          <w:highlight w:val="none"/>
          <w:lang w:eastAsia="zh-CN"/>
        </w:rPr>
        <w:t>指定地点。</w:t>
      </w:r>
    </w:p>
    <w:p w14:paraId="650A122B">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default"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三、服务承诺及要求</w:t>
      </w:r>
    </w:p>
    <w:p w14:paraId="6509E94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1.采购人提供设计所需资料10日内，设计人需提供方案图；</w:t>
      </w:r>
    </w:p>
    <w:p w14:paraId="214B618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2.方案图确定后20日内，设计人需提供概算书和初步设计文本及图纸，具体份数以采购人要求为准；</w:t>
      </w:r>
    </w:p>
    <w:p w14:paraId="7EE2F63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3.设计人提交各阶段设计成果同时需提供设计各阶段电子图1份；</w:t>
      </w:r>
    </w:p>
    <w:p w14:paraId="6330231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4.阶段工作开始标志：上阶段设计文件通过业主及建设主管单位的审查；</w:t>
      </w:r>
    </w:p>
    <w:p w14:paraId="31D5EF7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阶段工作内容：设计人按采购人确定的方案设计，在本阶段进行本工程的初步设计（代可研）和技术协调设计文件；向采购人提交初步设计图及主要材料规格表。根据本项目工程现场具体情况，进行设计与各专业初步设计技术协调工作，并编制与各专业相协调的设计文件；提供政府部门审批所需的设计文件和数据及其它设计资料及修改工作；</w:t>
      </w:r>
    </w:p>
    <w:p w14:paraId="3D11D4C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6.本阶段设计成果文件：设计人提交设计文件文本及电子文件，包括但不限于： 图纸目录、初步设计（代可研）总说明、工程设计概算、评审报告及图纸，具体以采购人要求为准。</w:t>
      </w:r>
    </w:p>
    <w:p w14:paraId="66D74831">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四、合同价款及支付方式</w:t>
      </w:r>
    </w:p>
    <w:p w14:paraId="7EA6F844">
      <w:pPr>
        <w:keepNext w:val="0"/>
        <w:keepLines w:val="0"/>
        <w:pageBreakBefore w:val="0"/>
        <w:widowControl w:val="0"/>
        <w:wordWrap/>
        <w:overflowPunct/>
        <w:topLinePunct w:val="0"/>
        <w:bidi w:val="0"/>
        <w:spacing w:beforeAutospacing="0" w:afterAutospacing="0" w:line="360" w:lineRule="auto"/>
        <w:ind w:firstLine="420"/>
        <w:jc w:val="both"/>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1.合同价款为人民币（大写）</w:t>
      </w:r>
      <w:r>
        <w:rPr>
          <w:rFonts w:hint="eastAsia" w:ascii="仿宋" w:hAnsi="仿宋" w:eastAsia="仿宋" w:cs="仿宋"/>
          <w:color w:val="auto"/>
          <w:kern w:val="2"/>
          <w:sz w:val="24"/>
          <w:szCs w:val="24"/>
          <w:highlight w:val="none"/>
          <w:u w:val="single"/>
          <w:lang w:val="en-US" w:eastAsia="zh-CN" w:bidi="ar-SA"/>
        </w:rPr>
        <w:t xml:space="preserve">          （¥           ）</w:t>
      </w:r>
      <w:r>
        <w:rPr>
          <w:rFonts w:hint="eastAsia" w:ascii="仿宋" w:hAnsi="仿宋" w:eastAsia="仿宋" w:cs="仿宋"/>
          <w:color w:val="auto"/>
          <w:kern w:val="2"/>
          <w:sz w:val="24"/>
          <w:szCs w:val="24"/>
          <w:highlight w:val="none"/>
          <w:lang w:val="en-US" w:eastAsia="zh-CN" w:bidi="ar-SA"/>
        </w:rPr>
        <w:t>。</w:t>
      </w:r>
    </w:p>
    <w:p w14:paraId="55BC32BB">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2.支付方式：</w:t>
      </w:r>
    </w:p>
    <w:p w14:paraId="5ABBD6D2">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（1）合同签订后，达到付款条件起10日内，支付合同总金额的40.00%。</w:t>
      </w:r>
    </w:p>
    <w:p w14:paraId="40A6105A">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（2）提交设计成果文件并通过相关审核后，达到付款条件起10日内，支付合同总金额的50.00%。</w:t>
      </w:r>
    </w:p>
    <w:p w14:paraId="38BDA300">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（3）项目竣工验收合格后，达到付款条件起10日内，支付剩余合同总金额的10.00%。</w:t>
      </w:r>
    </w:p>
    <w:p w14:paraId="33E7D9ED">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五、知识产权</w:t>
      </w:r>
    </w:p>
    <w:p w14:paraId="2A10FED3">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1.乙方应保证所提供的成果（或服务）其任何一部分均不会侵犯任何第三方的专利权、商标权或著作权。</w:t>
      </w:r>
    </w:p>
    <w:p w14:paraId="516D3CC9">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乙方保证其在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2C707B0B">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六、甲方的权利和义务</w:t>
      </w:r>
    </w:p>
    <w:p w14:paraId="38D9F55F">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1.甲方负责检查监督乙方管理工作的实施及制度的执行情况。</w:t>
      </w:r>
    </w:p>
    <w:p w14:paraId="22ED8947">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2.甲方应在有效的时间内将与本项目相关的数据和资料提供给乙方，乙方收到甲方提供的数据和资料后一次性告知甲方需要补充的材料。</w:t>
      </w:r>
    </w:p>
    <w:p w14:paraId="1C6FDE8D">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3.甲方有权对乙方人员的工作情况及纪律作风监督检查，明确员工职责范围，对工作中不负责任、违反管理规定的人员，有权提出辞退要求，情况属实，乙方应无条件予以执行。</w:t>
      </w:r>
    </w:p>
    <w:p w14:paraId="1C4969E9">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4.甲方不得要求乙方违反国家有关标准进行编制。</w:t>
      </w:r>
    </w:p>
    <w:p w14:paraId="1390B20C">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5.甲方应当配合乙方的现场调研、成果文件呈报审查工作等相关工作。</w:t>
      </w:r>
    </w:p>
    <w:p w14:paraId="0F9ED189">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6.甲方对乙方可行性研究报告编制服务的进度享有知情权与监督权。</w:t>
      </w:r>
    </w:p>
    <w:p w14:paraId="7779765D">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7.国家法律、法规所规定由甲方承担的其他责任。</w:t>
      </w:r>
    </w:p>
    <w:p w14:paraId="3E5CB68C">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七、乙方的权利和义务</w:t>
      </w:r>
    </w:p>
    <w:p w14:paraId="7E282AFD">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1.按合同要求派出合格的服务人员，依据岗位职责结合甲方交予的任务执行服务工作；遵守甲方制定的各项规章制度，为甲方提供保障服务。</w:t>
      </w:r>
    </w:p>
    <w:p w14:paraId="60AD17C2">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2.乙方依据有关政策和实际情况，对项目进行综合研究、提出建议，按合同约定的内容、时间及份数向发包人交付编制成果，并对提交的编制成果的质量负责。</w:t>
      </w:r>
    </w:p>
    <w:p w14:paraId="4C3C5EBE">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乙方在规定的时间内出具的编制成果，应体现甲方要求，必须达到国家标准、行业标准及国家有关技术规范深度要求；乙方完成编制初稿后应按甲方提出的审查意见和修改意见无偿进行修改，直至获得甲方及有关主管部门审批通过。</w:t>
      </w:r>
    </w:p>
    <w:p w14:paraId="7E2492A3">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4.乙方对编制成果出现的遗漏或错误负责无偿修改或补充。</w:t>
      </w:r>
    </w:p>
    <w:p w14:paraId="166B3FB6">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5.乙方交付编制成果后，按规定参加审查，并根据审查结论做必要的解释说明和调整补充，调整补充已包含在合同工作内容中，不再计付费用。</w:t>
      </w:r>
    </w:p>
    <w:p w14:paraId="2B8BC5B5">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6.乙方为本项目所完成的编制成果的所有权、知识产权归甲方。</w:t>
      </w:r>
    </w:p>
    <w:p w14:paraId="2B6C9925">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7.乙方人员因工作失职或疏忽直接造成损失，由乙方处理并承担相关责任。</w:t>
      </w:r>
    </w:p>
    <w:p w14:paraId="115759EB">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8.乙方应当及时向甲方通告本项目服务范围内有关服务的重大事项，及时配合处理投诉。</w:t>
      </w:r>
    </w:p>
    <w:p w14:paraId="1BD01E37">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9.乙方应自觉接受项目行业管理部门及政府有关部门的指导，接受甲方的监督。</w:t>
      </w:r>
    </w:p>
    <w:p w14:paraId="56C99FA2">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10.国家法律、法规所规定由乙方承担的其他责任。</w:t>
      </w:r>
    </w:p>
    <w:p w14:paraId="4286EEFF">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八、考核（验收）标准和方法</w:t>
      </w:r>
    </w:p>
    <w:p w14:paraId="49ACA8C4">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现行的国家标准或国家行政部门颁布的法律法规、规章制度等，是项目验收的重要依据，甲方单位根据有关规范、规定及项目要求对服务进行检查或考核，乙方须接受甲方的各类考核或检查；若验收不通过或服务质量不符合采购要求，乙方应在一定期限内以甲方要求的标准进行整改或进一步完善，并再次进行考核或检查，若乙方在接受检查整改后最终仍未按要求提供符合要求和服务，甲方有权按违约予以撤项，由此产生的一切责任和费用均由乙方承担，具体程序如下：</w:t>
      </w:r>
    </w:p>
    <w:p w14:paraId="4BBA0C68">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（1）验收时甲乙双方必须同时在场，乙方所提供的服务不符合合同内容规定的，甲方有权拒绝验收。乙方应及时按本合同内容规定和甲方要求免费进行整改，直至验收合格，视为乙方按本合同规定完成服务。</w:t>
      </w:r>
    </w:p>
    <w:p w14:paraId="0E633972">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（2）在经过乙方两次限期整改后，服务仍达不到合同文件规定内容的，甲方有权拒收，并可以解除合同，由此引起甲方损失及赔偿责任由乙方承担。</w:t>
      </w:r>
    </w:p>
    <w:p w14:paraId="3173DC8F">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九、违约责任</w:t>
      </w:r>
    </w:p>
    <w:p w14:paraId="6637AA87">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1.合同违约情况按《中华人民共和国民法典》中的相关条款执行。</w:t>
      </w:r>
    </w:p>
    <w:p w14:paraId="392968CA">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2.甲乙双方必须遵守本合同并执行合同中的各项规定，保证本合同的正常履行。</w:t>
      </w:r>
    </w:p>
    <w:p w14:paraId="13876C7C">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3.因甲方原因，未按合同约定时间支付相应阶段款项，每逾期一天，按应付款的‰支付违约金。</w:t>
      </w:r>
    </w:p>
    <w:p w14:paraId="7B5CBF75">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4.因乙方原因，乙方逾期提交可行性研究报告的，每逾期一天，应向甲方支付合同总价款‰的违约金；迟延达到日，甲方有权单方解除本合同，乙方应返还甲方已支付的所有款项。</w:t>
      </w:r>
    </w:p>
    <w:p w14:paraId="4E734BC6">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5.乙方提交的可行性研究报告不符合同约定标准，乙方应无偿修改至甲方确认为止。</w:t>
      </w:r>
    </w:p>
    <w:p w14:paraId="128FBE36">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6.由于乙方错误造成质量事故损失的，乙方除负责采取补救措施外，应免收直接损失部分的编制费。损失严重的，应根据损失的程度和乙方责任大小向甲方支付赔偿金。</w:t>
      </w:r>
    </w:p>
    <w:p w14:paraId="644551A7">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7930C39">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8.未按合同要求提供服务或质量不能满足技术要求，甲方有权终止合同并对乙方违约行为进行追究，同时按政府采购法的有关规定进行相应的处罚。</w:t>
      </w:r>
    </w:p>
    <w:p w14:paraId="7AF4744B">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十、合同的变更和终止</w:t>
      </w:r>
    </w:p>
    <w:p w14:paraId="1E0BFD6A">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除《中华人民共和国政府采购法》第49条、第50条第二款规定的情形外，本合同一经签订，甲乙双方不得擅自变更、中止或终止合同。</w:t>
      </w:r>
    </w:p>
    <w:p w14:paraId="3122BA1D">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十一、解决合同纠纷的方式</w:t>
      </w:r>
    </w:p>
    <w:p w14:paraId="007DF3D6">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1）种方式解决争议：</w:t>
      </w:r>
    </w:p>
    <w:p w14:paraId="767E9095">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（1）向甲方所在地有管辖权的人民法院提起诉讼；</w:t>
      </w:r>
    </w:p>
    <w:p w14:paraId="37CFC91D">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（2）向西安仲裁委员会按其仲裁规则申请仲裁。</w:t>
      </w:r>
    </w:p>
    <w:p w14:paraId="3960DA02">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2.在仲裁期间，除双方有争议的部分外，本合同其他部分仍然有效，各方应继续履行。</w:t>
      </w:r>
    </w:p>
    <w:p w14:paraId="1559D350">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十二、附件</w:t>
      </w:r>
    </w:p>
    <w:p w14:paraId="4CCD5B4D">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1.采购文件</w:t>
      </w:r>
    </w:p>
    <w:p w14:paraId="0712C0E9">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2.修改澄清文件</w:t>
      </w:r>
    </w:p>
    <w:p w14:paraId="466975BC">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3.响应文件</w:t>
      </w:r>
    </w:p>
    <w:p w14:paraId="6A8932F3">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4.成交通知书</w:t>
      </w:r>
    </w:p>
    <w:p w14:paraId="69937EF3">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5.其他</w:t>
      </w:r>
    </w:p>
    <w:p w14:paraId="71A1BC10">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snapToGrid/>
          <w:color w:val="auto"/>
          <w:spacing w:val="0"/>
          <w:kern w:val="2"/>
          <w:sz w:val="24"/>
          <w:szCs w:val="24"/>
          <w:highlight w:val="none"/>
          <w:lang w:val="en-US" w:eastAsia="zh-CN"/>
        </w:rPr>
      </w:pPr>
      <w:r>
        <w:rPr>
          <w:rFonts w:hint="eastAsia" w:ascii="仿宋" w:hAnsi="仿宋" w:eastAsia="仿宋" w:cs="仿宋"/>
          <w:b/>
          <w:bCs/>
          <w:snapToGrid/>
          <w:color w:val="auto"/>
          <w:spacing w:val="0"/>
          <w:kern w:val="2"/>
          <w:sz w:val="24"/>
          <w:szCs w:val="24"/>
          <w:highlight w:val="none"/>
          <w:lang w:val="en-US" w:eastAsia="zh-CN"/>
        </w:rPr>
        <w:t>十三、合同生效及其他</w:t>
      </w:r>
    </w:p>
    <w:p w14:paraId="05E628B8">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1.合同经双方法定代表人或授权委托代理人签字并加盖单位公章后生效。</w:t>
      </w:r>
    </w:p>
    <w:p w14:paraId="126DE31B">
      <w:pPr>
        <w:keepNext w:val="0"/>
        <w:keepLines w:val="0"/>
        <w:pageBreakBefore w:val="0"/>
        <w:widowControl w:val="0"/>
        <w:wordWrap/>
        <w:overflowPunct/>
        <w:topLinePunct w:val="0"/>
        <w:bidi w:val="0"/>
        <w:spacing w:beforeAutospacing="0" w:afterAutospacing="0" w:line="360" w:lineRule="auto"/>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2.合同执行中涉及采购资金和采购内容修改或补充的，须经政府采购监管部门审批，并签订书面补充协议报政府采购监督管理部门备案，方可作为主合同不可分割的一部分。</w:t>
      </w:r>
    </w:p>
    <w:p w14:paraId="7596C296">
      <w:pPr>
        <w:keepNext w:val="0"/>
        <w:keepLines w:val="0"/>
        <w:pageBreakBefore w:val="0"/>
        <w:widowControl w:val="0"/>
        <w:wordWrap/>
        <w:overflowPunct/>
        <w:topLinePunct w:val="0"/>
        <w:bidi w:val="0"/>
        <w:spacing w:beforeAutospacing="0" w:afterAutospacing="0" w:line="360" w:lineRule="auto"/>
        <w:ind w:firstLine="420"/>
        <w:jc w:val="both"/>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3.本合同一式份，自双方签章之日起生效。甲方</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份，乙方</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份，政府采购代理机构壹份，同级财政部门备案壹份，具有同等法律效力。</w:t>
      </w:r>
    </w:p>
    <w:p w14:paraId="43304A9E">
      <w:pPr>
        <w:keepNext w:val="0"/>
        <w:keepLines w:val="0"/>
        <w:pageBreakBefore w:val="0"/>
        <w:kinsoku/>
        <w:wordWrap/>
        <w:overflowPunct/>
        <w:topLinePunct w:val="0"/>
        <w:bidi w:val="0"/>
        <w:spacing w:line="360" w:lineRule="auto"/>
        <w:jc w:val="center"/>
        <w:textAlignment w:val="auto"/>
        <w:rPr>
          <w:rFonts w:hint="eastAsia" w:ascii="仿宋" w:hAnsi="仿宋" w:eastAsia="仿宋" w:cs="仿宋"/>
          <w:sz w:val="36"/>
          <w:szCs w:val="36"/>
          <w:highlight w:val="none"/>
        </w:rPr>
      </w:pPr>
    </w:p>
    <w:p w14:paraId="1DB545D4">
      <w:pPr>
        <w:pStyle w:val="5"/>
        <w:rPr>
          <w:rFonts w:hint="eastAsia"/>
        </w:rPr>
      </w:pPr>
    </w:p>
    <w:tbl>
      <w:tblPr>
        <w:tblStyle w:val="6"/>
        <w:tblW w:w="4996" w:type="pct"/>
        <w:jc w:val="center"/>
        <w:tblLayout w:type="autofit"/>
        <w:tblCellMar>
          <w:top w:w="0" w:type="dxa"/>
          <w:left w:w="108" w:type="dxa"/>
          <w:bottom w:w="0" w:type="dxa"/>
          <w:right w:w="108" w:type="dxa"/>
        </w:tblCellMar>
      </w:tblPr>
      <w:tblGrid>
        <w:gridCol w:w="4639"/>
        <w:gridCol w:w="4642"/>
      </w:tblGrid>
      <w:tr w14:paraId="1A37D016">
        <w:tblPrEx>
          <w:tblCellMar>
            <w:top w:w="0" w:type="dxa"/>
            <w:left w:w="108" w:type="dxa"/>
            <w:bottom w:w="0" w:type="dxa"/>
            <w:right w:w="108" w:type="dxa"/>
          </w:tblCellMar>
        </w:tblPrEx>
        <w:trPr>
          <w:trHeight w:val="1417" w:hRule="exact"/>
          <w:jc w:val="center"/>
        </w:trPr>
        <w:tc>
          <w:tcPr>
            <w:tcW w:w="2499" w:type="pct"/>
            <w:noWrap w:val="0"/>
            <w:vAlign w:val="top"/>
          </w:tcPr>
          <w:p w14:paraId="13540B7F">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left="105" w:leftChars="50" w:right="105" w:rightChars="50" w:firstLine="0" w:firstLineChars="0"/>
              <w:jc w:val="both"/>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Hans"/>
              </w:rPr>
              <w:t>甲  方（</w:t>
            </w:r>
            <w:r>
              <w:rPr>
                <w:rFonts w:hint="eastAsia" w:ascii="仿宋" w:hAnsi="仿宋" w:eastAsia="仿宋" w:cs="仿宋"/>
                <w:bCs/>
                <w:sz w:val="24"/>
                <w:szCs w:val="24"/>
                <w:lang w:val="en-US" w:eastAsia="zh-CN"/>
              </w:rPr>
              <w:t>公</w:t>
            </w:r>
            <w:r>
              <w:rPr>
                <w:rFonts w:hint="eastAsia" w:ascii="仿宋" w:hAnsi="仿宋" w:eastAsia="仿宋" w:cs="仿宋"/>
                <w:bCs/>
                <w:sz w:val="24"/>
                <w:szCs w:val="24"/>
                <w:lang w:val="en-US" w:eastAsia="zh-Hans"/>
              </w:rPr>
              <w:t>章）</w:t>
            </w:r>
            <w:r>
              <w:rPr>
                <w:rFonts w:hint="eastAsia" w:ascii="仿宋" w:hAnsi="仿宋" w:eastAsia="仿宋" w:cs="仿宋"/>
                <w:bCs/>
                <w:sz w:val="24"/>
                <w:szCs w:val="24"/>
                <w:lang w:val="en-US" w:eastAsia="zh-CN"/>
              </w:rPr>
              <w:t>：</w:t>
            </w:r>
          </w:p>
        </w:tc>
        <w:tc>
          <w:tcPr>
            <w:tcW w:w="2500" w:type="pct"/>
            <w:noWrap w:val="0"/>
            <w:vAlign w:val="top"/>
          </w:tcPr>
          <w:p w14:paraId="64A83613">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left="105" w:leftChars="50" w:right="105" w:rightChars="50" w:firstLine="0" w:firstLineChars="0"/>
              <w:jc w:val="both"/>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Hans"/>
              </w:rPr>
              <w:t>乙  方（</w:t>
            </w:r>
            <w:r>
              <w:rPr>
                <w:rFonts w:hint="eastAsia" w:ascii="仿宋" w:hAnsi="仿宋" w:eastAsia="仿宋" w:cs="仿宋"/>
                <w:bCs/>
                <w:sz w:val="24"/>
                <w:szCs w:val="24"/>
                <w:lang w:val="en-US" w:eastAsia="zh-CN"/>
              </w:rPr>
              <w:t>公</w:t>
            </w:r>
            <w:r>
              <w:rPr>
                <w:rFonts w:hint="eastAsia" w:ascii="仿宋" w:hAnsi="仿宋" w:eastAsia="仿宋" w:cs="仿宋"/>
                <w:bCs/>
                <w:sz w:val="24"/>
                <w:szCs w:val="24"/>
                <w:lang w:val="en-US" w:eastAsia="zh-Hans"/>
              </w:rPr>
              <w:t>章）</w:t>
            </w:r>
            <w:r>
              <w:rPr>
                <w:rFonts w:hint="eastAsia" w:ascii="仿宋" w:hAnsi="仿宋" w:eastAsia="仿宋" w:cs="仿宋"/>
                <w:bCs/>
                <w:sz w:val="24"/>
                <w:szCs w:val="24"/>
                <w:lang w:val="en-US" w:eastAsia="zh-CN"/>
              </w:rPr>
              <w:t>：</w:t>
            </w:r>
          </w:p>
        </w:tc>
      </w:tr>
      <w:tr w14:paraId="5F393347">
        <w:tblPrEx>
          <w:tblCellMar>
            <w:top w:w="0" w:type="dxa"/>
            <w:left w:w="108" w:type="dxa"/>
            <w:bottom w:w="0" w:type="dxa"/>
            <w:right w:w="108" w:type="dxa"/>
          </w:tblCellMar>
        </w:tblPrEx>
        <w:trPr>
          <w:trHeight w:val="737" w:hRule="exact"/>
          <w:jc w:val="center"/>
        </w:trPr>
        <w:tc>
          <w:tcPr>
            <w:tcW w:w="2499" w:type="pct"/>
            <w:noWrap w:val="0"/>
            <w:vAlign w:val="center"/>
          </w:tcPr>
          <w:p w14:paraId="1348F891">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法定代表人</w:t>
            </w:r>
            <w:r>
              <w:rPr>
                <w:rFonts w:hint="eastAsia" w:ascii="仿宋" w:hAnsi="仿宋" w:eastAsia="仿宋" w:cs="仿宋"/>
                <w:bCs/>
                <w:sz w:val="24"/>
                <w:szCs w:val="24"/>
                <w:lang w:val="en-US" w:eastAsia="zh-CN"/>
              </w:rPr>
              <w:t>（签字或盖章）</w:t>
            </w:r>
            <w:r>
              <w:rPr>
                <w:rFonts w:hint="eastAsia" w:ascii="仿宋" w:hAnsi="仿宋" w:eastAsia="仿宋" w:cs="仿宋"/>
                <w:bCs/>
                <w:sz w:val="24"/>
                <w:szCs w:val="24"/>
                <w:lang w:val="en-US" w:eastAsia="zh-Hans"/>
              </w:rPr>
              <w:t>：</w:t>
            </w:r>
          </w:p>
        </w:tc>
        <w:tc>
          <w:tcPr>
            <w:tcW w:w="2500" w:type="pct"/>
            <w:noWrap w:val="0"/>
            <w:vAlign w:val="center"/>
          </w:tcPr>
          <w:p w14:paraId="35F0B43D">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法定代表人</w:t>
            </w:r>
            <w:r>
              <w:rPr>
                <w:rFonts w:hint="eastAsia" w:ascii="仿宋" w:hAnsi="仿宋" w:eastAsia="仿宋" w:cs="仿宋"/>
                <w:bCs/>
                <w:sz w:val="24"/>
                <w:szCs w:val="24"/>
                <w:lang w:val="en-US" w:eastAsia="zh-CN"/>
              </w:rPr>
              <w:t>（签字或盖章）</w:t>
            </w:r>
            <w:r>
              <w:rPr>
                <w:rFonts w:hint="eastAsia" w:ascii="仿宋" w:hAnsi="仿宋" w:eastAsia="仿宋" w:cs="仿宋"/>
                <w:bCs/>
                <w:sz w:val="24"/>
                <w:szCs w:val="24"/>
                <w:lang w:val="en-US" w:eastAsia="zh-Hans"/>
              </w:rPr>
              <w:t>：</w:t>
            </w:r>
          </w:p>
        </w:tc>
      </w:tr>
      <w:tr w14:paraId="4F160911">
        <w:tblPrEx>
          <w:tblCellMar>
            <w:top w:w="0" w:type="dxa"/>
            <w:left w:w="108" w:type="dxa"/>
            <w:bottom w:w="0" w:type="dxa"/>
            <w:right w:w="108" w:type="dxa"/>
          </w:tblCellMar>
        </w:tblPrEx>
        <w:trPr>
          <w:trHeight w:val="737" w:hRule="exact"/>
          <w:jc w:val="center"/>
        </w:trPr>
        <w:tc>
          <w:tcPr>
            <w:tcW w:w="2499" w:type="pct"/>
            <w:noWrap w:val="0"/>
            <w:vAlign w:val="center"/>
          </w:tcPr>
          <w:p w14:paraId="72D00306">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被授权代表</w:t>
            </w:r>
            <w:r>
              <w:rPr>
                <w:rFonts w:hint="eastAsia" w:ascii="仿宋" w:hAnsi="仿宋" w:eastAsia="仿宋" w:cs="仿宋"/>
                <w:bCs/>
                <w:sz w:val="24"/>
                <w:szCs w:val="24"/>
                <w:lang w:val="en-US" w:eastAsia="zh-CN"/>
              </w:rPr>
              <w:t>（签字）</w:t>
            </w:r>
            <w:r>
              <w:rPr>
                <w:rFonts w:hint="eastAsia" w:ascii="仿宋" w:hAnsi="仿宋" w:eastAsia="仿宋" w:cs="仿宋"/>
                <w:bCs/>
                <w:sz w:val="24"/>
                <w:szCs w:val="24"/>
                <w:lang w:val="en-US" w:eastAsia="zh-Hans"/>
              </w:rPr>
              <w:t>：</w:t>
            </w:r>
          </w:p>
        </w:tc>
        <w:tc>
          <w:tcPr>
            <w:tcW w:w="2500" w:type="pct"/>
            <w:noWrap w:val="0"/>
            <w:vAlign w:val="center"/>
          </w:tcPr>
          <w:p w14:paraId="59AA20AC">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被授权代表</w:t>
            </w:r>
            <w:r>
              <w:rPr>
                <w:rFonts w:hint="eastAsia" w:ascii="仿宋" w:hAnsi="仿宋" w:eastAsia="仿宋" w:cs="仿宋"/>
                <w:bCs/>
                <w:sz w:val="24"/>
                <w:szCs w:val="24"/>
                <w:lang w:val="en-US" w:eastAsia="zh-CN"/>
              </w:rPr>
              <w:t>（签字）</w:t>
            </w:r>
            <w:r>
              <w:rPr>
                <w:rFonts w:hint="eastAsia" w:ascii="仿宋" w:hAnsi="仿宋" w:eastAsia="仿宋" w:cs="仿宋"/>
                <w:bCs/>
                <w:sz w:val="24"/>
                <w:szCs w:val="24"/>
                <w:lang w:val="en-US" w:eastAsia="zh-Hans"/>
              </w:rPr>
              <w:t>：</w:t>
            </w:r>
          </w:p>
        </w:tc>
      </w:tr>
      <w:tr w14:paraId="5C69D242">
        <w:tblPrEx>
          <w:tblCellMar>
            <w:top w:w="0" w:type="dxa"/>
            <w:left w:w="108" w:type="dxa"/>
            <w:bottom w:w="0" w:type="dxa"/>
            <w:right w:w="108" w:type="dxa"/>
          </w:tblCellMar>
        </w:tblPrEx>
        <w:trPr>
          <w:trHeight w:val="737" w:hRule="exact"/>
          <w:jc w:val="center"/>
        </w:trPr>
        <w:tc>
          <w:tcPr>
            <w:tcW w:w="2499" w:type="pct"/>
            <w:shd w:val="clear" w:color="auto" w:fill="auto"/>
            <w:noWrap w:val="0"/>
            <w:vAlign w:val="center"/>
          </w:tcPr>
          <w:p w14:paraId="0BFDAA4C">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kern w:val="2"/>
                <w:sz w:val="24"/>
                <w:szCs w:val="24"/>
                <w:lang w:val="en-US" w:eastAsia="zh-Hans" w:bidi="ar-SA"/>
              </w:rPr>
            </w:pPr>
            <w:r>
              <w:rPr>
                <w:rFonts w:hint="eastAsia" w:ascii="仿宋" w:hAnsi="仿宋" w:eastAsia="仿宋" w:cs="仿宋"/>
                <w:bCs/>
                <w:sz w:val="24"/>
                <w:szCs w:val="24"/>
                <w:lang w:val="en-US" w:eastAsia="zh-Hans"/>
              </w:rPr>
              <w:t>地址：</w:t>
            </w:r>
          </w:p>
        </w:tc>
        <w:tc>
          <w:tcPr>
            <w:tcW w:w="2500" w:type="pct"/>
            <w:shd w:val="clear" w:color="auto" w:fill="auto"/>
            <w:noWrap w:val="0"/>
            <w:vAlign w:val="center"/>
          </w:tcPr>
          <w:p w14:paraId="54A2E7B6">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kern w:val="2"/>
                <w:sz w:val="24"/>
                <w:szCs w:val="24"/>
                <w:lang w:val="en-US" w:eastAsia="zh-Hans" w:bidi="ar-SA"/>
              </w:rPr>
            </w:pPr>
            <w:r>
              <w:rPr>
                <w:rFonts w:hint="eastAsia" w:ascii="仿宋" w:hAnsi="仿宋" w:eastAsia="仿宋" w:cs="仿宋"/>
                <w:bCs/>
                <w:sz w:val="24"/>
                <w:szCs w:val="24"/>
                <w:lang w:val="en-US" w:eastAsia="zh-Hans"/>
              </w:rPr>
              <w:t>地址：</w:t>
            </w:r>
          </w:p>
        </w:tc>
      </w:tr>
      <w:tr w14:paraId="1AB10A64">
        <w:tblPrEx>
          <w:tblCellMar>
            <w:top w:w="0" w:type="dxa"/>
            <w:left w:w="108" w:type="dxa"/>
            <w:bottom w:w="0" w:type="dxa"/>
            <w:right w:w="108" w:type="dxa"/>
          </w:tblCellMar>
        </w:tblPrEx>
        <w:trPr>
          <w:trHeight w:val="737" w:hRule="exact"/>
          <w:jc w:val="center"/>
        </w:trPr>
        <w:tc>
          <w:tcPr>
            <w:tcW w:w="2499" w:type="pct"/>
            <w:shd w:val="clear" w:color="auto" w:fill="auto"/>
            <w:noWrap w:val="0"/>
            <w:vAlign w:val="center"/>
          </w:tcPr>
          <w:p w14:paraId="6DF3A3D0">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kern w:val="2"/>
                <w:sz w:val="24"/>
                <w:szCs w:val="24"/>
                <w:lang w:val="en-US" w:eastAsia="zh-Hans" w:bidi="ar-SA"/>
              </w:rPr>
            </w:pPr>
            <w:r>
              <w:rPr>
                <w:rFonts w:hint="eastAsia" w:ascii="仿宋" w:hAnsi="仿宋" w:eastAsia="仿宋" w:cs="仿宋"/>
                <w:bCs/>
                <w:sz w:val="24"/>
                <w:szCs w:val="24"/>
                <w:lang w:val="en-US" w:eastAsia="zh-Hans"/>
              </w:rPr>
              <w:t>邮编：</w:t>
            </w:r>
          </w:p>
        </w:tc>
        <w:tc>
          <w:tcPr>
            <w:tcW w:w="2500" w:type="pct"/>
            <w:shd w:val="clear" w:color="auto" w:fill="auto"/>
            <w:noWrap w:val="0"/>
            <w:vAlign w:val="center"/>
          </w:tcPr>
          <w:p w14:paraId="43CCCDD9">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kern w:val="2"/>
                <w:sz w:val="24"/>
                <w:szCs w:val="24"/>
                <w:lang w:val="en-US" w:eastAsia="zh-Hans" w:bidi="ar-SA"/>
              </w:rPr>
            </w:pPr>
            <w:r>
              <w:rPr>
                <w:rFonts w:hint="eastAsia" w:ascii="仿宋" w:hAnsi="仿宋" w:eastAsia="仿宋" w:cs="仿宋"/>
                <w:bCs/>
                <w:sz w:val="24"/>
                <w:szCs w:val="24"/>
                <w:lang w:val="en-US" w:eastAsia="zh-Hans"/>
              </w:rPr>
              <w:t>邮编：</w:t>
            </w:r>
          </w:p>
        </w:tc>
      </w:tr>
      <w:tr w14:paraId="0F9EDDDF">
        <w:tblPrEx>
          <w:tblCellMar>
            <w:top w:w="0" w:type="dxa"/>
            <w:left w:w="108" w:type="dxa"/>
            <w:bottom w:w="0" w:type="dxa"/>
            <w:right w:w="108" w:type="dxa"/>
          </w:tblCellMar>
        </w:tblPrEx>
        <w:trPr>
          <w:trHeight w:val="737" w:hRule="exact"/>
          <w:jc w:val="center"/>
        </w:trPr>
        <w:tc>
          <w:tcPr>
            <w:tcW w:w="2499" w:type="pct"/>
            <w:noWrap w:val="0"/>
            <w:vAlign w:val="center"/>
          </w:tcPr>
          <w:p w14:paraId="4DD8C6F4">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电话：</w:t>
            </w:r>
          </w:p>
        </w:tc>
        <w:tc>
          <w:tcPr>
            <w:tcW w:w="2500" w:type="pct"/>
            <w:noWrap w:val="0"/>
            <w:vAlign w:val="center"/>
          </w:tcPr>
          <w:p w14:paraId="0418C4B3">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电话：</w:t>
            </w:r>
          </w:p>
        </w:tc>
      </w:tr>
      <w:tr w14:paraId="17404522">
        <w:tblPrEx>
          <w:tblCellMar>
            <w:top w:w="0" w:type="dxa"/>
            <w:left w:w="108" w:type="dxa"/>
            <w:bottom w:w="0" w:type="dxa"/>
            <w:right w:w="108" w:type="dxa"/>
          </w:tblCellMar>
        </w:tblPrEx>
        <w:trPr>
          <w:trHeight w:val="737" w:hRule="exact"/>
          <w:jc w:val="center"/>
        </w:trPr>
        <w:tc>
          <w:tcPr>
            <w:tcW w:w="2499" w:type="pct"/>
            <w:noWrap w:val="0"/>
            <w:vAlign w:val="center"/>
          </w:tcPr>
          <w:p w14:paraId="3995322B">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传真：</w:t>
            </w:r>
          </w:p>
        </w:tc>
        <w:tc>
          <w:tcPr>
            <w:tcW w:w="2500" w:type="pct"/>
            <w:noWrap w:val="0"/>
            <w:vAlign w:val="center"/>
          </w:tcPr>
          <w:p w14:paraId="7EC9C6CB">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传真：</w:t>
            </w:r>
          </w:p>
        </w:tc>
      </w:tr>
      <w:tr w14:paraId="32BFB8D7">
        <w:tblPrEx>
          <w:tblCellMar>
            <w:top w:w="0" w:type="dxa"/>
            <w:left w:w="108" w:type="dxa"/>
            <w:bottom w:w="0" w:type="dxa"/>
            <w:right w:w="108" w:type="dxa"/>
          </w:tblCellMar>
        </w:tblPrEx>
        <w:trPr>
          <w:trHeight w:val="737" w:hRule="exact"/>
          <w:jc w:val="center"/>
        </w:trPr>
        <w:tc>
          <w:tcPr>
            <w:tcW w:w="2499" w:type="pct"/>
            <w:noWrap w:val="0"/>
            <w:vAlign w:val="center"/>
          </w:tcPr>
          <w:p w14:paraId="5B1C4E8D">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开户银行：</w:t>
            </w:r>
          </w:p>
        </w:tc>
        <w:tc>
          <w:tcPr>
            <w:tcW w:w="2500" w:type="pct"/>
            <w:noWrap w:val="0"/>
            <w:vAlign w:val="center"/>
          </w:tcPr>
          <w:p w14:paraId="351BF551">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开户银行：</w:t>
            </w:r>
          </w:p>
        </w:tc>
      </w:tr>
      <w:tr w14:paraId="2ABE395F">
        <w:tblPrEx>
          <w:tblCellMar>
            <w:top w:w="0" w:type="dxa"/>
            <w:left w:w="108" w:type="dxa"/>
            <w:bottom w:w="0" w:type="dxa"/>
            <w:right w:w="108" w:type="dxa"/>
          </w:tblCellMar>
        </w:tblPrEx>
        <w:trPr>
          <w:trHeight w:val="737" w:hRule="exact"/>
          <w:jc w:val="center"/>
        </w:trPr>
        <w:tc>
          <w:tcPr>
            <w:tcW w:w="2499" w:type="pct"/>
            <w:noWrap w:val="0"/>
            <w:vAlign w:val="center"/>
          </w:tcPr>
          <w:p w14:paraId="0518875B">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日期：</w:t>
            </w:r>
          </w:p>
        </w:tc>
        <w:tc>
          <w:tcPr>
            <w:tcW w:w="2500" w:type="pct"/>
            <w:noWrap w:val="0"/>
            <w:vAlign w:val="center"/>
          </w:tcPr>
          <w:p w14:paraId="41ABB97C">
            <w:pPr>
              <w:keepNext w:val="0"/>
              <w:keepLines w:val="0"/>
              <w:pageBreakBefore w:val="0"/>
              <w:widowControl w:val="0"/>
              <w:kinsoku/>
              <w:wordWrap/>
              <w:overflowPunct/>
              <w:topLinePunct w:val="0"/>
              <w:autoSpaceDE w:val="0"/>
              <w:autoSpaceDN w:val="0"/>
              <w:bidi w:val="0"/>
              <w:adjustRightInd w:val="0"/>
              <w:snapToGrid w:val="0"/>
              <w:spacing w:line="360" w:lineRule="auto"/>
              <w:ind w:left="105" w:leftChars="50" w:right="105" w:rightChars="50" w:firstLine="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日期：</w:t>
            </w:r>
          </w:p>
        </w:tc>
      </w:tr>
    </w:tbl>
    <w:p w14:paraId="149067F0">
      <w:pPr>
        <w:keepNext w:val="0"/>
        <w:keepLines w:val="0"/>
        <w:pageBreakBefore w:val="0"/>
        <w:kinsoku/>
        <w:wordWrap/>
        <w:topLinePunct w:val="0"/>
        <w:bidi w:val="0"/>
        <w:spacing w:line="360" w:lineRule="auto"/>
        <w:textAlignment w:val="auto"/>
      </w:pPr>
    </w:p>
    <w:p w14:paraId="606B2A82">
      <w:pPr>
        <w:keepNext w:val="0"/>
        <w:keepLines w:val="0"/>
        <w:pageBreakBefore w:val="0"/>
        <w:kinsoku/>
        <w:wordWrap/>
        <w:topLinePunct w:val="0"/>
        <w:bidi w:val="0"/>
        <w:spacing w:line="360" w:lineRule="auto"/>
        <w:textAlignment w:val="auto"/>
      </w:pPr>
    </w:p>
    <w:p w14:paraId="619F54F7">
      <w:pPr>
        <w:keepNext w:val="0"/>
        <w:keepLines w:val="0"/>
        <w:pageBreakBefore w:val="0"/>
        <w:kinsoku/>
        <w:wordWrap/>
        <w:topLinePunct w:val="0"/>
        <w:bidi w:val="0"/>
        <w:spacing w:line="360" w:lineRule="auto"/>
        <w:textAlignment w:val="auto"/>
        <w:rPr>
          <w:rFonts w:hint="eastAsia" w:ascii="宋体" w:hAnsi="宋体" w:eastAsia="宋体" w:cs="宋体"/>
          <w:highlight w:val="none"/>
        </w:rPr>
      </w:pPr>
    </w:p>
    <w:p w14:paraId="71129A66">
      <w:pPr>
        <w:pStyle w:val="8"/>
        <w:keepNext w:val="0"/>
        <w:keepLines w:val="0"/>
        <w:pageBreakBefore w:val="0"/>
        <w:kinsoku/>
        <w:wordWrap/>
        <w:topLinePunct w:val="0"/>
        <w:bidi w:val="0"/>
        <w:spacing w:line="360" w:lineRule="auto"/>
        <w:textAlignment w:val="auto"/>
        <w:rPr>
          <w:rFonts w:hint="eastAsia" w:ascii="仿宋" w:hAnsi="仿宋" w:eastAsia="仿宋" w:cs="仿宋"/>
          <w:highlight w:val="none"/>
          <w:lang w:val="en-US" w:eastAsia="zh-Hans"/>
        </w:rPr>
      </w:pPr>
    </w:p>
    <w:p w14:paraId="6108959D"/>
    <w:sectPr>
      <w:headerReference r:id="rId3" w:type="default"/>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36299">
    <w:pPr>
      <w:spacing w:before="16" w:line="219" w:lineRule="auto"/>
      <w:ind w:right="28"/>
      <w:jc w:val="right"/>
      <w:rPr>
        <w:rFonts w:ascii="宋体" w:hAnsi="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2F22C0"/>
    <w:rsid w:val="034D41A6"/>
    <w:rsid w:val="1E2F22C0"/>
    <w:rsid w:val="70C61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jc w:val="center"/>
      <w:outlineLvl w:val="0"/>
    </w:pPr>
    <w:rPr>
      <w:rFonts w:eastAsia="仿宋" w:asciiTheme="minorAscii" w:hAnsiTheme="minorAscii"/>
      <w:b/>
      <w:kern w:val="44"/>
      <w:sz w:val="44"/>
    </w:rPr>
  </w:style>
  <w:style w:type="paragraph" w:styleId="3">
    <w:name w:val="heading 2"/>
    <w:basedOn w:val="1"/>
    <w:next w:val="1"/>
    <w:semiHidden/>
    <w:unhideWhenUsed/>
    <w:qFormat/>
    <w:uiPriority w:val="0"/>
    <w:pPr>
      <w:keepNext/>
      <w:keepLines/>
      <w:adjustRightInd w:val="0"/>
      <w:snapToGrid w:val="0"/>
      <w:spacing w:line="360" w:lineRule="auto"/>
      <w:ind w:firstLine="2" w:firstLineChars="2"/>
      <w:jc w:val="center"/>
      <w:outlineLvl w:val="1"/>
    </w:pPr>
    <w:rPr>
      <w:rFonts w:hint="eastAsia" w:ascii="Times New Roman" w:hAnsi="Times New Roman" w:eastAsia="宋体" w:cs="Times New Roman"/>
      <w:b/>
      <w:bCs/>
      <w:sz w:val="30"/>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Plain Text"/>
    <w:basedOn w:val="1"/>
    <w:qFormat/>
    <w:uiPriority w:val="0"/>
    <w:rPr>
      <w:rFonts w:hAnsi="Courier New"/>
      <w:kern w:val="2"/>
      <w:sz w:val="21"/>
    </w:rPr>
  </w:style>
  <w:style w:type="paragraph" w:styleId="5">
    <w:name w:val="Body Text 2"/>
    <w:basedOn w:val="1"/>
    <w:qFormat/>
    <w:uiPriority w:val="99"/>
    <w:pPr>
      <w:ind w:right="26"/>
    </w:pPr>
    <w:rPr>
      <w:rFonts w:ascii="宋体"/>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2026-07-02T05:57:00Z</dcterms:created>
  <dc:creator>MY WAY、</dc:creator>
  <cp:lastModifiedBy>MY WAY、</cp:lastModifiedBy>
  <dcterms:modified xsi:type="dcterms:W3CDTF">2026-07-02T05:58:11Z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419223162A0C4B74BB0C1D01151B57AA_11</vt:lpwstr>
  </property>
  <property fmtid="{D5CDD505-2E9C-101B-9397-08002B2CF9AE}" pid="4" name="KSOTemplateDocerSaveRecord">
    <vt:lpwstr>eyJoZGlkIjoiMGQyYWY4ZDY5ZWM5MzIxYzQwZmM0M2E0NWY0MzAyOGEiLCJ1c2VySWQiOiI2MTg4NTQ0MzUifQ==</vt:lpwstr>
  </property>
</Properties>
</file>