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AC8D46">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一、采购需求</w:t>
      </w:r>
      <w:bookmarkStart w:id="0" w:name="_GoBack"/>
      <w:bookmarkEnd w:id="0"/>
    </w:p>
    <w:p w14:paraId="047FB3F5">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（一）总体服务目标</w:t>
      </w:r>
    </w:p>
    <w:p w14:paraId="28118DCA">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 人员管理场景：实现外聘人员核心流程线上办理，离退休人员线上基础信息管理与事项通知推送，在职职工人员信息统一标准化归集，变更全程留痕可追溯。</w:t>
      </w:r>
    </w:p>
    <w:p w14:paraId="40EB6D67">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财务管理场景：构建差旅、审计项目外勤经费补助两大场景的一体化报销支撑服务，落实报销标准自动核验、费用精准核算、电子档案全流程归档。</w:t>
      </w:r>
    </w:p>
    <w:p w14:paraId="4520836F">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 数据共享场景：搭建审计数据“可用不可见”安全治理服务体系，支撑省直部门、市县审计机关密态数据接入、建模、联合分析、合规共享。</w:t>
      </w:r>
    </w:p>
    <w:p w14:paraId="64DAA9E4">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（二）采购内容</w:t>
      </w:r>
    </w:p>
    <w:p w14:paraId="7F30B7EF">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本项目统一采购数字机关服务、密算平台租赁及运营服务、数据治理服务三个服务。</w:t>
      </w:r>
    </w:p>
    <w:p w14:paraId="13E225C5">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 数字机关服务：依托秦政通省级统一政务协同底座，提供外聘人员全生命周期管理、离退休人员管理、人员信息填报管理、财务报销一体化、数字机关综合运行保障五大业务场景1年期服务。</w:t>
      </w:r>
    </w:p>
    <w:p w14:paraId="53857A52">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密算平台租赁及运营服务：提供密算平台1年期租赁，涵盖密态数据接入与连接保障、数据模型发布审批与授权流通、密态数据受控使用与客户终端保障、跨层级试点等服务。</w:t>
      </w:r>
    </w:p>
    <w:p w14:paraId="1366ED82">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 数据治理服务：提供数据资源治理与质量提升、审计数据模型研发与运行支撑、数据治理运营与综合保障服务。</w:t>
      </w:r>
    </w:p>
    <w:p w14:paraId="7DD45A9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二、服务内容与技术要求</w:t>
      </w:r>
    </w:p>
    <w:p w14:paraId="0D9B62D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（一）数字机关服务</w:t>
      </w:r>
    </w:p>
    <w:p w14:paraId="507F35FD">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 服务内容。全部数字机关人事、财务服务依托秦政通省级政务协同底座开展，复用秦政通统一身份、消息等基础能力。</w:t>
      </w:r>
    </w:p>
    <w:p w14:paraId="535309BC">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外聘人员全生命周期管理。人员备案、聘用申请流程流转、信息登记与备案、信息自动同步推送、考勤数据自动归集、管理后台数据展示与查询、退出申请流程、人员注销与数据清理、工作量审批对接、事务所费用结算核算。实现外聘人员从聘用、考勤、结算到归档的全链条线上管理，全程留痕、动态更新、可溯可查，一站式完成业务审核、数据汇总、材料导出与规范归档。</w:t>
      </w:r>
    </w:p>
    <w:p w14:paraId="4E0070F7">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（2）离退休人员管理。离退休人员基础信息集中维护与动态状况管理（对接人事系统），专项活动（</w:t>
      </w:r>
      <w:r>
        <w:rPr>
          <w:rFonts w:hint="eastAsia" w:ascii="宋体" w:hAnsi="宋体" w:eastAsia="宋体" w:cs="宋体"/>
          <w:color w:val="auto"/>
          <w:sz w:val="24"/>
          <w:szCs w:val="24"/>
          <w:highlight w:val="none"/>
          <w:lang w:val="en-US" w:eastAsia="zh-CN"/>
        </w:rPr>
        <w:t>如</w:t>
      </w:r>
      <w:r>
        <w:rPr>
          <w:rFonts w:hint="eastAsia" w:ascii="宋体" w:hAnsi="宋体" w:eastAsia="宋体" w:cs="宋体"/>
          <w:color w:val="auto"/>
          <w:sz w:val="24"/>
          <w:szCs w:val="24"/>
          <w:highlight w:val="none"/>
          <w:lang w:eastAsia="zh-CN"/>
        </w:rPr>
        <w:t>体检等）统一管理，联系记录与关怀日志记录及下次联系提醒，通知公告与消息推送（对接短信、批量发送、送达状态记录），人员结构与业务完成率统计分析与报表导出。实现离退休人员信息全生命周期归集、党组织活动与慰问帮扶全过程留痕、台账化管理。</w:t>
      </w:r>
    </w:p>
    <w:p w14:paraId="1E774FE4">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人员信息填报管理。在线填报提交、人事处审核生效、审核驳回、历史版本留存、修改前后对比、变更字段标识、固定信息与变更区分、实时统计更新、数据筛选导出、表单字段配置、填报时间管控（每年2次）。实现人员信息的标准化采集、初审校核、交叉校验与变更留痕，支撑人员信息总台账汇聚、分类统计和档案导出。</w:t>
      </w:r>
    </w:p>
    <w:p w14:paraId="3E629752">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财务报销。基础数据管理（人员信息、差旅补助与住宿交通标准、借款限额）、审计项目管理、借款管理、外勤管理、住宿费用管理（OCR识别水单发票、标准校验）、差旅/外勤报销管理（自动关联考勤住宿借款数据、补助自动计算、发票查重、审批全程留痕）、财务归档与统计分析（电子档案归档、发票资源池、多维度统计报表）。实现从费用发生、审核到归档的完整闭环。</w:t>
      </w:r>
    </w:p>
    <w:p w14:paraId="3C24B752">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数字机关综合运行保障。依托秦政通实现统一登录深度整合，账号新增、变更、注销及权限调整全生命周期管理，部门组织数据对接同步；集成秦政通消息、待办任务等协同能力，构建统一发送与集中管理机制；提供全业务常态化咨询、线上操作培训、流程问题协调处置；按季编制业务运行台账，年末出具年度综合服务总结报告；统一归集人事和财务全部电子、纸质成果，按期移交采购人。</w:t>
      </w:r>
    </w:p>
    <w:p w14:paraId="2237ECD6">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性能要求。稳定、可靠、实用，界面友好，操作方便，兼容性体验良好，检索简单快捷。系统有效运行时间大于99%。系统需采用集群部署，其中任意一台发生软硬件故障，不影响其他服务器，即服务不会中断。</w:t>
      </w:r>
    </w:p>
    <w:p w14:paraId="1FCE57C8">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（1）用户与并发要求。最大在线用户数500人，最大并发数50人。</w:t>
      </w:r>
    </w:p>
    <w:p w14:paraId="44C2A12F">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（2）前台业务性能要求。页面功能切换：≤2秒；信息浏览：≤2秒；页面刷新时间：≤2秒；</w:t>
      </w:r>
    </w:p>
    <w:p w14:paraId="0E06CCB3">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其中：人员管理类业务：一般查询端≤2秒；人员信息表单提交≤3秒；复杂报表（如人员结构分析、离退休统计报表）≤5秒。</w:t>
      </w:r>
    </w:p>
    <w:p w14:paraId="6B722F72">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财务报销一体化服务：报销单据查询≤2秒；报销单表单提交≤3秒；复杂财务报表端（如费用汇总、跨部门报销分析）≤5秒。</w:t>
      </w:r>
    </w:p>
    <w:p w14:paraId="43435FC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数字机关综合运行保障服务：系统操作及服务响应时间≤3秒；后台运行监控、日志查询等操作响应≤3秒。</w:t>
      </w:r>
    </w:p>
    <w:p w14:paraId="5C2D7F27">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后台性能要求。按100个并发的标准提出性能要求，在100并发的情况下后台性能指标要求：系统支持良好的大规模并发发布效率，100个并发下，系统操作及服务响应时间不超过3秒；100名编辑同时提交单个表单的平均时间为3秒以内；满足系统运行性能需求，以及保证系统稳定运行保留的处理能力冗余；满足未来更多数据源单位的系统对接和数据共享。</w:t>
      </w:r>
    </w:p>
    <w:p w14:paraId="54518B2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上述性能指标仅针对常规查询、表单提交、统计报表类业务，不包含 AI 推理、大模型内容生成的响应时长。</w:t>
      </w:r>
    </w:p>
    <w:p w14:paraId="5151BE1C">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（二）密算平台租赁及运营服务</w:t>
      </w:r>
    </w:p>
    <w:p w14:paraId="1D01DC74">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 服务内容</w:t>
      </w:r>
    </w:p>
    <w:p w14:paraId="5EE6026D">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密态数据接入与连接保障。数据来源、网络边界、数据库类型、数据规模与更新频率的接入调研，形成数据源接入清单及实施方案；省厅数据分析网、政务网、专网及试点地市数据链路适配与连通验证；信创数据库或文件数据源连接适配、连接参数配置、连通性测试、数据表结构识别和数据资源注册；手动或周期性加密同步任务配置。保障数据在不改变既有网络安全边界的前提下安全稳定流入密态计算服务环境。</w:t>
      </w:r>
    </w:p>
    <w:p w14:paraId="5565719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数据模型发布、审批与授权流通。生产结果核验、结果托管、数据模型发布与目录上架；按采购人业务流程配置上架、发布、查看等审批环节，对接审计统一组织用户认证体系，支持按机构、部门或指定人员配置审批责任；支持按枚举、数值范围、等于、不等于、为空、不为空、包含及模糊匹配等条件申请数据，支持CSV批量条件模板、格式校验、条件预览、多次申请及申请记录查询；完整记录申请、审批、授权、查看、到期和撤销全过程。</w:t>
      </w:r>
    </w:p>
    <w:p w14:paraId="018D4F5F">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密态数据受控使用与客户终端保障。面向审计工作人员信创终端（信创操作系统、信创CPU架构、离线依赖环境）提供兼容性验证与安装配置、升级维护、故障处置；建立用户账号、申请记录、下载任务、本地密钥和解密权限之间的关联校验；提供密态客户端内密态数据下载、任务管理、本地公私钥生成和端内解密查看；明文结果默认仅在密态客户端内查看，通过动态水印、授权到期或撤销控制、会话关闭后明文清理等措施降低数据复制、截屏和超范围使用风险。</w:t>
      </w:r>
    </w:p>
    <w:p w14:paraId="6CB923A2">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跨层级试点与业务闭环验证。面向省、市、县三级审计机关及采购人指定的数据提供单位开展试点支撑，完成数据供给端连接适配、加密同步和资源上架验证，以及数据使用端产品申请、审批授权、下载解密和受控查看验证；形成网络与环境确认记录、数据接入记录、业务流程测试记录、问题处置清单和闭环验证报告，为后续推广提供可复用实施规范。</w:t>
      </w:r>
    </w:p>
    <w:p w14:paraId="4167548A">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性能要求。稳定、可靠、实用，界面友好，操作方便，兼容性体验良好，检索简单快捷。系统有效运行时间大于99%。系统需采用分布式集群部署，其中任意一台发生软硬件故障，不影响其他服务器，即服务不会中断。</w:t>
      </w:r>
    </w:p>
    <w:p w14:paraId="5410553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其中：三台密算服务器集群，可以满足如下指标；可横向扩展物理机节点支撑更大的数量：</w:t>
      </w:r>
    </w:p>
    <w:p w14:paraId="708604B5">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（1）最大注册用户数可以满足1000人；</w:t>
      </w:r>
    </w:p>
    <w:p w14:paraId="5FD3F11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（2）最大在线用户数可满足100人；</w:t>
      </w:r>
    </w:p>
    <w:p w14:paraId="29EA34AF">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（3）最大并发数（页面操作、表单查询、筛选等）可以满足50人；</w:t>
      </w:r>
    </w:p>
    <w:p w14:paraId="6786CADB">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（4）页面切换时间≤2秒；页面加载时间≤2秒；信息浏览≤2秒；页面刷新时间≤2秒；</w:t>
      </w:r>
    </w:p>
    <w:p w14:paraId="7F3AD3ED">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（5）表单提交（数据申请、项目创建/编辑、任务提交等）响应时间≤5秒；</w:t>
      </w:r>
    </w:p>
    <w:p w14:paraId="23ACB22E">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（6）百万行数据加密时间小于10分钟；百万行数据托管小于10分钟；</w:t>
      </w:r>
    </w:p>
    <w:p w14:paraId="01DE58DF">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（7）百万行级数据求交小于1分钟；千万行数据求交小于5分钟；亿行级数据求交小于15分钟；</w:t>
      </w:r>
    </w:p>
    <w:p w14:paraId="6F3A73D1">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（8）百万行级数据分析小于5分钟；千万行级数据分析小于15分钟；亿行级数据分析小于60分钟；</w:t>
      </w:r>
    </w:p>
    <w:p w14:paraId="6E160F3A">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（9）百万行级联合建模小于30分钟；</w:t>
      </w:r>
    </w:p>
    <w:p w14:paraId="364192D5">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（10）支持50人数据模型同时在线查询。</w:t>
      </w:r>
    </w:p>
    <w:p w14:paraId="678A59F8">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（三）数据治理服务</w:t>
      </w:r>
    </w:p>
    <w:p w14:paraId="42211783">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 密态数据资源治理与质量提升</w:t>
      </w:r>
    </w:p>
    <w:p w14:paraId="4F46B151">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元数据采集、字段梳理、中文别名配置、资源标签配置、分级分类、敏感字段标识和共享属性设置，形成来源清晰、口径统一、责任明确的密态数据资源目录及元数据台账；围绕准确性、完整性、唯一性、一致性、时效性和规范性配置数据质量核验规则，执行数据质量评估并形成问题清单、处置建议和复核记录；提供样例数据生成、抽样脱敏和自定义脱敏规则配置服务；对资源目录、数据表及字段名称提供中文化展示和检索配置。</w:t>
      </w:r>
    </w:p>
    <w:p w14:paraId="5D5E06DF">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审计数据模型研发与运行支撑</w:t>
      </w:r>
    </w:p>
    <w:p w14:paraId="23149DDF">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围绕财政审计、经济责任审计、民生监督及采购人确认的其他审计场景开展需求分析，梳理审计事项、业务规则、数据口径、筛选条件和输出要求，形成数据模型清单；提供SQL、Python等模型开发、联调测试、结果核验、发布上架和运行维护服务，支持手动任务、周期任务；模型开发过程保留脚本、测试、发布及变更记录。在原始数据不出域的前提下，支撑多来源数据融合比对、条件筛选和穿透分析，形成可复用的审计数据模型、疑点结果。</w:t>
      </w:r>
    </w:p>
    <w:p w14:paraId="51B3CCB0">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 数据治理业务运营与综合保障</w:t>
      </w:r>
    </w:p>
    <w:p w14:paraId="1320C67B">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数据治理业务日常咨询、远程支持、异常处置、权限核查和安全检查，对数据接入、模型开发、模型发布、审批申请、授权使用及终端解密等关键环节形成全过程服务记录；面向省、市、县三级审计人员开展分角色、分场景操作培训，提供操作指引；形成运行台账、问题处置清单和服务报告，服务期末形成综合服务总结及成果移交资料。</w:t>
      </w:r>
    </w:p>
    <w:p w14:paraId="4EDBE37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（四）服务交付成果</w:t>
      </w:r>
    </w:p>
    <w:p w14:paraId="321762D8">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 人员管理类成果：在职、外聘人员信息总台账及季度更新记录，外聘人员月度考勤统计表、人员聘用/退出全流程档案，离退休活动、慰问专项台账、年度统计分析报表，人员信息变更、填报审核全套归档资料。</w:t>
      </w:r>
    </w:p>
    <w:p w14:paraId="535B153D">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财务管理类成果：差旅、外勤、项目、外聘费用季度报销统计报表，借款管理台账、逾期借款跟踪清单，外聘费用核算支撑资料，全周期报销电子档案。</w:t>
      </w:r>
    </w:p>
    <w:p w14:paraId="6E1FD29E">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 数字机关运营类成果：账号权限变更、业务培训完整记录，季度数字机关业务运行台账、年度服务总结报告。</w:t>
      </w:r>
    </w:p>
    <w:p w14:paraId="6813ADCC">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 数据接入与资源治理类成果：数据源接入清单、连接器运行记录，密态数据接入与同步任务清单、任务运行日志、异常处置记录及同步结果核验记录，标准化密态数据资源目录、元数据及中文别名映射表、资源标签和分级分类台账，数据问题处置及复核记录、样例数据与脱敏规则配置记录。</w:t>
      </w:r>
    </w:p>
    <w:p w14:paraId="0EB4BC57">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 审计模型类成果：审计业务需求说明、模型清单、开发脚本、测试记录、发布记录及变更记录，模型运行任务清单、执行日志、结果核验记录、业务分析成果，数据模型清单、结果托管记录、发布上架记录及产品使用说明，数据模型申请、审批、授权、查看、到期和撤销全过程记录。</w:t>
      </w:r>
    </w:p>
    <w:p w14:paraId="73D42BC4">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 受控使用与试点验证类成果：密态数据受控使用终端适配方案、安装配置记录、兼容性测试报告及问题处置记录，账号、设备、密钥、申请、下载和解密权限关联验证记录、密态客户端内查看及动态水印测试记录，试点地区数据供给与数据使用全流程测试记录、问题清单及业务闭环验证报告。</w:t>
      </w:r>
    </w:p>
    <w:p w14:paraId="7E1F8CFB">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 运营保障类成果：数据治理业务咨询与问题处置记录、权限核查记录和安全检查记录，三级审计人员培训方案、培训课件、签到记录、反馈记录及分场景操作指引，季度数据治理业务运行台账、合规自查报告及服务期综合总结。</w:t>
      </w:r>
    </w:p>
    <w:p w14:paraId="6D0F6556">
      <w:pPr>
        <w:spacing w:line="360" w:lineRule="auto"/>
      </w:pPr>
      <w:r>
        <w:rPr>
          <w:rFonts w:hint="eastAsia" w:ascii="宋体" w:hAnsi="宋体" w:eastAsia="宋体" w:cs="宋体"/>
          <w:color w:val="auto"/>
          <w:sz w:val="24"/>
          <w:szCs w:val="24"/>
          <w:highlight w:val="none"/>
          <w:lang w:eastAsia="zh-CN"/>
        </w:rPr>
        <w:t>8. 终验移交类成果：服务期内全部服务成果电子版数据包，成果移交清单、数据交接确认表，数据导出清单、数据清除记录及数据导出与清除确认书。</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C521AC"/>
    <w:rsid w:val="36C521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2026-09-21T10:02:00Z</dcterms:created>
  <dc:creator>默.</dc:creator>
  <cp:lastModifiedBy>默.</cp:lastModifiedBy>
  <dcterms:modified xsi:type="dcterms:W3CDTF">2026-09-21T10:03:16Z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051717C10EA24A5F92AB87277E67ABFF_11</vt:lpwstr>
  </property>
  <property fmtid="{D5CDD505-2E9C-101B-9397-08002B2CF9AE}" pid="4" name="KSOTemplateDocerSaveRecord">
    <vt:lpwstr>eyJoZGlkIjoiNjNkY2ZhYjhmY2Y3N2I4NmM4N2NjMGUyYzM2ZDYxZWIiLCJ1c2VySWQiOiI0MjU4NjcyNzgifQ==</vt:lpwstr>
  </property>
</Properties>
</file>