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版本号：JXRC-26062220260709002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磁共振机房改造屏蔽防护工程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JXRC-260622</w:t>
      </w:r>
      <w:r>
        <w:br/>
      </w:r>
      <w:r>
        <w:br/>
      </w:r>
      <w:r>
        <w:br/>
      </w:r>
    </w:p>
    <w:p>
      <w:pPr>
        <w:pStyle w:val="null3"/>
        <w:jc w:val="center"/>
        <w:outlineLvl w:val="2"/>
      </w:pPr>
      <w:r>
        <w:rPr>
          <w:rFonts w:ascii="仿宋_GB2312" w:hAnsi="仿宋_GB2312" w:cs="仿宋_GB2312" w:eastAsia="仿宋_GB2312"/>
          <w:sz w:val="28"/>
          <w:b/>
        </w:rPr>
        <w:t>西安市第一医院</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西安市第一医院</w:t>
      </w:r>
      <w:r>
        <w:rPr>
          <w:rFonts w:ascii="仿宋_GB2312" w:hAnsi="仿宋_GB2312" w:cs="仿宋_GB2312" w:eastAsia="仿宋_GB2312"/>
        </w:rPr>
        <w:t>委托，拟对</w:t>
      </w:r>
      <w:r>
        <w:rPr>
          <w:rFonts w:ascii="仿宋_GB2312" w:hAnsi="仿宋_GB2312" w:cs="仿宋_GB2312" w:eastAsia="仿宋_GB2312"/>
        </w:rPr>
        <w:t>磁共振机房改造屏蔽防护工程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JXRC-260622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磁共振机房改造屏蔽防护工程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西安市第一医院计划采购的3.0T磁共振场地建设按照国家标准要求需要进行磁场屏蔽防护工程，故需招标采购磁共振机房改造屏蔽防护工程。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采购包1（磁共振机房改造屏蔽防护工程）：属于专门面向中小企业采购。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财务状况证明：供应商提供会计师事务所出具的完整的2024年度或2025年度合法有效赋码的审计报告（成立时间至提交磋商文件截止时间不足一年的可提供成立后任意时段的资产负债表)；或开标前6个月内其基本户开户银行（提供基本户开户银行信息）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法定代表授权书：法定代表人/负责人直接参加投标的，须递交《法定代表人/负责人身份证明书》；法定代表人/负责人授权代表参加投标的，须递交《法定代表人/负责人授权委托书》及授权代表开标截止前最近连续三个月（不含开标当月）的社会保险缴纳证明；</w:t>
      </w:r>
    </w:p>
    <w:p>
      <w:pPr>
        <w:pStyle w:val="null3"/>
      </w:pPr>
      <w:r>
        <w:rPr>
          <w:rFonts w:ascii="仿宋_GB2312" w:hAnsi="仿宋_GB2312" w:cs="仿宋_GB2312" w:eastAsia="仿宋_GB2312"/>
        </w:rPr>
        <w:t>4、纳税证明：提供自2025年12月1日以来至少一个月的纳税证明或完税证明(任意税种)，纳税证明或完税证明上应有代收机构或税务机关的公章或业务专用章；其他组织和自然人提供自2025年12月1日以来至少一个月缴纳税收的凭据；依法免税的供应商应提供相关文件证明。</w:t>
      </w:r>
    </w:p>
    <w:p>
      <w:pPr>
        <w:pStyle w:val="null3"/>
      </w:pPr>
      <w:r>
        <w:rPr>
          <w:rFonts w:ascii="仿宋_GB2312" w:hAnsi="仿宋_GB2312" w:cs="仿宋_GB2312" w:eastAsia="仿宋_GB2312"/>
        </w:rPr>
        <w:t>5、社保缴纳证明：提供自2025年12月1日以来至少一个月已缴纳的社会保障资金的证明（社会保障资金缴存单据或社保机构开具的社会保险参保缴费情况证明等)；依法不需要缴纳社会保障资金的供应商应提供相关证明文件。</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pPr>
      <w:r>
        <w:rPr>
          <w:rFonts w:ascii="仿宋_GB2312" w:hAnsi="仿宋_GB2312" w:cs="仿宋_GB2312" w:eastAsia="仿宋_GB2312"/>
        </w:rPr>
        <w:t>8、供应商资质：具备建设行政主管部门颁发的建筑装修装饰工程专业承包二级及以上资质，并具有有效的安全生产许可证资质。</w:t>
      </w:r>
    </w:p>
    <w:p>
      <w:pPr>
        <w:pStyle w:val="null3"/>
      </w:pPr>
      <w:r>
        <w:rPr>
          <w:rFonts w:ascii="仿宋_GB2312" w:hAnsi="仿宋_GB2312" w:cs="仿宋_GB2312" w:eastAsia="仿宋_GB2312"/>
        </w:rPr>
        <w:t>9、拟派项目经理资质：具有建筑工程专业二级及以上注册建造师执业资格，并具有合法有效的安全生产考核合格证（建安B证），须在本单位注册，无不良信用记录，且未担任其他在建工程项目的项目经理，提供无在建工程承诺书。</w:t>
      </w:r>
    </w:p>
    <w:p>
      <w:pPr>
        <w:pStyle w:val="null3"/>
      </w:pPr>
      <w:r>
        <w:rPr>
          <w:rFonts w:ascii="仿宋_GB2312" w:hAnsi="仿宋_GB2312" w:cs="仿宋_GB2312" w:eastAsia="仿宋_GB2312"/>
        </w:rPr>
        <w:t>10、供应商及拟派项目经理其他要求资质：供应商及拟派项目经理其他要求基本信息应在“陕西省住房和城乡建设厅”官方网站可查询；如供应商为外省进陕企业，还须同时提供“陕西省住房和城乡建设厅”官网企业库外省进陕施工企业信息相关截图。</w:t>
      </w:r>
    </w:p>
    <w:p>
      <w:pPr>
        <w:pStyle w:val="null3"/>
      </w:pPr>
      <w:r>
        <w:rPr>
          <w:rFonts w:ascii="仿宋_GB2312" w:hAnsi="仿宋_GB2312" w:cs="仿宋_GB2312" w:eastAsia="仿宋_GB2312"/>
        </w:rPr>
        <w:t>11、承诺书（一）：本项目不接受西安市第一医院职工及其亲属投资开办的企业参与本医院的政府采购活动（提供承诺书）；</w:t>
      </w:r>
    </w:p>
    <w:p>
      <w:pPr>
        <w:pStyle w:val="null3"/>
      </w:pPr>
      <w:r>
        <w:rPr>
          <w:rFonts w:ascii="仿宋_GB2312" w:hAnsi="仿宋_GB2312" w:cs="仿宋_GB2312" w:eastAsia="仿宋_GB2312"/>
        </w:rPr>
        <w:t>12、承诺书（二）：供应商与其他投标单位无交叉控股股东、无交叉兼任高级管理人员及涉嫌联合围标、串标行为，无采购单位和招标代理机构职工在该单位兼职的情况，不向采购单位和代理机构相关人员输送利益等行贿行为(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南大街粉巷30号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西安市第一医院经办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029-87630967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曲慧、陆频、张海、田颖琦、陈利娜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招标代理服务费以中标(成交)供应商的中标(成交)金额为基数,在《国家计委关于印发&lt;招标代理服务收费管理暂行办法&gt;的通知》(计价格〔2002]1980号)规定标准的基础上下浮20%。</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西安市第一医院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西安市第一医院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165,000.00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磁共振机房改造屏蔽防护工程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标的名称：磁共振机房改造屏蔽防护工程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85"/>
              <w:gridCol w:w="562"/>
              <w:gridCol w:w="807"/>
              <w:gridCol w:w="557"/>
              <w:gridCol w:w="244"/>
              <w:gridCol w:w="185"/>
            </w:tblGrid>
            <w:tr>
              <w:tc>
                <w:tcPr>
                  <w:tcW w:type="dxa" w:w="2540"/>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 xml:space="preserve">MRI屏蔽项目清单     </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一</w:t>
                  </w:r>
                </w:p>
              </w:tc>
              <w:tc>
                <w:tcPr>
                  <w:tcW w:type="dxa" w:w="2355"/>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扫描室屏蔽工程</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项</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目</w:t>
                  </w:r>
                </w:p>
              </w:tc>
              <w:tc>
                <w:tcPr>
                  <w:tcW w:type="dxa" w:w="8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描</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述</w:t>
                  </w:r>
                </w:p>
              </w:tc>
              <w:tc>
                <w:tcPr>
                  <w:tcW w:type="dxa" w:w="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要求</w:t>
                  </w:r>
                </w:p>
              </w:tc>
              <w:tc>
                <w:tcPr>
                  <w:tcW w:type="dxa" w:w="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RF射频屏蔽体</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主材：优质铜皮，厚度：0.3MM,焊接工艺</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199.75</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vertAlign w:val="superscript"/>
                    </w:rPr>
                    <w:t>2</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地面绝缘</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PVC板(3MM）</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vertAlign w:val="superscript"/>
                    </w:rPr>
                    <w:t>2</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地面强化处理</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耐压板</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m2</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RF单开屏蔽门（含门框）</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铜型材，单开屏蔽小门</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外形</w:t>
                  </w:r>
                  <w:r>
                    <w:rPr>
                      <w:rFonts w:ascii="仿宋_GB2312" w:hAnsi="仿宋_GB2312" w:cs="仿宋_GB2312" w:eastAsia="仿宋_GB2312"/>
                      <w:sz w:val="24"/>
                      <w:color w:val="000000"/>
                    </w:rPr>
                    <w:t>:2100*1200MM</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RF屏蔽窗（含窗框）</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双层铜网及白玻璃。</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外形</w:t>
                  </w:r>
                  <w:r>
                    <w:rPr>
                      <w:rFonts w:ascii="仿宋_GB2312" w:hAnsi="仿宋_GB2312" w:cs="仿宋_GB2312" w:eastAsia="仿宋_GB2312"/>
                      <w:sz w:val="24"/>
                      <w:color w:val="000000"/>
                    </w:rPr>
                    <w:t>:1500*900MM</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进风波导器</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网状结构，材质不锈钢；散流器</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回风波导器</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网状结构，材质不锈钢；散流器</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紧急排风波导</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网状结构，材质不锈钢；散流器</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平衡波导</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网状结构，材质不锈钢；散流器</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失超管</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材质：不锈钢</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管径273MM，长度暂估40米，拐弯按6个考虑</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轴流风机</w:t>
                  </w:r>
                  <w:r>
                    <w:rPr>
                      <w:rFonts w:ascii="仿宋_GB2312" w:hAnsi="仿宋_GB2312" w:cs="仿宋_GB2312" w:eastAsia="仿宋_GB2312"/>
                      <w:sz w:val="24"/>
                      <w:color w:val="000000"/>
                    </w:rPr>
                    <w:t>150-300W</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R300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传导板框</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黄铜</w:t>
                  </w:r>
                  <w:r>
                    <w:rPr>
                      <w:rFonts w:ascii="仿宋_GB2312" w:hAnsi="仿宋_GB2312" w:cs="仿宋_GB2312" w:eastAsia="仿宋_GB2312"/>
                      <w:sz w:val="24"/>
                      <w:color w:val="000000"/>
                    </w:rPr>
                    <w:t>3MM</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尺寸：1400*800MM</w:t>
                  </w:r>
                </w:p>
                <w:p>
                  <w:pPr>
                    <w:pStyle w:val="null3"/>
                    <w:jc w:val="center"/>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空调风管、风道</w:t>
                  </w:r>
                </w:p>
              </w:tc>
              <w:tc>
                <w:tcPr>
                  <w:tcW w:type="dxa" w:w="8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PVC波纹风管、保温棉、接头等。包括设备间铁制风管</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直流电源</w:t>
                  </w:r>
                </w:p>
              </w:tc>
              <w:tc>
                <w:tcPr>
                  <w:tcW w:type="dxa" w:w="8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220V  2.0 KW</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直流电源滤波器</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2*25A</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医用气体波导器</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25MM</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紧停开关连线</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2*25A</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二</w:t>
                  </w:r>
                </w:p>
              </w:tc>
              <w:tc>
                <w:tcPr>
                  <w:tcW w:type="dxa" w:w="2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扫描室照明工程</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项</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目</w:t>
                  </w:r>
                </w:p>
              </w:tc>
              <w:tc>
                <w:tcPr>
                  <w:tcW w:type="dxa" w:w="8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描</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述</w:t>
                  </w:r>
                </w:p>
              </w:tc>
              <w:tc>
                <w:tcPr>
                  <w:tcW w:type="dxa" w:w="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要求</w:t>
                  </w:r>
                </w:p>
              </w:tc>
              <w:tc>
                <w:tcPr>
                  <w:tcW w:type="dxa" w:w="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LED平板灯</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600*600</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12V，5W.</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直流照明射灯</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PAR38</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220V，80W.</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电缆槽及维修插座</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铝合金梯装结构含细木工板</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传导板小门</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双面防火板、铝合金盖封条</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尺寸：1400*800MM</w:t>
                  </w:r>
                </w:p>
                <w:p>
                  <w:pPr>
                    <w:pStyle w:val="null3"/>
                    <w:jc w:val="center"/>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进回风散流器</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铝合金</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400*400MM</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铝合金散流器</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回风装饰口</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600*600MM</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三</w:t>
                  </w:r>
                </w:p>
              </w:tc>
              <w:tc>
                <w:tcPr>
                  <w:tcW w:type="dxa" w:w="136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屏蔽射频效能测试（第三方）</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1、在施工期间，成交供应商必须保证院内人员安全，加强安全防护措施，并对施工人员进行安全教育。施工人员必须持证上岗。因采购人工作的特殊性，要求成交供应商在施工中做到封闭性施工。 2、隐蔽工程在隐蔽前须进行分项验收，验收合格后供应商留存相关照片及资料。</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3.3.1商务要求 1、合同履行期限： 施工工期：自合同签订之日起30个工作日 2、合同履约地点：西安市第一医院粉巷院区 3、合同支付约定： （1）付款方式： ①合同签订后预付合同款的40%。 ②供应商应当在采购人付款前向采购人出具正式增值税普通发票。供应商未按照约定提供发票的，采购人有权拒付相关款项，由此造成的损失由供应商负责。 ③工程验收合格后，采购人收到供应商提供的发票，达到付款条件后支付合同款的60%，付款前供应商向采购人提供中标金额3%的保函。自工程最终验收合格之日起满 3 年若无质量问题，采购人应于 15 个工作日内退还保函。 4、验收交付标准和方法： （1）供应商文件的工程应符合国家标准、行业标准、及响应文件要求。合同清单内工程全部完工后，视为供应商交付完毕，货物风险转移。若采购人发现供应商在安装施工过程中有违反国家相关法律、行业标准或合同约定内容的，可以要求供应商对不合格项进行免费更改。 （2）合同清单内工程竣工确认后，采购人负责尽快安排验收，质保期也自验收合格之日计起开始计算。隐蔽工程验收合格后，双方签字确认后方可进行下道工序的施工。 （3）因本合同施工设计及所用的材料均由供应商提供，故因设计、材料、质量不合格而影响工程质量，其返工费用由供应商承担，工期不得顺延，由此造成采购人的损失，供应商应当予以赔偿。 （4）其他由于供应商原因影响工程质量，其返工费用由供应商承担，工期不顺延。 （5）本合同约定的改造工程竣工验收合格后供应商进行现场移交，此后采购人对现场的包括但不限于材料设备丢失、人员损伤等问题承担一切责任。 6、质量保修范围和保修期： （1）工程质保期自验收合格之日起三年。 （2）供应商对本工程项目实行质保期内“质量三包”。 （3）供应商应在接到采购人故障通知8小时内做出响应，并提供详细的技术解决方案，如需上门维修的，需在1个工作日内安排人员到达现场，2个工作日内解决故障。 （4）质保期满后，如采购人需要供应商继续提供维修服务，采购人需向供应商支付相应的维修服务费，具体的维修费用由甲乙双方另行协商确定。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会计师事务所出具的完整的2024年度或2025年度合法有效赋码的审计报告（成立时间至提交磋商文件截止时间不足一年的可提供成立后任意时段的资产负债表)；或开标前6个月内其基本户开户银行（提供基本户开户银行信息）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投标的，须递交《法定代表人/负责人身份证明书》；法定代表人/负责人授权代表参加投标的，须递交《法定代表人/负责人授权委托书》及授权代表开标截止前最近连续三个月（不含开标当月）的社会保险缴纳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自2025年12月1日以来至少一个月的纳税证明或完税证明(任意税种)，纳税证明或完税证明上应有代收机构或税务机关的公章或业务专用章；其他组织和自然人提供自2025年12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提供自2025年12月1日以来至少一个月已缴纳的社会保障资金的证明（社会保障资金缴存单据或社保机构开具的社会保险参保缴费情况证明等)；依法不需要缴纳社会保障资金的供应商应提供相关证明文件。</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具备建设行政主管部门颁发的建筑装修装饰工程专业承包二级及以上资质，并具有有效的安全生产许可证资质。</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拟派项目经理资质</w:t>
            </w:r>
          </w:p>
        </w:tc>
        <w:tc>
          <w:tcPr>
            <w:tcW w:type="dxa" w:w="3322"/>
          </w:tcPr>
          <w:p>
            <w:pPr>
              <w:pStyle w:val="null3"/>
            </w:pPr>
            <w:r>
              <w:rPr>
                <w:rFonts w:ascii="仿宋_GB2312" w:hAnsi="仿宋_GB2312" w:cs="仿宋_GB2312" w:eastAsia="仿宋_GB2312"/>
              </w:rPr>
              <w:t>具有建筑工程专业二级及以上注册建造师执业资格，并具有合法有效的安全生产考核合格证（建安B证），须在本单位注册，无不良信用记录，且未担任其他在建工程项目的项目经理，提供无在建工程承诺书。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供应商及拟派项目经理其他要求资质</w:t>
            </w:r>
          </w:p>
        </w:tc>
        <w:tc>
          <w:tcPr>
            <w:tcW w:type="dxa" w:w="3322"/>
          </w:tcPr>
          <w:p>
            <w:pPr>
              <w:pStyle w:val="null3"/>
            </w:pPr>
            <w:r>
              <w:rPr>
                <w:rFonts w:ascii="仿宋_GB2312" w:hAnsi="仿宋_GB2312" w:cs="仿宋_GB2312" w:eastAsia="仿宋_GB2312"/>
              </w:rPr>
              <w:t>供应商及拟派项目经理其他要求基本信息应在“陕西省住房和城乡建设厅”官方网站可查询；如供应商为外省进陕企业，还须同时提供“陕西省住房和城乡建设厅”官网企业库外省进陕施工企业信息相关截图。</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承诺书（一）</w:t>
            </w:r>
          </w:p>
        </w:tc>
        <w:tc>
          <w:tcPr>
            <w:tcW w:type="dxa" w:w="3322"/>
          </w:tcPr>
          <w:p>
            <w:pPr>
              <w:pStyle w:val="null3"/>
            </w:pPr>
            <w:r>
              <w:rPr>
                <w:rFonts w:ascii="仿宋_GB2312" w:hAnsi="仿宋_GB2312" w:cs="仿宋_GB2312" w:eastAsia="仿宋_GB2312"/>
              </w:rPr>
              <w:t>本项目不接受西安市第一医院职工及其亲属投资开办的企业参与本医院的政府采购活动（提供承诺书）；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承诺书（二）</w:t>
            </w:r>
          </w:p>
        </w:tc>
        <w:tc>
          <w:tcPr>
            <w:tcW w:type="dxa" w:w="3322"/>
          </w:tcPr>
          <w:p>
            <w:pPr>
              <w:pStyle w:val="null3"/>
            </w:pPr>
            <w:r>
              <w:rPr>
                <w:rFonts w:ascii="仿宋_GB2312" w:hAnsi="仿宋_GB2312" w:cs="仿宋_GB2312" w:eastAsia="仿宋_GB2312"/>
              </w:rPr>
              <w:t>供应商与其他投标单位无交叉控股股东、无交叉兼任高级管理人员及涉嫌联合围标、串标行为，无采购单位和招标代理机构职工在该单位兼职的情况，不向采购单位和代理机构相关人员输送利益等行贿行为(提供承诺书)。</w:t>
            </w:r>
          </w:p>
        </w:tc>
        <w:tc>
          <w:tcPr>
            <w:tcW w:type="dxa" w:w="1661"/>
          </w:tcPr>
          <w:p>
            <w:pPr>
              <w:pStyle w:val="null3"/>
            </w:pPr>
            <w:r>
              <w:rPr>
                <w:rFonts w:ascii="仿宋_GB2312" w:hAnsi="仿宋_GB2312" w:cs="仿宋_GB2312" w:eastAsia="仿宋_GB2312"/>
              </w:rPr>
              <w:t>供应商企业关联关系声明函 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供应商基本信息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投标报价不得超过本项目最高限价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供应商必须满足采购文件的第三章3.2商务要求及3.3其他要求</w:t>
            </w:r>
          </w:p>
        </w:tc>
        <w:tc>
          <w:tcPr>
            <w:tcW w:type="dxa" w:w="1661"/>
          </w:tcPr>
          <w:p>
            <w:pPr>
              <w:pStyle w:val="null3"/>
            </w:pPr>
            <w:r>
              <w:rPr>
                <w:rFonts w:ascii="仿宋_GB2312" w:hAnsi="仿宋_GB2312" w:cs="仿宋_GB2312" w:eastAsia="仿宋_GB2312"/>
              </w:rPr>
              <w:t>商务响应偏离表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根据各供应商提供的总体实施方案等进行综合评审。实施方案非常详细、完整，可行、有针对性，有利于项目实施的7分； 实施方案比较详细完整、可行，较利于项目实施的得6分； 实施方案基本可行，基本满足项目实施需要的得4分； 实施方案有缺漏项、不能完全满足项目实施需要的得2分； 实施方案内容粗略、不满足项目实施需要的得1分； 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其他材料</w:t>
            </w:r>
          </w:p>
        </w:tc>
      </w:tr>
      <w:tr>
        <w:tc>
          <w:tcPr>
            <w:tcW w:type="dxa" w:w="831"/>
            <w:vMerge/>
          </w:tcPr>
          <w:p/>
        </w:tc>
        <w:tc>
          <w:tcPr>
            <w:tcW w:type="dxa" w:w="1661"/>
          </w:tcPr>
          <w:p>
            <w:pPr>
              <w:pStyle w:val="null3"/>
            </w:pPr>
            <w:r>
              <w:rPr>
                <w:rFonts w:ascii="仿宋_GB2312" w:hAnsi="仿宋_GB2312" w:cs="仿宋_GB2312" w:eastAsia="仿宋_GB2312"/>
              </w:rPr>
              <w:t>拟投入本项目的材料</w:t>
            </w:r>
          </w:p>
        </w:tc>
        <w:tc>
          <w:tcPr>
            <w:tcW w:type="dxa" w:w="2492"/>
          </w:tcPr>
          <w:p>
            <w:pPr>
              <w:pStyle w:val="null3"/>
            </w:pPr>
            <w:r>
              <w:rPr>
                <w:rFonts w:ascii="仿宋_GB2312" w:hAnsi="仿宋_GB2312" w:cs="仿宋_GB2312" w:eastAsia="仿宋_GB2312"/>
              </w:rPr>
              <w:t>根据供应商针对本项目拟投入材料：RF射频屏蔽体（优质铜皮，焊接工艺）、地面绝缘（PVC板(3MM））、地面强化处理（耐压板）、RF单开屏蔽门（含门框）（铜型材，单开屏蔽小门）、RF屏蔽窗（含窗框）（双层铜网及白玻璃）、传导板框(黄铜 3MM)（第三章3.1技术、服务标准和要求 MRI屏蔽项目清单 序号1-5项及12项）满足本项目实际要求、国家及行业相关质量规定，选型合理、达到国家环保要求、市场应用广泛等，进行评审，附相关证明材料（包括但不限于产品说明书、检测报告等） 拟投的材料清单科学、合理，来源渠道证明材料完整，材料环保性、实用性强，市场应用广泛、产品质量优得12分； 拟投的材料清单基本合理，来源渠道证明材料基本完整，实用性较强，完整性较强，市场应用广泛、产品质量一般，基本满足本项目需求的9分； 拟投的材料清单基本合理，实用性一般，完整性一般，基本满足本项目需求的6分； 拟投的材料清单不合理，不完整，不满足本项目需求的3分； 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安全作业方案及安全配套措施</w:t>
            </w:r>
          </w:p>
        </w:tc>
        <w:tc>
          <w:tcPr>
            <w:tcW w:type="dxa" w:w="2492"/>
          </w:tcPr>
          <w:p>
            <w:pPr>
              <w:pStyle w:val="null3"/>
            </w:pPr>
            <w:r>
              <w:rPr>
                <w:rFonts w:ascii="仿宋_GB2312" w:hAnsi="仿宋_GB2312" w:cs="仿宋_GB2312" w:eastAsia="仿宋_GB2312"/>
              </w:rPr>
              <w:t>针对本项目提供具体的安全作业方案及安全配套措施进行综合评审。 方案及措施完全符合采购人安全作业的要求得6分； 方案及措施基本符合采购人安全作业的要求得4分； 方案及措施有缺漏项，不能完全符合采购人安全作业的要求得2分； 方案及措施内容粗略、不符合采购人安全作业的要求得1分；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环境保护、文明施工措施计划</w:t>
            </w:r>
          </w:p>
        </w:tc>
        <w:tc>
          <w:tcPr>
            <w:tcW w:type="dxa" w:w="2492"/>
          </w:tcPr>
          <w:p>
            <w:pPr>
              <w:pStyle w:val="null3"/>
            </w:pPr>
            <w:r>
              <w:rPr>
                <w:rFonts w:ascii="仿宋_GB2312" w:hAnsi="仿宋_GB2312" w:cs="仿宋_GB2312" w:eastAsia="仿宋_GB2312"/>
              </w:rPr>
              <w:t>针对本项目提供的文明施工和环境保护措施计划进行综合评审。 措施计划完备齐全、合理、切实可行得6分； 措施计划完备齐全、合理、基本可行得4分； 措施计划有缺漏项，合理性、可行性较差，得2分； 措施计划内容粗略、可行性较差得1分；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根据供应商制定的确保工程质量的组织措施进行综合评审。 措施计划完备齐全、合理、切实可行得6分； 措施计划完备齐全、合理、基本可行得5分； 措施计划基本满足项目需求、合理性、可行性一般得4分； 措施计划有缺漏项，合理性、可行性较差得2分； 措施计划内容粗略、可行性较差，不能保证项目质量得1分；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供应商承诺书</w:t>
            </w:r>
          </w:p>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针对本项目的项目组织管理机构配备进行综合评审。 机构设置合理，人员配备齐全，技术经验丰富得7分； 机构设置合理，人员配备齐全、技术经验有欠缺得6分； 机构设置较合理、人员配备基本满足项目需求、技术经验有欠缺得4分； 机构设置不合理、人员配备不足、技术经验较差得2分； 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施工机械配备和投入计划</w:t>
            </w:r>
          </w:p>
        </w:tc>
        <w:tc>
          <w:tcPr>
            <w:tcW w:type="dxa" w:w="2492"/>
          </w:tcPr>
          <w:p>
            <w:pPr>
              <w:pStyle w:val="null3"/>
            </w:pPr>
            <w:r>
              <w:rPr>
                <w:rFonts w:ascii="仿宋_GB2312" w:hAnsi="仿宋_GB2312" w:cs="仿宋_GB2312" w:eastAsia="仿宋_GB2312"/>
              </w:rPr>
              <w:t>根据供应商针对本项目制定的施工机械设备配备投入计划进行评审： 计划科学合理、合理性及针对性强，完全满足项目要求的得5分；计划稍有欠缺，有一定的可行性，能够满足项目需求的得3分；计划缺失严重，无法保证项目实施的得1分；未提供的得0分。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确保工期的技术及组织安排</w:t>
            </w:r>
          </w:p>
        </w:tc>
        <w:tc>
          <w:tcPr>
            <w:tcW w:type="dxa" w:w="2492"/>
          </w:tcPr>
          <w:p>
            <w:pPr>
              <w:pStyle w:val="null3"/>
            </w:pPr>
            <w:r>
              <w:rPr>
                <w:rFonts w:ascii="仿宋_GB2312" w:hAnsi="仿宋_GB2312" w:cs="仿宋_GB2312" w:eastAsia="仿宋_GB2312"/>
              </w:rPr>
              <w:t>根据供应商确保工期的技术及组 织安排进行评审。 确保工期技术组织措施总体思路清晰、合理、可执行程度强，且能很好推动项目实施得7分； 组织措施思路较清晰、可行性、合理性较强得6分； 组织措施思路较清晰、可行性、合理性一般得4分； 组织措施思路模糊、可行性、合理性一般得2分； 组织措施思路模糊、有缺漏项，不能保证项目工期得1分； 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针对本项目提供可行的、并符合国家相关规范的售后保障工作服务承诺，提供售后团队人员基本信息和相关资格证书，具有详细的服务措施及对维修服务响应时限有明确的承诺。 售后服务承诺完善、团队配备科学合理、响应快速得6分； 售后服务承诺较完善、团队人员配备较合理、响应速度较快得4分； 售后服务承诺简略、团队人员配备较合理、响应速度一般得2分； 售后服务承诺有缺漏项、团队人员配备不齐全、响应速度慢得1分；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2023年6月1日起至今，供应商承担的类似项目业绩。 每提供1份有效业绩得2分，最多得8分； 注：每个业绩须提供合同关键页（包括但不限于合同首页、项目信息页、金额页、双方签字盖章页等内容），未完整提供上述材料或所提供内容模糊不清、或不能体现符合要求的该业绩不得分。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价优先法，即实质性满足磋商文件要求且最终磋商报价最低的为磋商基准价，其价格分为满分30分。其他供应商的价格分按照下列公式计算：磋商报价得分=(磋商基准价/磋商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详见附件：磋商方案</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详见附件：供应商企业关联关系声明函</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