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版本号：【KRDL】K4-260610820260618001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附属学校教学楼装修改造工程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【KRDL】K4-2606108</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附属学校教学楼装修改造工程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【KRDL】K4-2606108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附属学校教学楼装修改造工程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雁塔校区南院附小卫生间及教学楼外立面进行修缮改造。由于原卫生间使用年限较久，墙面、吊顶、照明等设施设备已出现老化破损；教学楼外立面涂层同样因年久老化、风化，产生褪色、起皮现象，影响校园整体观感。为提升附属小学卫生间及外立面整体环境、改善办学条件，本次改造的主要施工内容包括：1-4层卫生间拆除、装饰、给排水及电气改造；5-6层墙砖修补；以及外墙真石漆喷涂等。具体以本项目竞争性磋商文件、工程量清单、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采购包1（附属学校教学楼装修改造工程）：属于专门面向中小企业采购。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3、税收缴纳证明：供应商提供自2025年6月至今已缴纳的至少一个月纳税证明或完税证明，依法免税的单位应提供相关证明材料；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或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“蹲便器”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踏勘时间：2026-06-27 09:00:00</w:t>
            </w:r>
          </w:p>
          <w:p>
            <w:pPr>
              <w:pStyle w:val="null3"/>
              <w:ind w:firstLine="975"/>
            </w:pPr>
            <w:r>
              <w:rPr>
                <w:rFonts w:ascii="仿宋_GB2312" w:hAnsi="仿宋_GB2312" w:cs="仿宋_GB2312" w:eastAsia="仿宋_GB2312"/>
              </w:rPr>
              <w:t>踏勘地点：西安建筑科技大学雁塔校区南院附属中学</w:t>
            </w:r>
          </w:p>
          <w:p>
            <w:pPr>
              <w:pStyle w:val="null3"/>
              <w:ind w:firstLine="975"/>
            </w:pPr>
            <w:r>
              <w:rPr>
                <w:rFonts w:ascii="仿宋_GB2312" w:hAnsi="仿宋_GB2312" w:cs="仿宋_GB2312" w:eastAsia="仿宋_GB2312"/>
              </w:rPr>
              <w:t>联系人：屈延洁</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联系人：代光艳、路坦</w:t>
      </w:r>
    </w:p>
    <w:p>
      <w:pPr>
        <w:pStyle w:val="null3"/>
      </w:pPr>
      <w:r>
        <w:rPr>
          <w:rFonts w:ascii="仿宋_GB2312" w:hAnsi="仿宋_GB2312" w:cs="仿宋_GB2312" w:eastAsia="仿宋_GB2312"/>
        </w:rPr>
        <w:t>联系电话：17320095323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附属学校教学楼装修改造工程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标的名称：附属学校教学楼装修改造工程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color w:val="0000FF"/>
              </w:rPr>
              <w:t>一、项目概况</w:t>
            </w:r>
          </w:p>
          <w:p>
            <w:pPr>
              <w:pStyle w:val="null3"/>
              <w:ind w:firstLine="480"/>
              <w:jc w:val="both"/>
            </w:pPr>
            <w:r>
              <w:rPr>
                <w:rFonts w:ascii="仿宋_GB2312" w:hAnsi="仿宋_GB2312" w:cs="仿宋_GB2312" w:eastAsia="仿宋_GB2312"/>
                <w:sz w:val="24"/>
                <w:color w:val="0000FF"/>
              </w:rPr>
              <w:t>西安建筑科技大学</w:t>
            </w:r>
            <w:r>
              <w:rPr>
                <w:rFonts w:ascii="仿宋_GB2312" w:hAnsi="仿宋_GB2312" w:cs="仿宋_GB2312" w:eastAsia="仿宋_GB2312"/>
                <w:sz w:val="24"/>
                <w:color w:val="0000FF"/>
              </w:rPr>
              <w:t>附属学校教学楼装修改造工程</w:t>
            </w:r>
            <w:r>
              <w:rPr>
                <w:rFonts w:ascii="仿宋_GB2312" w:hAnsi="仿宋_GB2312" w:cs="仿宋_GB2312" w:eastAsia="仿宋_GB2312"/>
                <w:sz w:val="24"/>
                <w:color w:val="0000FF"/>
              </w:rPr>
              <w:t>，本项目拟对雁塔校区南院附小卫生间及教学楼外立面进行修缮改造。由于原卫生间使用年限较久，墙面、吊顶、照明等设施设备已出现老化破损；教学楼外立面涂层同样因年久老化、风化，产生褪色、起皮现象，影响校园整体观感。为提升附属小学卫生间及外立面整体环境、改善办学条件，本次改造的主要施工内容包括：</w:t>
            </w:r>
            <w:r>
              <w:rPr>
                <w:rFonts w:ascii="仿宋_GB2312" w:hAnsi="仿宋_GB2312" w:cs="仿宋_GB2312" w:eastAsia="仿宋_GB2312"/>
                <w:sz w:val="24"/>
                <w:color w:val="0000FF"/>
              </w:rPr>
              <w:t>1-4层卫生间拆除、装饰、给排水及电气改造；5-6层墙砖修补；以及外墙真石漆喷涂等。</w:t>
            </w:r>
          </w:p>
          <w:p>
            <w:pPr>
              <w:pStyle w:val="null3"/>
              <w:ind w:firstLine="482"/>
              <w:jc w:val="both"/>
            </w:pPr>
            <w:r>
              <w:rPr>
                <w:rFonts w:ascii="仿宋_GB2312" w:hAnsi="仿宋_GB2312" w:cs="仿宋_GB2312" w:eastAsia="仿宋_GB2312"/>
                <w:sz w:val="24"/>
                <w:b/>
                <w:color w:val="0000FF"/>
              </w:rPr>
              <w:t>二、</w:t>
            </w:r>
            <w:r>
              <w:rPr>
                <w:rFonts w:ascii="仿宋_GB2312" w:hAnsi="仿宋_GB2312" w:cs="仿宋_GB2312" w:eastAsia="仿宋_GB2312"/>
                <w:sz w:val="24"/>
                <w:b/>
                <w:color w:val="0000FF"/>
              </w:rPr>
              <w:t>工程技术标准及要求</w:t>
            </w:r>
          </w:p>
          <w:p>
            <w:pPr>
              <w:pStyle w:val="null3"/>
              <w:ind w:firstLine="480"/>
              <w:jc w:val="both"/>
            </w:pPr>
            <w:r>
              <w:rPr>
                <w:rFonts w:ascii="仿宋_GB2312" w:hAnsi="仿宋_GB2312" w:cs="仿宋_GB2312" w:eastAsia="仿宋_GB2312"/>
                <w:sz w:val="24"/>
                <w:color w:val="0000FF"/>
              </w:rPr>
              <w:t>1.项目需执行的国家标准、行业标准、地方标准或者其他标准、规范等</w:t>
            </w:r>
            <w:r>
              <w:rPr>
                <w:rFonts w:ascii="仿宋_GB2312" w:hAnsi="仿宋_GB2312" w:cs="仿宋_GB2312" w:eastAsia="仿宋_GB2312"/>
                <w:sz w:val="24"/>
                <w:color w:val="0000FF"/>
              </w:rPr>
              <w:t>：</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序号</w:t>
                  </w:r>
                </w:p>
              </w:tc>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标准、规范、规程名称</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建筑工程施工质量验收统一标准（</w:t>
                  </w:r>
                  <w:r>
                    <w:rPr>
                      <w:rFonts w:ascii="仿宋_GB2312" w:hAnsi="仿宋_GB2312" w:cs="仿宋_GB2312" w:eastAsia="仿宋_GB2312"/>
                      <w:sz w:val="24"/>
                      <w:color w:val="0000FF"/>
                    </w:rPr>
                    <w:t>GB50300-2013）</w:t>
                  </w:r>
                </w:p>
              </w:tc>
            </w:tr>
          </w:tbl>
          <w:p>
            <w:pPr>
              <w:pStyle w:val="null3"/>
              <w:ind w:firstLine="480"/>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本工程其他技术标准及要求执行现行规范和采购人实际需求。</w:t>
            </w:r>
          </w:p>
          <w:p>
            <w:pPr>
              <w:pStyle w:val="null3"/>
              <w:ind w:firstLine="480"/>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color w:val="0000FF"/>
              </w:rPr>
              <w:t>5.</w:t>
            </w:r>
            <w:r>
              <w:rPr>
                <w:rFonts w:ascii="仿宋_GB2312" w:hAnsi="仿宋_GB2312" w:cs="仿宋_GB2312" w:eastAsia="仿宋_GB2312"/>
                <w:sz w:val="24"/>
                <w:color w:val="0000FF"/>
              </w:rPr>
              <w:t>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color w:val="0000FF"/>
              </w:rPr>
              <w:t>6.</w:t>
            </w:r>
            <w:r>
              <w:rPr>
                <w:rFonts w:ascii="仿宋_GB2312" w:hAnsi="仿宋_GB2312" w:cs="仿宋_GB2312" w:eastAsia="仿宋_GB2312"/>
                <w:sz w:val="24"/>
                <w:color w:val="0000FF"/>
              </w:rPr>
              <w:t>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color w:val="0000FF"/>
              </w:rPr>
              <w:t>7.</w:t>
            </w:r>
            <w:r>
              <w:rPr>
                <w:rFonts w:ascii="仿宋_GB2312" w:hAnsi="仿宋_GB2312" w:cs="仿宋_GB2312" w:eastAsia="仿宋_GB2312"/>
                <w:sz w:val="24"/>
                <w:color w:val="0000FF"/>
              </w:rPr>
              <w:t>供应商取得验收手续后，及时通知采购人验收，并按采购人的要求提交竣工验收申请报告及竣工资料，采购人应及时组织验收，并在验收后</w:t>
            </w:r>
            <w:r>
              <w:rPr>
                <w:rFonts w:ascii="仿宋_GB2312" w:hAnsi="仿宋_GB2312" w:cs="仿宋_GB2312" w:eastAsia="仿宋_GB2312"/>
                <w:sz w:val="24"/>
                <w:color w:val="0000FF"/>
              </w:rPr>
              <w:t>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color w:val="0000FF"/>
              </w:rPr>
              <w:t>8.</w:t>
            </w:r>
            <w:r>
              <w:rPr>
                <w:rFonts w:ascii="仿宋_GB2312" w:hAnsi="仿宋_GB2312" w:cs="仿宋_GB2312" w:eastAsia="仿宋_GB2312"/>
                <w:sz w:val="24"/>
                <w:color w:val="0000FF"/>
              </w:rPr>
              <w:t>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color w:val="0000FF"/>
              </w:rPr>
              <w:t>9.</w:t>
            </w:r>
            <w:r>
              <w:rPr>
                <w:rFonts w:ascii="仿宋_GB2312" w:hAnsi="仿宋_GB2312" w:cs="仿宋_GB2312" w:eastAsia="仿宋_GB2312"/>
                <w:sz w:val="24"/>
                <w:color w:val="0000FF"/>
              </w:rPr>
              <w:t>成交供应商必须自行施工，不得转包、分包。</w:t>
            </w:r>
          </w:p>
          <w:p>
            <w:pPr>
              <w:pStyle w:val="null3"/>
              <w:ind w:firstLine="480"/>
              <w:jc w:val="both"/>
            </w:pPr>
            <w:r>
              <w:rPr>
                <w:rFonts w:ascii="仿宋_GB2312" w:hAnsi="仿宋_GB2312" w:cs="仿宋_GB2312" w:eastAsia="仿宋_GB2312"/>
                <w:sz w:val="24"/>
                <w:color w:val="0000FF"/>
              </w:rPr>
              <w:t>10.</w:t>
            </w:r>
            <w:r>
              <w:rPr>
                <w:rFonts w:ascii="仿宋_GB2312" w:hAnsi="仿宋_GB2312" w:cs="仿宋_GB2312" w:eastAsia="仿宋_GB2312"/>
                <w:sz w:val="24"/>
                <w:color w:val="0000FF"/>
              </w:rPr>
              <w:t>成交供应商在施工过程中不得影响学校的日常生活、工作秩序。</w:t>
            </w:r>
          </w:p>
          <w:p>
            <w:pPr>
              <w:pStyle w:val="null3"/>
              <w:ind w:firstLine="480"/>
              <w:jc w:val="both"/>
            </w:pPr>
            <w:r>
              <w:rPr>
                <w:rFonts w:ascii="仿宋_GB2312" w:hAnsi="仿宋_GB2312" w:cs="仿宋_GB2312" w:eastAsia="仿宋_GB2312"/>
                <w:sz w:val="24"/>
                <w:color w:val="0000FF"/>
              </w:rPr>
              <w:t>11.</w:t>
            </w:r>
            <w:r>
              <w:rPr>
                <w:rFonts w:ascii="仿宋_GB2312" w:hAnsi="仿宋_GB2312" w:cs="仿宋_GB2312" w:eastAsia="仿宋_GB2312"/>
                <w:sz w:val="24"/>
                <w:color w:val="0000FF"/>
              </w:rPr>
              <w:t>现场垃圾清运、治污减霾工作由成交供应商全权负责，供应商应负责做好项目的扬尘防治工作及垃圾清运工作</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三、</w:t>
            </w:r>
            <w:r>
              <w:rPr>
                <w:rFonts w:ascii="仿宋_GB2312" w:hAnsi="仿宋_GB2312" w:cs="仿宋_GB2312" w:eastAsia="仿宋_GB2312"/>
                <w:sz w:val="24"/>
                <w:b/>
                <w:color w:val="0000FF"/>
              </w:rPr>
              <w:t>工程量清单</w:t>
            </w:r>
          </w:p>
          <w:tbl>
            <w:tblPr>
              <w:tblBorders>
                <w:top w:val="none" w:color="000000" w:sz="4"/>
                <w:left w:val="none" w:color="000000" w:sz="4"/>
                <w:bottom w:val="none" w:color="000000" w:sz="4"/>
                <w:right w:val="none" w:color="000000" w:sz="4"/>
                <w:insideH w:val="none"/>
                <w:insideV w:val="none"/>
              </w:tblBorders>
            </w:tblPr>
            <w:tblGrid>
              <w:gridCol w:w="237"/>
              <w:gridCol w:w="553"/>
              <w:gridCol w:w="1189"/>
              <w:gridCol w:w="251"/>
              <w:gridCol w:w="311"/>
            </w:tblGrid>
            <w:tr>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序号</w:t>
                  </w:r>
                </w:p>
              </w:tc>
              <w:tc>
                <w:tcPr>
                  <w:tcW w:type="dxa" w:w="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项目名称</w:t>
                  </w:r>
                </w:p>
              </w:tc>
              <w:tc>
                <w:tcPr>
                  <w:tcW w:type="dxa" w:w="1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项目特征</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单位</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数量</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（一）</w:t>
                  </w:r>
                </w:p>
              </w:tc>
              <w:tc>
                <w:tcPr>
                  <w:tcW w:type="dxa" w:w="230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1-4 层卫生间拆除</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地面拆除</w:t>
                  </w:r>
                </w:p>
              </w:tc>
              <w:tc>
                <w:tcPr>
                  <w:tcW w:type="dxa" w:w="1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原有卫生间地面拆除，垃圾清理下楼</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225</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墙面拆除</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原有卫生间墙砖拆除，垃圾清理下楼</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609.2</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顶面拆除</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原有卫生间吊顶拆除，垃圾清理下楼</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225</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卫生间隔断拆除</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蹲便隔断拆除，垃圾清理下楼</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233.28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蹲便拆除</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拆除原有蹲便及管道</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小便池拆除</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原有小便池拆除，垃圾清理下楼</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清洗池拆除</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原有清洗池拆除，垃圾清理下楼</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人造石洗手池台面拆除</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原有洗手台拆除，垃圾清理下楼</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9</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垃圾清运</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垃圾外运处置</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m³</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75</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（二）</w:t>
                  </w:r>
                </w:p>
              </w:tc>
              <w:tc>
                <w:tcPr>
                  <w:tcW w:type="dxa" w:w="230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1-4 层卫生间装饰</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包管道</w:t>
                  </w:r>
                </w:p>
              </w:tc>
              <w:tc>
                <w:tcPr>
                  <w:tcW w:type="dxa" w:w="1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成品</w:t>
                  </w:r>
                  <w:r>
                    <w:rPr>
                      <w:rFonts w:ascii="仿宋_GB2312" w:hAnsi="仿宋_GB2312" w:cs="仿宋_GB2312" w:eastAsia="仿宋_GB2312"/>
                      <w:sz w:val="24"/>
                      <w:color w:val="0000FF"/>
                    </w:rPr>
                    <w:t>PVC 包管道，PVC 厚 8mm，轻钢龙骨+检修口</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根</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墙面抹灰</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砂浆抹灰</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630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地面防水</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地面防水，聚氨酯防水二遍，墙面上翻</w:t>
                  </w:r>
                  <w:r>
                    <w:rPr>
                      <w:rFonts w:ascii="仿宋_GB2312" w:hAnsi="仿宋_GB2312" w:cs="仿宋_GB2312" w:eastAsia="仿宋_GB2312"/>
                      <w:sz w:val="24"/>
                      <w:color w:val="0000FF"/>
                    </w:rPr>
                    <w:t>300mm，小便池位置及四周聚合物防水砂浆上翻 1500mm，做 24小时闭水试验。</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291</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地面垫层及防水保护层</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100 厚 C15 混凝土垫层，20mm 厚水泥砂浆保护层</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298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砌墩台</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红砖砖砌墩台，陶粒回填</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蹲位</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新砌小便池</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红砖砌小便池</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清洗池砌筑</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清洗池砌筑，贴瓷砖</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地面砖</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600*600 地砖，基层清理，弹线排版，1:3 水泥砂浆垫层，成品地砖铺贴，美缝</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225</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9</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墙面砖</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300*600 墙砖刷专用背涂胶，成品专用粘合剂铺贴，美缝</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609.2</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铝扣板吊顶</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边角铝收边条安装，吊顶骨架安装</w:t>
                  </w:r>
                  <w:r>
                    <w:rPr>
                      <w:rFonts w:ascii="仿宋_GB2312" w:hAnsi="仿宋_GB2312" w:cs="仿宋_GB2312" w:eastAsia="仿宋_GB2312"/>
                      <w:sz w:val="24"/>
                      <w:color w:val="0000FF"/>
                    </w:rPr>
                    <w:t>300*300 铝扣板</w:t>
                  </w:r>
                </w:p>
                <w:p>
                  <w:pPr>
                    <w:pStyle w:val="null3"/>
                    <w:jc w:val="both"/>
                  </w:pPr>
                  <w:r>
                    <w:rPr>
                      <w:rFonts w:ascii="仿宋_GB2312" w:hAnsi="仿宋_GB2312" w:cs="仿宋_GB2312" w:eastAsia="仿宋_GB2312"/>
                      <w:sz w:val="24"/>
                      <w:color w:val="0000FF"/>
                    </w:rPr>
                    <w:t>吊顶安装</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225</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人造石洗手台</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白色人造石洗手台成品加工安装，包含基础</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镜面玻璃</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原有镜子利旧，拆除及安装</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24</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13</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卫生间隔断</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12mm 厚抗倍特板蹲便隔断加包边+304 不锈钢五金。</w:t>
                  </w:r>
                </w:p>
                <w:p>
                  <w:pPr>
                    <w:pStyle w:val="null3"/>
                    <w:jc w:val="both"/>
                  </w:pPr>
                  <w:r>
                    <w:rPr>
                      <w:rFonts w:ascii="仿宋_GB2312" w:hAnsi="仿宋_GB2312" w:cs="仿宋_GB2312" w:eastAsia="仿宋_GB2312"/>
                      <w:sz w:val="24"/>
                      <w:color w:val="0000FF"/>
                    </w:rPr>
                    <w:t>密度</w:t>
                  </w:r>
                  <w:r>
                    <w:rPr>
                      <w:rFonts w:ascii="仿宋_GB2312" w:hAnsi="仿宋_GB2312" w:cs="仿宋_GB2312" w:eastAsia="仿宋_GB2312"/>
                      <w:sz w:val="24"/>
                      <w:color w:val="0000FF"/>
                    </w:rPr>
                    <w:t>1.45+、厚度 12mm、吸水率 0.1%以下、抗弯85MPa+、甲醛 ENF 级、耐磨 4000 转+、阻燃 B1</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233.28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（三）</w:t>
                  </w:r>
                </w:p>
              </w:tc>
              <w:tc>
                <w:tcPr>
                  <w:tcW w:type="dxa" w:w="230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1-4 层卫生间给排水</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给水管</w:t>
                  </w:r>
                </w:p>
              </w:tc>
              <w:tc>
                <w:tcPr>
                  <w:tcW w:type="dxa" w:w="1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PP-R 管，DN32</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给水管</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PP-R 管，DN25</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给水管</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PP-R 管，DN15</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64</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剔沟槽</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墙面剔槽</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192</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排水管</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UPVC 塑料排水管，DN100</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162</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排水管</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UPVC 塑料排水管，DN50</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地面清扫口</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地面</w:t>
                  </w:r>
                  <w:r>
                    <w:rPr>
                      <w:rFonts w:ascii="仿宋_GB2312" w:hAnsi="仿宋_GB2312" w:cs="仿宋_GB2312" w:eastAsia="仿宋_GB2312"/>
                      <w:sz w:val="24"/>
                      <w:color w:val="0000FF"/>
                    </w:rPr>
                    <w:t>DN100 清扫口</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32</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洗手盆</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洗手盆采购安装，龙头利旧</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24</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9</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蹲便器</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蹲便器及感应器更换安装</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套</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小便感应器</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感应器安装</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套</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清洗池龙头</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龙头利旧，安装</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套</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（四）</w:t>
                  </w:r>
                </w:p>
              </w:tc>
              <w:tc>
                <w:tcPr>
                  <w:tcW w:type="dxa" w:w="230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1-4 层电气</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配管</w:t>
                  </w:r>
                </w:p>
              </w:tc>
              <w:tc>
                <w:tcPr>
                  <w:tcW w:type="dxa" w:w="1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JGD20</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216</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配线</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WDZ-BYJ2.5</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712.8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剔沟槽</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墙面剔槽</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45</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灯具安装</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300*300 平板灯</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套</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116</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开关</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三联开关</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排气扇</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换气扇安装</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台</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16</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监控安装</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利旧</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（五）</w:t>
                  </w:r>
                </w:p>
              </w:tc>
              <w:tc>
                <w:tcPr>
                  <w:tcW w:type="dxa" w:w="230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5-6 层墙砖修补</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破损墙砖修补</w:t>
                  </w:r>
                </w:p>
              </w:tc>
              <w:tc>
                <w:tcPr>
                  <w:tcW w:type="dxa" w:w="1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墙面破损墙砖拆除，原空鼓砂浆拆除，水泥砂浆粉刷找平，瓷砖刷背涂胶铺贴更换，勾缝</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垃圾清运</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垃圾外运处置</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m³</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（六）</w:t>
                  </w:r>
                </w:p>
              </w:tc>
              <w:tc>
                <w:tcPr>
                  <w:tcW w:type="dxa" w:w="2304"/>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外立面</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外墙真石漆（东立面）</w:t>
                  </w:r>
                </w:p>
              </w:tc>
              <w:tc>
                <w:tcPr>
                  <w:tcW w:type="dxa" w:w="1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外墙冲洗</w:t>
                  </w:r>
                  <w:r>
                    <w:rPr>
                      <w:rFonts w:ascii="仿宋_GB2312" w:hAnsi="仿宋_GB2312" w:cs="仿宋_GB2312" w:eastAsia="仿宋_GB2312"/>
                      <w:sz w:val="24"/>
                      <w:color w:val="0000FF"/>
                    </w:rPr>
                    <w:t>+2 遍外墙耐水腻子+抗碱底漆+喷真石漆 2遍</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338.91</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外墙真石漆（西立面）</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外墙冲洗</w:t>
                  </w:r>
                  <w:r>
                    <w:rPr>
                      <w:rFonts w:ascii="仿宋_GB2312" w:hAnsi="仿宋_GB2312" w:cs="仿宋_GB2312" w:eastAsia="仿宋_GB2312"/>
                      <w:sz w:val="24"/>
                      <w:color w:val="0000FF"/>
                    </w:rPr>
                    <w:t>+2 遍外墙耐水腻子+抗碱底漆+喷真石漆 2遍</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444.7</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外墙真石漆（南立面）</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外墙冲洗</w:t>
                  </w:r>
                  <w:r>
                    <w:rPr>
                      <w:rFonts w:ascii="仿宋_GB2312" w:hAnsi="仿宋_GB2312" w:cs="仿宋_GB2312" w:eastAsia="仿宋_GB2312"/>
                      <w:sz w:val="24"/>
                      <w:color w:val="0000FF"/>
                    </w:rPr>
                    <w:t>+2 遍外墙耐水腻子+抗碱底漆+喷真石漆 2遍</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2058.03</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外墙真石漆（北立面）</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外墙冲洗</w:t>
                  </w:r>
                  <w:r>
                    <w:rPr>
                      <w:rFonts w:ascii="仿宋_GB2312" w:hAnsi="仿宋_GB2312" w:cs="仿宋_GB2312" w:eastAsia="仿宋_GB2312"/>
                      <w:sz w:val="24"/>
                      <w:color w:val="0000FF"/>
                    </w:rPr>
                    <w:t>+2 遍外墙耐水腻子+抗碱底漆+喷真石漆 2遍</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2593.2</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外墙空鼓修补及造型柱修补</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外墙空鼓处铲除挂网刮抗裂外墙腻子</w:t>
                  </w:r>
                  <w:r>
                    <w:rPr>
                      <w:rFonts w:ascii="仿宋_GB2312" w:hAnsi="仿宋_GB2312" w:cs="仿宋_GB2312" w:eastAsia="仿宋_GB2312"/>
                      <w:sz w:val="24"/>
                      <w:color w:val="0000FF"/>
                    </w:rPr>
                    <w:t>2 遍，开裂水泥板更换，挂网、砂浆抹平、刮抗裂外墙腻子 2 遍</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吊篮</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吊篮租赁费（按一个月计入）</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台</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屋面地面保护费</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屋面原有塑胶地面彩条布保护，地面二次黑竹胶板保护，安装吊篮处层竹胶板保护</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2000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屋面防护网拆除及恢复</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利旧恢复</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m</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200</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9</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空调外机钢网加固、安装插销</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空调外机钢网加固、打磨刷漆，安装插销</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个</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58</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外立面窗户成品保护费</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外立面真石漆施工时，窗户采用保护膜保护</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一楼室外花箱挪移及复位费用</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花箱挪移，施工完成后恢复至原位置</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北外墙树枝修剪</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北外墙树枝修剪（</w:t>
                  </w:r>
                  <w:r>
                    <w:rPr>
                      <w:rFonts w:ascii="仿宋_GB2312" w:hAnsi="仿宋_GB2312" w:cs="仿宋_GB2312" w:eastAsia="仿宋_GB2312"/>
                      <w:sz w:val="24"/>
                      <w:color w:val="0000FF"/>
                    </w:rPr>
                    <w:t>28 米专用曲臂车）</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13</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南侧操场塑胶地面保护</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南外墙地面黑竹胶板成品保护塑胶地面</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项</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r>
            <w:tr>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（六）</w:t>
                  </w: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暂列金</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b/>
                      <w:color w:val="0000FF"/>
                    </w:rPr>
                    <w:t>65000.00元</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项</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1</w:t>
                  </w:r>
                </w:p>
              </w:tc>
            </w:tr>
          </w:tbl>
          <w:p>
            <w:pPr>
              <w:pStyle w:val="null3"/>
              <w:ind w:firstLine="482"/>
              <w:jc w:val="both"/>
            </w:pPr>
            <w:r>
              <w:rPr>
                <w:rFonts w:ascii="仿宋_GB2312" w:hAnsi="仿宋_GB2312" w:cs="仿宋_GB2312" w:eastAsia="仿宋_GB2312"/>
                <w:sz w:val="24"/>
                <w:b/>
                <w:color w:val="0000FF"/>
              </w:rPr>
              <w:t>四、</w:t>
            </w:r>
            <w:r>
              <w:rPr>
                <w:rFonts w:ascii="仿宋_GB2312" w:hAnsi="仿宋_GB2312" w:cs="仿宋_GB2312" w:eastAsia="仿宋_GB2312"/>
                <w:sz w:val="24"/>
                <w:b/>
                <w:color w:val="0000FF"/>
              </w:rPr>
              <w:t>图纸：另册提供，详见附件</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五、</w:t>
            </w:r>
            <w:r>
              <w:rPr>
                <w:rFonts w:ascii="仿宋_GB2312" w:hAnsi="仿宋_GB2312" w:cs="仿宋_GB2312" w:eastAsia="仿宋_GB2312"/>
                <w:sz w:val="24"/>
                <w:b/>
                <w:color w:val="0000FF"/>
              </w:rPr>
              <w:t>主要材料技术参数要求</w:t>
            </w:r>
          </w:p>
          <w:tbl>
            <w:tblPr>
              <w:tblBorders>
                <w:top w:val="none" w:color="000000" w:sz="4"/>
                <w:left w:val="none" w:color="000000" w:sz="4"/>
                <w:bottom w:val="none" w:color="000000" w:sz="4"/>
                <w:right w:val="none" w:color="000000" w:sz="4"/>
                <w:insideH w:val="none"/>
                <w:insideV w:val="none"/>
              </w:tblBorders>
            </w:tblPr>
            <w:tblGrid>
              <w:gridCol w:w="180"/>
              <w:gridCol w:w="248"/>
              <w:gridCol w:w="302"/>
              <w:gridCol w:w="1811"/>
            </w:tblGrid>
            <w:tr>
              <w:tc>
                <w:tcPr>
                  <w:tcW w:type="dxa" w:w="1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序号</w:t>
                  </w:r>
                </w:p>
              </w:tc>
              <w:tc>
                <w:tcPr>
                  <w:tcW w:type="dxa" w:w="2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类别</w:t>
                  </w:r>
                </w:p>
              </w:tc>
              <w:tc>
                <w:tcPr>
                  <w:tcW w:type="dxa" w:w="3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材料名称</w:t>
                  </w:r>
                </w:p>
              </w:tc>
              <w:tc>
                <w:tcPr>
                  <w:tcW w:type="dxa" w:w="18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参数、标准、要求</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24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装饰</w:t>
                  </w:r>
                </w:p>
                <w:p>
                  <w:pPr>
                    <w:pStyle w:val="null3"/>
                    <w:jc w:val="center"/>
                  </w:pPr>
                  <w:r>
                    <w:rPr>
                      <w:rFonts w:ascii="仿宋_GB2312" w:hAnsi="仿宋_GB2312" w:cs="仿宋_GB2312" w:eastAsia="仿宋_GB2312"/>
                      <w:sz w:val="24"/>
                      <w:b/>
                      <w:color w:val="0000FF"/>
                    </w:rPr>
                    <w:t>装修</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乳胶漆</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乳胶漆挥发性有机化合物含量（</w:t>
                  </w:r>
                  <w:r>
                    <w:rPr>
                      <w:rFonts w:ascii="仿宋_GB2312" w:hAnsi="仿宋_GB2312" w:cs="仿宋_GB2312" w:eastAsia="仿宋_GB2312"/>
                      <w:sz w:val="24"/>
                      <w:color w:val="0000FF"/>
                    </w:rPr>
                    <w:t>60°光泽≤10）≤50g/L</w:t>
                  </w:r>
                </w:p>
                <w:p>
                  <w:pPr>
                    <w:pStyle w:val="null3"/>
                    <w:jc w:val="both"/>
                  </w:pPr>
                  <w:r>
                    <w:rPr>
                      <w:rFonts w:ascii="仿宋_GB2312" w:hAnsi="仿宋_GB2312" w:cs="仿宋_GB2312" w:eastAsia="仿宋_GB2312"/>
                      <w:sz w:val="24"/>
                      <w:color w:val="0000FF"/>
                    </w:rPr>
                    <w:t>乳胶漆挥发性有机化合物含量（</w:t>
                  </w:r>
                  <w:r>
                    <w:rPr>
                      <w:rFonts w:ascii="仿宋_GB2312" w:hAnsi="仿宋_GB2312" w:cs="仿宋_GB2312" w:eastAsia="仿宋_GB2312"/>
                      <w:sz w:val="24"/>
                      <w:color w:val="0000FF"/>
                    </w:rPr>
                    <w:t>60°光泽＞10）≤80g/L</w:t>
                  </w:r>
                </w:p>
                <w:p>
                  <w:pPr>
                    <w:pStyle w:val="null3"/>
                    <w:jc w:val="both"/>
                  </w:pPr>
                  <w:r>
                    <w:rPr>
                      <w:rFonts w:ascii="仿宋_GB2312" w:hAnsi="仿宋_GB2312" w:cs="仿宋_GB2312" w:eastAsia="仿宋_GB2312"/>
                      <w:sz w:val="24"/>
                      <w:color w:val="0000FF"/>
                    </w:rPr>
                    <w:t>乳胶漆甲醛含量（乙酰丙酮法）</w:t>
                  </w:r>
                  <w:r>
                    <w:rPr>
                      <w:rFonts w:ascii="仿宋_GB2312" w:hAnsi="仿宋_GB2312" w:cs="仿宋_GB2312" w:eastAsia="仿宋_GB2312"/>
                      <w:sz w:val="24"/>
                      <w:color w:val="0000FF"/>
                    </w:rPr>
                    <w:t>≤30mg/kg</w:t>
                  </w:r>
                </w:p>
                <w:p>
                  <w:pPr>
                    <w:pStyle w:val="null3"/>
                    <w:jc w:val="both"/>
                  </w:pPr>
                  <w:r>
                    <w:rPr>
                      <w:rFonts w:ascii="仿宋_GB2312" w:hAnsi="仿宋_GB2312" w:cs="仿宋_GB2312" w:eastAsia="仿宋_GB2312"/>
                      <w:sz w:val="24"/>
                      <w:color w:val="0000FF"/>
                    </w:rPr>
                    <w:t>乳胶漆苯、甲苯、乙苯、二甲苯总和</w:t>
                  </w:r>
                  <w:r>
                    <w:rPr>
                      <w:rFonts w:ascii="仿宋_GB2312" w:hAnsi="仿宋_GB2312" w:cs="仿宋_GB2312" w:eastAsia="仿宋_GB2312"/>
                      <w:sz w:val="24"/>
                      <w:color w:val="0000FF"/>
                    </w:rPr>
                    <w:t>≤80mg/kg</w:t>
                  </w:r>
                </w:p>
                <w:p>
                  <w:pPr>
                    <w:pStyle w:val="null3"/>
                    <w:jc w:val="both"/>
                  </w:pPr>
                  <w:r>
                    <w:rPr>
                      <w:rFonts w:ascii="仿宋_GB2312" w:hAnsi="仿宋_GB2312" w:cs="仿宋_GB2312" w:eastAsia="仿宋_GB2312"/>
                      <w:sz w:val="24"/>
                      <w:color w:val="0000FF"/>
                    </w:rPr>
                    <w:t>耐洗刷性：</w:t>
                  </w:r>
                  <w:r>
                    <w:rPr>
                      <w:rFonts w:ascii="仿宋_GB2312" w:hAnsi="仿宋_GB2312" w:cs="仿宋_GB2312" w:eastAsia="仿宋_GB2312"/>
                      <w:sz w:val="24"/>
                      <w:color w:val="0000FF"/>
                    </w:rPr>
                    <w:t>≥ 6000 次</w:t>
                  </w:r>
                </w:p>
                <w:p>
                  <w:pPr>
                    <w:pStyle w:val="null3"/>
                    <w:jc w:val="both"/>
                  </w:pPr>
                  <w:r>
                    <w:rPr>
                      <w:rFonts w:ascii="仿宋_GB2312" w:hAnsi="仿宋_GB2312" w:cs="仿宋_GB2312" w:eastAsia="仿宋_GB2312"/>
                      <w:sz w:val="24"/>
                      <w:color w:val="0000FF"/>
                    </w:rPr>
                    <w:t>非工程款竹炭净味漆，甲醛净化效率</w:t>
                  </w:r>
                  <w:r>
                    <w:rPr>
                      <w:rFonts w:ascii="仿宋_GB2312" w:hAnsi="仿宋_GB2312" w:cs="仿宋_GB2312" w:eastAsia="仿宋_GB2312"/>
                      <w:sz w:val="24"/>
                      <w:color w:val="0000FF"/>
                    </w:rPr>
                    <w:t>≥80%，竹炭颗粒细度≤50纳米，VOC≤10g/L，符合GB18582-2020标准，未添加香精、溶剂，游离甲醛≤5mg/kg，通过CNAS认证，节能环保产品，符合本项目工程量清单、施工图纸相关要求，符合国家相关标准、规范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墙地瓷砖</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通过</w:t>
                  </w:r>
                  <w:r>
                    <w:rPr>
                      <w:rFonts w:ascii="仿宋_GB2312" w:hAnsi="仿宋_GB2312" w:cs="仿宋_GB2312" w:eastAsia="仿宋_GB2312"/>
                      <w:sz w:val="24"/>
                      <w:color w:val="0000FF"/>
                    </w:rPr>
                    <w:t>3C认证，执行标准GB/T4100-2015附录G，干压陶瓷E≤0.5%BIa类M，吸水率≤0.5%，摩擦系数≥0.5，符合GB6566-2010建筑材料放射性核素限量中放射性水平A类。产品内照射指数IRa≤0.9，外照射指数Ir≤1.2，耐污染性≥3级，节能环保产品，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人造石</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20、18mm厚，防水、防渗、防霉，抗压≥160MPa，抗冲击≥15kg/Ⅳ ,弯曲强度≥40MPa，耐磨≤0.02g/cm2，抗菌率≥99%，耐温差-20℃</w:t>
                  </w:r>
                  <w:r>
                    <w:rPr>
                      <w:rFonts w:ascii="仿宋_GB2312" w:hAnsi="仿宋_GB2312" w:cs="仿宋_GB2312" w:eastAsia="仿宋_GB2312"/>
                      <w:sz w:val="24"/>
                      <w:color w:val="0000FF"/>
                    </w:rPr>
                    <w:t>—</w:t>
                  </w:r>
                  <w:r>
                    <w:rPr>
                      <w:rFonts w:ascii="仿宋_GB2312" w:hAnsi="仿宋_GB2312" w:cs="仿宋_GB2312" w:eastAsia="仿宋_GB2312"/>
                      <w:sz w:val="24"/>
                      <w:color w:val="0000FF"/>
                    </w:rPr>
                    <w:t>120℃,耐酸碱10%盐酸，耐污≥4级，甲醛符合GB18580-2017，E0级≤0.05mg/m³,VOC含量≤100g/L，放射性核素内照≤1.0外照≤1.3，符合国家相关标准、规范，满足设计需求</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真石漆</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理论涂布率：</w:t>
                  </w:r>
                  <w:r>
                    <w:rPr>
                      <w:rFonts w:ascii="仿宋_GB2312" w:hAnsi="仿宋_GB2312" w:cs="仿宋_GB2312" w:eastAsia="仿宋_GB2312"/>
                      <w:sz w:val="24"/>
                      <w:color w:val="0000FF"/>
                    </w:rPr>
                    <w:t>0.3-0.4平方米/千克，表干＜2小时，实干＜48小时，不含铅和汞，25摄氏度对湿度75%，符合本项目工程量清单、施工图纸相关要求和国家相关标准、规范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轻钢龙骨</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节能环保产品，符合本项目工程量清单、施工图纸相关要求，符合国家相关标准、规范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铝扣板</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1.2mm厚，节能环保产品，符合本项目工程量清单、施工图纸相关要求，符合国家相关标准、规范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玻璃胶</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单位产品总挥发性有机物（</w:t>
                  </w:r>
                  <w:r>
                    <w:rPr>
                      <w:rFonts w:ascii="仿宋_GB2312" w:hAnsi="仿宋_GB2312" w:cs="仿宋_GB2312" w:eastAsia="仿宋_GB2312"/>
                      <w:sz w:val="24"/>
                      <w:color w:val="0000FF"/>
                    </w:rPr>
                    <w:t>TVOC）含量≤80g/kg</w:t>
                  </w:r>
                </w:p>
                <w:p>
                  <w:pPr>
                    <w:pStyle w:val="null3"/>
                    <w:jc w:val="both"/>
                  </w:pPr>
                  <w:r>
                    <w:rPr>
                      <w:rFonts w:ascii="仿宋_GB2312" w:hAnsi="仿宋_GB2312" w:cs="仿宋_GB2312" w:eastAsia="仿宋_GB2312"/>
                      <w:sz w:val="24"/>
                      <w:color w:val="0000FF"/>
                    </w:rPr>
                    <w:t>烷烃增塑剂（红外光谱）不得检出</w:t>
                  </w:r>
                </w:p>
                <w:p>
                  <w:pPr>
                    <w:pStyle w:val="null3"/>
                    <w:jc w:val="both"/>
                  </w:pPr>
                  <w:r>
                    <w:rPr>
                      <w:rFonts w:ascii="仿宋_GB2312" w:hAnsi="仿宋_GB2312" w:cs="仿宋_GB2312" w:eastAsia="仿宋_GB2312"/>
                      <w:sz w:val="24"/>
                      <w:color w:val="0000FF"/>
                    </w:rPr>
                    <w:t>密封胶分级达到</w:t>
                  </w:r>
                  <w:r>
                    <w:rPr>
                      <w:rFonts w:ascii="仿宋_GB2312" w:hAnsi="仿宋_GB2312" w:cs="仿宋_GB2312" w:eastAsia="仿宋_GB2312"/>
                      <w:sz w:val="24"/>
                      <w:color w:val="0000FF"/>
                    </w:rPr>
                    <w:t>20HM、25HM、20LM</w:t>
                  </w:r>
                </w:p>
                <w:p>
                  <w:pPr>
                    <w:pStyle w:val="null3"/>
                    <w:jc w:val="both"/>
                  </w:pPr>
                  <w:r>
                    <w:rPr>
                      <w:rFonts w:ascii="仿宋_GB2312" w:hAnsi="仿宋_GB2312" w:cs="仿宋_GB2312" w:eastAsia="仿宋_GB2312"/>
                      <w:sz w:val="24"/>
                      <w:color w:val="0000FF"/>
                    </w:rPr>
                    <w:t>符合《胶粘剂中有害物质限量》</w:t>
                  </w:r>
                  <w:r>
                    <w:rPr>
                      <w:rFonts w:ascii="仿宋_GB2312" w:hAnsi="仿宋_GB2312" w:cs="仿宋_GB2312" w:eastAsia="仿宋_GB2312"/>
                      <w:sz w:val="24"/>
                      <w:color w:val="0000FF"/>
                    </w:rPr>
                    <w:t>GB 18583-2008</w:t>
                  </w:r>
                </w:p>
              </w:tc>
            </w:tr>
            <w:tr>
              <w:tc>
                <w:tcPr>
                  <w:tcW w:type="dxa" w:w="18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8</w:t>
                  </w:r>
                </w:p>
              </w:tc>
              <w:tc>
                <w:tcPr>
                  <w:tcW w:type="dxa" w:w="248"/>
                  <w:vMerge/>
                  <w:tcBorders>
                    <w:top w:val="none" w:color="000000" w:sz="4"/>
                    <w:left w:val="single" w:color="000000" w:sz="4"/>
                    <w:bottom w:val="single" w:color="000000" w:sz="4"/>
                    <w:right w:val="single" w:color="000000" w:sz="4"/>
                  </w:tcBorders>
                </w:tcPr>
                <w:p/>
              </w:tc>
              <w:tc>
                <w:tcPr>
                  <w:tcW w:type="dxa" w:w="30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结构胶</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单位产品总挥发性有机物（</w:t>
                  </w:r>
                  <w:r>
                    <w:rPr>
                      <w:rFonts w:ascii="仿宋_GB2312" w:hAnsi="仿宋_GB2312" w:cs="仿宋_GB2312" w:eastAsia="仿宋_GB2312"/>
                      <w:sz w:val="24"/>
                      <w:color w:val="0000FF"/>
                    </w:rPr>
                    <w:t>TVOC）含量≤80g/kg</w:t>
                  </w:r>
                </w:p>
                <w:p>
                  <w:pPr>
                    <w:pStyle w:val="null3"/>
                    <w:jc w:val="both"/>
                  </w:pPr>
                  <w:r>
                    <w:rPr>
                      <w:rFonts w:ascii="仿宋_GB2312" w:hAnsi="仿宋_GB2312" w:cs="仿宋_GB2312" w:eastAsia="仿宋_GB2312"/>
                      <w:sz w:val="24"/>
                      <w:color w:val="0000FF"/>
                    </w:rPr>
                    <w:t>烷烃增塑剂（红外光谱）不得检出</w:t>
                  </w:r>
                </w:p>
              </w:tc>
            </w:tr>
            <w:tr>
              <w:tc>
                <w:tcPr>
                  <w:tcW w:type="dxa" w:w="180"/>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302"/>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23℃拉伸粘结强度标准值≥0.6MPa</w:t>
                  </w:r>
                </w:p>
                <w:p>
                  <w:pPr>
                    <w:pStyle w:val="null3"/>
                    <w:jc w:val="both"/>
                  </w:pPr>
                  <w:r>
                    <w:rPr>
                      <w:rFonts w:ascii="仿宋_GB2312" w:hAnsi="仿宋_GB2312" w:cs="仿宋_GB2312" w:eastAsia="仿宋_GB2312"/>
                      <w:sz w:val="24"/>
                      <w:color w:val="0000FF"/>
                    </w:rPr>
                    <w:t>粘结破坏面积</w:t>
                  </w:r>
                  <w:r>
                    <w:rPr>
                      <w:rFonts w:ascii="仿宋_GB2312" w:hAnsi="仿宋_GB2312" w:cs="仿宋_GB2312" w:eastAsia="仿宋_GB2312"/>
                      <w:sz w:val="24"/>
                      <w:color w:val="0000FF"/>
                    </w:rPr>
                    <w:t>≤5%</w:t>
                  </w:r>
                </w:p>
                <w:p>
                  <w:pPr>
                    <w:pStyle w:val="null3"/>
                    <w:jc w:val="both"/>
                  </w:pPr>
                  <w:r>
                    <w:rPr>
                      <w:rFonts w:ascii="仿宋_GB2312" w:hAnsi="仿宋_GB2312" w:cs="仿宋_GB2312" w:eastAsia="仿宋_GB2312"/>
                      <w:sz w:val="24"/>
                      <w:color w:val="0000FF"/>
                    </w:rPr>
                    <w:t>符合《胶粘剂中有害物质限量》</w:t>
                  </w:r>
                  <w:r>
                    <w:rPr>
                      <w:rFonts w:ascii="仿宋_GB2312" w:hAnsi="仿宋_GB2312" w:cs="仿宋_GB2312" w:eastAsia="仿宋_GB2312"/>
                      <w:sz w:val="24"/>
                      <w:color w:val="0000FF"/>
                    </w:rPr>
                    <w:t>GB 18583-2008</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9</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抗倍特板隔断</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防水防潮，符合国家相关标准、规范。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10</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防水涂料</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水泥基渗透结晶型防水涂料、聚合物水泥防水涂料、聚氨酯防水涂料</w:t>
                  </w:r>
                  <w:r>
                    <w:rPr>
                      <w:rFonts w:ascii="仿宋_GB2312" w:hAnsi="仿宋_GB2312" w:cs="仿宋_GB2312" w:eastAsia="仿宋_GB2312"/>
                      <w:sz w:val="24"/>
                      <w:color w:val="0000FF"/>
                    </w:rPr>
                    <w:t>,符合本项目工程量清单、施工图纸相关要求，符合国家相关标准、规范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11</w:t>
                  </w:r>
                </w:p>
              </w:tc>
              <w:tc>
                <w:tcPr>
                  <w:tcW w:type="dxa" w:w="24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电气</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照明灯具</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参数详见设计图纸、工程量清单，符合本项目工程量清单、施工图纸相关要求，符合国家相关标准、规范。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12</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电线</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采用低烟低毒阻燃型线缆、矿物绝缘类不燃性电缆等，且导体材料采用铜芯</w:t>
                  </w:r>
                  <w:r>
                    <w:rPr>
                      <w:rFonts w:ascii="仿宋_GB2312" w:hAnsi="仿宋_GB2312" w:cs="仿宋_GB2312" w:eastAsia="仿宋_GB2312"/>
                      <w:sz w:val="24"/>
                      <w:color w:val="0000FF"/>
                    </w:rPr>
                    <w:t>,中国机械工业百强工厂产品，符合本项目工程量清单、施工图纸相关要求，符合国家相关标准、规范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13</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线管</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节能环保产品，符合本项目工程量清单、施工图纸相关要求，符合国家相关标准、规范。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14</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开关</w:t>
                  </w:r>
                  <w:r>
                    <w:rPr>
                      <w:rFonts w:ascii="仿宋_GB2312" w:hAnsi="仿宋_GB2312" w:cs="仿宋_GB2312" w:eastAsia="仿宋_GB2312"/>
                      <w:sz w:val="24"/>
                      <w:color w:val="0000FF"/>
                    </w:rPr>
                    <w:t>/插座面板</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220V，64A/32A/16A/10A 等，节能环保产品，符合本项目工程量清单、施工图纸相关要求，符合国家相关标准、规范。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15</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空气开关</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16/32A等，带漏电保护。节能环保产品，符合本项目工程量清单、施工图纸相关要求，符合国家相关标准、规范。</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16</w:t>
                  </w:r>
                </w:p>
              </w:tc>
              <w:tc>
                <w:tcPr>
                  <w:tcW w:type="dxa" w:w="24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FF"/>
                    </w:rPr>
                    <w:t>给排水</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PVC 水管</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铅限量</w:t>
                  </w:r>
                  <w:r>
                    <w:rPr>
                      <w:rFonts w:ascii="仿宋_GB2312" w:hAnsi="仿宋_GB2312" w:cs="仿宋_GB2312" w:eastAsia="仿宋_GB2312"/>
                      <w:sz w:val="24"/>
                      <w:color w:val="0000FF"/>
                    </w:rPr>
                    <w:t>≤100mg/kg（适用于聚氯乙烯（PVC）类塑料管材管件）；</w:t>
                  </w:r>
                </w:p>
                <w:p>
                  <w:pPr>
                    <w:pStyle w:val="null3"/>
                    <w:jc w:val="both"/>
                  </w:pPr>
                  <w:r>
                    <w:rPr>
                      <w:rFonts w:ascii="仿宋_GB2312" w:hAnsi="仿宋_GB2312" w:cs="仿宋_GB2312" w:eastAsia="仿宋_GB2312"/>
                      <w:sz w:val="24"/>
                      <w:color w:val="0000FF"/>
                    </w:rPr>
                    <w:t>密度＜</w:t>
                  </w:r>
                  <w:r>
                    <w:rPr>
                      <w:rFonts w:ascii="仿宋_GB2312" w:hAnsi="仿宋_GB2312" w:cs="仿宋_GB2312" w:eastAsia="仿宋_GB2312"/>
                      <w:sz w:val="24"/>
                      <w:color w:val="0000FF"/>
                    </w:rPr>
                    <w:t>1450kg/m3；</w:t>
                  </w:r>
                </w:p>
                <w:p>
                  <w:pPr>
                    <w:pStyle w:val="null3"/>
                    <w:jc w:val="both"/>
                  </w:pPr>
                  <w:r>
                    <w:rPr>
                      <w:rFonts w:ascii="仿宋_GB2312" w:hAnsi="仿宋_GB2312" w:cs="仿宋_GB2312" w:eastAsia="仿宋_GB2312"/>
                      <w:sz w:val="24"/>
                      <w:color w:val="0000FF"/>
                    </w:rPr>
                    <w:t>内排水管道系统噪声＜</w:t>
                  </w:r>
                  <w:r>
                    <w:rPr>
                      <w:rFonts w:ascii="仿宋_GB2312" w:hAnsi="仿宋_GB2312" w:cs="仿宋_GB2312" w:eastAsia="仿宋_GB2312"/>
                      <w:sz w:val="24"/>
                      <w:color w:val="0000FF"/>
                    </w:rPr>
                    <w:t>48dB（适用于聚氯乙烯（PVC）类塑料管材管件）。</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17</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洁具</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全部洁具的用水效率等级达到</w:t>
                  </w:r>
                  <w:r>
                    <w:rPr>
                      <w:rFonts w:ascii="仿宋_GB2312" w:hAnsi="仿宋_GB2312" w:cs="仿宋_GB2312" w:eastAsia="仿宋_GB2312"/>
                      <w:sz w:val="24"/>
                      <w:color w:val="0000FF"/>
                    </w:rPr>
                    <w:t>2级（依据GB 28377、GB 28379、GB</w:t>
                  </w:r>
                  <w:r>
                    <w:rPr>
                      <w:rFonts w:ascii="仿宋_GB2312" w:hAnsi="仿宋_GB2312" w:cs="仿宋_GB2312" w:eastAsia="仿宋_GB2312"/>
                      <w:sz w:val="21"/>
                    </w:rPr>
                    <w:t xml:space="preserve"> </w:t>
                  </w:r>
                  <w:r>
                    <w:rPr>
                      <w:rFonts w:ascii="仿宋_GB2312" w:hAnsi="仿宋_GB2312" w:cs="仿宋_GB2312" w:eastAsia="仿宋_GB2312"/>
                      <w:sz w:val="24"/>
                      <w:color w:val="0000FF"/>
                    </w:rPr>
                    <w:t>30717、GB/T 50378）</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18</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洗手盆</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成品台盆含柜体，含柜体、下水线、五金件、把手等；板材为</w:t>
                  </w:r>
                  <w:r>
                    <w:rPr>
                      <w:rFonts w:ascii="仿宋_GB2312" w:hAnsi="仿宋_GB2312" w:cs="仿宋_GB2312" w:eastAsia="仿宋_GB2312"/>
                      <w:sz w:val="24"/>
                      <w:color w:val="0000FF"/>
                    </w:rPr>
                    <w:t>E1级多层实木板；陶瓷耐污染性≥3级；不锈钢下水线。节能环保产品，符合本项目工程量清单、施工图纸相关要求，符合国家相关标准、规范</w:t>
                  </w:r>
                  <w:r>
                    <w:rPr>
                      <w:rFonts w:ascii="仿宋_GB2312" w:hAnsi="仿宋_GB2312" w:cs="仿宋_GB2312" w:eastAsia="仿宋_GB2312"/>
                      <w:sz w:val="24"/>
                      <w:color w:val="0000FF"/>
                    </w:rPr>
                    <w:t>。</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19</w:t>
                  </w:r>
                </w:p>
              </w:tc>
              <w:tc>
                <w:tcPr>
                  <w:tcW w:type="dxa" w:w="248"/>
                  <w:vMerge/>
                  <w:tcBorders>
                    <w:top w:val="non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蹲便器</w:t>
                  </w:r>
                </w:p>
              </w:tc>
              <w:tc>
                <w:tcPr>
                  <w:tcW w:type="dxa" w:w="18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FF"/>
                    </w:rPr>
                    <w:t>液压不锈钢脚踏冲洗阀</w:t>
                  </w:r>
                  <w:r>
                    <w:rPr>
                      <w:rFonts w:ascii="仿宋_GB2312" w:hAnsi="仿宋_GB2312" w:cs="仿宋_GB2312" w:eastAsia="仿宋_GB2312"/>
                      <w:sz w:val="24"/>
                      <w:color w:val="0000FF"/>
                    </w:rPr>
                    <w:t>/感应阀前排水单排蹲式大便器带存水弯，符合国家相关标准、规范。</w:t>
                  </w:r>
                </w:p>
              </w:tc>
            </w:tr>
          </w:tbl>
          <w:p>
            <w:pPr>
              <w:pStyle w:val="null3"/>
              <w:ind w:firstLine="482"/>
              <w:jc w:val="both"/>
            </w:pPr>
            <w:r>
              <w:rPr>
                <w:rFonts w:ascii="仿宋_GB2312" w:hAnsi="仿宋_GB2312" w:cs="仿宋_GB2312" w:eastAsia="仿宋_GB2312"/>
                <w:sz w:val="24"/>
                <w:b/>
                <w:color w:val="0000FF"/>
              </w:rPr>
              <w:t>说明：供应商拟投入使用的材料、设备须不低于上述同质量品质的要求。在施工过程中成交供应商若提出性能、质量、品质、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color w:val="0000FF"/>
              </w:rPr>
              <w:t>六</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商务要求</w:t>
            </w:r>
          </w:p>
          <w:p>
            <w:pPr>
              <w:pStyle w:val="null3"/>
              <w:ind w:firstLine="482"/>
              <w:jc w:val="both"/>
            </w:pPr>
            <w:r>
              <w:rPr>
                <w:rFonts w:ascii="仿宋_GB2312" w:hAnsi="仿宋_GB2312" w:cs="仿宋_GB2312" w:eastAsia="仿宋_GB2312"/>
                <w:sz w:val="24"/>
                <w:b/>
                <w:color w:val="0000FF"/>
              </w:rPr>
              <w:t>（一）工期</w:t>
            </w:r>
            <w:r>
              <w:rPr>
                <w:rFonts w:ascii="仿宋_GB2312" w:hAnsi="仿宋_GB2312" w:cs="仿宋_GB2312" w:eastAsia="仿宋_GB2312"/>
                <w:sz w:val="24"/>
                <w:b/>
                <w:color w:val="0000FF"/>
              </w:rPr>
              <w:t>；</w:t>
            </w:r>
            <w:r>
              <w:rPr>
                <w:rFonts w:ascii="仿宋_GB2312" w:hAnsi="仿宋_GB2312" w:cs="仿宋_GB2312" w:eastAsia="仿宋_GB2312"/>
                <w:sz w:val="24"/>
                <w:color w:val="0000FF"/>
              </w:rPr>
              <w:t>自接到采购人开工通知之日起</w:t>
            </w:r>
            <w:r>
              <w:rPr>
                <w:rFonts w:ascii="仿宋_GB2312" w:hAnsi="仿宋_GB2312" w:cs="仿宋_GB2312" w:eastAsia="仿宋_GB2312"/>
                <w:sz w:val="24"/>
                <w:color w:val="0000FF"/>
              </w:rPr>
              <w:t>45</w:t>
            </w:r>
            <w:r>
              <w:rPr>
                <w:rFonts w:ascii="仿宋_GB2312" w:hAnsi="仿宋_GB2312" w:cs="仿宋_GB2312" w:eastAsia="仿宋_GB2312"/>
                <w:sz w:val="24"/>
                <w:color w:val="0000FF"/>
              </w:rPr>
              <w:t>个日历天</w:t>
            </w:r>
            <w:r>
              <w:rPr>
                <w:rFonts w:ascii="仿宋_GB2312" w:hAnsi="仿宋_GB2312" w:cs="仿宋_GB2312" w:eastAsia="仿宋_GB2312"/>
                <w:sz w:val="24"/>
                <w:color w:val="0000FF"/>
              </w:rPr>
              <w:t>，具体以具体以</w:t>
            </w:r>
            <w:r>
              <w:rPr>
                <w:rFonts w:ascii="仿宋_GB2312" w:hAnsi="仿宋_GB2312" w:cs="仿宋_GB2312" w:eastAsia="仿宋_GB2312"/>
                <w:sz w:val="24"/>
                <w:color w:val="0000FF"/>
              </w:rPr>
              <w:t>采购人</w:t>
            </w:r>
            <w:r>
              <w:rPr>
                <w:rFonts w:ascii="仿宋_GB2312" w:hAnsi="仿宋_GB2312" w:cs="仿宋_GB2312" w:eastAsia="仿宋_GB2312"/>
                <w:sz w:val="24"/>
                <w:color w:val="0000FF"/>
              </w:rPr>
              <w:t>开工令为准</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（二）工程地点</w:t>
            </w:r>
            <w:r>
              <w:rPr>
                <w:rFonts w:ascii="仿宋_GB2312" w:hAnsi="仿宋_GB2312" w:cs="仿宋_GB2312" w:eastAsia="仿宋_GB2312"/>
                <w:sz w:val="24"/>
                <w:color w:val="0000FF"/>
              </w:rPr>
              <w:t>：西安建筑科技大学雁塔校区</w:t>
            </w:r>
            <w:r>
              <w:rPr>
                <w:rFonts w:ascii="仿宋_GB2312" w:hAnsi="仿宋_GB2312" w:cs="仿宋_GB2312" w:eastAsia="仿宋_GB2312"/>
                <w:sz w:val="24"/>
                <w:color w:val="0000FF"/>
              </w:rPr>
              <w:t>南院附属学校。</w:t>
            </w:r>
          </w:p>
          <w:p>
            <w:pPr>
              <w:pStyle w:val="null3"/>
              <w:ind w:firstLine="482"/>
              <w:jc w:val="both"/>
            </w:pPr>
            <w:r>
              <w:rPr>
                <w:rFonts w:ascii="仿宋_GB2312" w:hAnsi="仿宋_GB2312" w:cs="仿宋_GB2312" w:eastAsia="仿宋_GB2312"/>
                <w:sz w:val="24"/>
                <w:b/>
                <w:color w:val="0000FF"/>
              </w:rPr>
              <w:t>（三）质量要求</w:t>
            </w:r>
            <w:r>
              <w:rPr>
                <w:rFonts w:ascii="仿宋_GB2312" w:hAnsi="仿宋_GB2312" w:cs="仿宋_GB2312" w:eastAsia="仿宋_GB2312"/>
                <w:sz w:val="24"/>
                <w:color w:val="0000FF"/>
              </w:rPr>
              <w:t>：</w:t>
            </w:r>
            <w:r>
              <w:rPr>
                <w:rFonts w:ascii="仿宋_GB2312" w:hAnsi="仿宋_GB2312" w:cs="仿宋_GB2312" w:eastAsia="仿宋_GB2312"/>
                <w:sz w:val="24"/>
                <w:color w:val="0000FF"/>
              </w:rPr>
              <w:t>工程验收标准执行国家现行的有关规范及标准，本工程质量要求为合格。</w:t>
            </w:r>
          </w:p>
          <w:p>
            <w:pPr>
              <w:pStyle w:val="null3"/>
              <w:ind w:firstLine="482"/>
              <w:jc w:val="both"/>
            </w:pPr>
            <w:r>
              <w:rPr>
                <w:rFonts w:ascii="仿宋_GB2312" w:hAnsi="仿宋_GB2312" w:cs="仿宋_GB2312" w:eastAsia="仿宋_GB2312"/>
                <w:sz w:val="24"/>
                <w:b/>
                <w:color w:val="0000FF"/>
              </w:rPr>
              <w:t>（四）付款方式：</w:t>
            </w:r>
          </w:p>
          <w:p>
            <w:pPr>
              <w:pStyle w:val="null3"/>
              <w:ind w:firstLine="480"/>
              <w:jc w:val="both"/>
            </w:pPr>
            <w:r>
              <w:rPr>
                <w:rFonts w:ascii="仿宋_GB2312" w:hAnsi="仿宋_GB2312" w:cs="仿宋_GB2312" w:eastAsia="仿宋_GB2312"/>
                <w:sz w:val="24"/>
                <w:color w:val="0000FF"/>
              </w:rPr>
              <w:t>□签订合同完毕，成交供应商提供由工商银行、农业银行、中国银行、建设银行、交通银行其中一家出具的不可撤销、见索即付独立保函，且保函文本须载明“开证行仅凭受益人单方签署的索赔声明付款”，采购人支付合同总价的40%作为预付款，否则，采购人不予支付预付款。</w:t>
            </w:r>
          </w:p>
          <w:p>
            <w:pPr>
              <w:pStyle w:val="null3"/>
              <w:ind w:firstLine="480"/>
              <w:jc w:val="both"/>
            </w:pPr>
            <w:r>
              <w:rPr>
                <w:rFonts w:ascii="仿宋_GB2312" w:hAnsi="仿宋_GB2312" w:cs="仿宋_GB2312" w:eastAsia="仿宋_GB2312"/>
                <w:sz w:val="24"/>
                <w:color w:val="0000FF"/>
              </w:rPr>
              <w:t>□签订合同完毕，供应商无法提供预付款保函，施工满一个月，且经核算完成80%改造工程内容后，采购人支付合同额60%的进度款。</w:t>
            </w:r>
          </w:p>
          <w:p>
            <w:pPr>
              <w:pStyle w:val="null3"/>
              <w:ind w:firstLine="480"/>
              <w:jc w:val="both"/>
            </w:pPr>
            <w:r>
              <w:rPr>
                <w:rFonts w:ascii="仿宋_GB2312" w:hAnsi="仿宋_GB2312" w:cs="仿宋_GB2312" w:eastAsia="仿宋_GB2312"/>
                <w:sz w:val="24"/>
                <w:color w:val="0000FF"/>
              </w:rPr>
              <w:t>工程竣工验收合格后经审计部门或其委托有工程造价咨询资质的机构审定结算后，成交供应商缴纳施工水电费后，采购人支付至审定结算价的</w:t>
            </w:r>
            <w:r>
              <w:rPr>
                <w:rFonts w:ascii="仿宋_GB2312" w:hAnsi="仿宋_GB2312" w:cs="仿宋_GB2312" w:eastAsia="仿宋_GB2312"/>
                <w:sz w:val="24"/>
                <w:color w:val="0000FF"/>
              </w:rPr>
              <w:t>100%；但在国家规定的保修期限内，保修责任仍由承包人继续承担。</w:t>
            </w:r>
          </w:p>
          <w:p>
            <w:pPr>
              <w:pStyle w:val="null3"/>
              <w:ind w:firstLine="480"/>
              <w:jc w:val="both"/>
            </w:pPr>
            <w:r>
              <w:rPr>
                <w:rFonts w:ascii="仿宋_GB2312" w:hAnsi="仿宋_GB2312" w:cs="仿宋_GB2312" w:eastAsia="仿宋_GB2312"/>
                <w:sz w:val="24"/>
                <w:color w:val="0000FF"/>
              </w:rPr>
              <w:t>本工程的工程量据实结算，若成交供应商报送的原始结算价超出采购人审定结算价的</w:t>
            </w:r>
            <w:r>
              <w:rPr>
                <w:rFonts w:ascii="仿宋_GB2312" w:hAnsi="仿宋_GB2312" w:cs="仿宋_GB2312" w:eastAsia="仿宋_GB2312"/>
                <w:sz w:val="24"/>
                <w:color w:val="0000FF"/>
              </w:rPr>
              <w:t>3％，则成交供应商承担全部审计费，在结算付款时一次性扣除。</w:t>
            </w:r>
          </w:p>
          <w:p>
            <w:pPr>
              <w:pStyle w:val="null3"/>
              <w:ind w:firstLine="482"/>
              <w:jc w:val="both"/>
            </w:pPr>
            <w:r>
              <w:rPr>
                <w:rFonts w:ascii="仿宋_GB2312" w:hAnsi="仿宋_GB2312" w:cs="仿宋_GB2312" w:eastAsia="仿宋_GB2312"/>
                <w:sz w:val="24"/>
                <w:b/>
                <w:color w:val="0000FF"/>
              </w:rPr>
              <w:t>（五）质量保证期</w:t>
            </w:r>
            <w:r>
              <w:rPr>
                <w:rFonts w:ascii="仿宋_GB2312" w:hAnsi="仿宋_GB2312" w:cs="仿宋_GB2312" w:eastAsia="仿宋_GB2312"/>
                <w:sz w:val="24"/>
                <w:b/>
                <w:color w:val="0000FF"/>
              </w:rPr>
              <w:t>及保修要求</w:t>
            </w:r>
          </w:p>
          <w:p>
            <w:pPr>
              <w:pStyle w:val="null3"/>
              <w:ind w:firstLine="480"/>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质量保证期</w:t>
            </w:r>
            <w:r>
              <w:rPr>
                <w:rFonts w:ascii="仿宋_GB2312" w:hAnsi="仿宋_GB2312" w:cs="仿宋_GB2312" w:eastAsia="仿宋_GB2312"/>
                <w:sz w:val="24"/>
                <w:color w:val="0000FF"/>
              </w:rPr>
              <w:t>：</w:t>
            </w:r>
            <w:r>
              <w:rPr>
                <w:rFonts w:ascii="仿宋_GB2312" w:hAnsi="仿宋_GB2312" w:cs="仿宋_GB2312" w:eastAsia="仿宋_GB2312"/>
                <w:sz w:val="24"/>
                <w:color w:val="0000FF"/>
              </w:rPr>
              <w:t>自</w:t>
            </w:r>
            <w:r>
              <w:rPr>
                <w:rFonts w:ascii="仿宋_GB2312" w:hAnsi="仿宋_GB2312" w:cs="仿宋_GB2312" w:eastAsia="仿宋_GB2312"/>
                <w:sz w:val="24"/>
                <w:color w:val="0000FF"/>
              </w:rPr>
              <w:t>本项目竣工验收合格通过之日起</w:t>
            </w:r>
            <w:r>
              <w:rPr>
                <w:rFonts w:ascii="仿宋_GB2312" w:hAnsi="仿宋_GB2312" w:cs="仿宋_GB2312" w:eastAsia="仿宋_GB2312"/>
                <w:sz w:val="24"/>
                <w:color w:val="0000FF"/>
              </w:rPr>
              <w:t>2</w:t>
            </w:r>
            <w:r>
              <w:rPr>
                <w:rFonts w:ascii="仿宋_GB2312" w:hAnsi="仿宋_GB2312" w:cs="仿宋_GB2312" w:eastAsia="仿宋_GB2312"/>
                <w:sz w:val="24"/>
                <w:color w:val="0000FF"/>
              </w:rPr>
              <w:t>年</w:t>
            </w:r>
            <w:r>
              <w:rPr>
                <w:rFonts w:ascii="仿宋_GB2312" w:hAnsi="仿宋_GB2312" w:cs="仿宋_GB2312" w:eastAsia="仿宋_GB2312"/>
                <w:sz w:val="24"/>
                <w:color w:val="0000FF"/>
              </w:rPr>
              <w:t>，其中防水为</w:t>
            </w:r>
            <w:r>
              <w:rPr>
                <w:rFonts w:ascii="仿宋_GB2312" w:hAnsi="仿宋_GB2312" w:cs="仿宋_GB2312" w:eastAsia="仿宋_GB2312"/>
                <w:sz w:val="24"/>
                <w:color w:val="0000FF"/>
              </w:rPr>
              <w:t>5</w:t>
            </w:r>
            <w:r>
              <w:rPr>
                <w:rFonts w:ascii="仿宋_GB2312" w:hAnsi="仿宋_GB2312" w:cs="仿宋_GB2312" w:eastAsia="仿宋_GB2312"/>
                <w:sz w:val="24"/>
                <w:color w:val="0000FF"/>
              </w:rPr>
              <w:t>年</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保修要求：属于保修范围和内容的项目，成交供应商应在接到维修通知后，</w:t>
            </w:r>
            <w:r>
              <w:rPr>
                <w:rFonts w:ascii="仿宋_GB2312" w:hAnsi="仿宋_GB2312" w:cs="仿宋_GB2312" w:eastAsia="仿宋_GB2312"/>
                <w:sz w:val="24"/>
                <w:color w:val="0000FF"/>
              </w:rPr>
              <w:t>1天内派人维修。发生紧急抢修事故（如上水管跑水、爆裂，供电设施漏、断电等），成交供应商应在接到事故通知后2小时内到达事故现场并于4小时内完成应急维修</w:t>
            </w:r>
            <w:r>
              <w:rPr>
                <w:rFonts w:ascii="仿宋_GB2312" w:hAnsi="仿宋_GB2312" w:cs="仿宋_GB2312" w:eastAsia="仿宋_GB2312"/>
                <w:sz w:val="24"/>
                <w:color w:val="0000FF"/>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采购包1：工程验收标准执行国家现行的有关规范及标准，本工程质量要求为合格。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可按照磋商文件中规定的时间及地点前往项目地点踏勘，以充分了解工地位置、情况、道路、储存空间、装卸限制及任何其他足以影响响应报价的情况，供应商因忽视或误解工地情况而导致的其提出的任何索赔、价款调整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等有明确要求的，不得变更相关要求，使用前应当由采购人认质确认后方可投入使用。工程施工完毕后需对施工场地进行保洁，保洁标准达到采购人要求。 4.本项目工程量清单是依据《陕西省建设工程工程量清单计价标准》(DB 61/T 5126-2025)、《陕西省房屋建筑与装饰工程工程量计算标准》(DB 61/T 5129-2025)、《陕西省通用安装工程工程量清单计算标准》(DB 61/T 5130-2025)、《陕西省建设工程费用规则》（2025）、《陕西省建设工程施工机械台班费用定额》（2025）、《陕西省建设工程施工仪器仪表台班费用定额》（2025）、《陕西省房屋建筑与装饰工程消耗量定额》（2025）、《陕西省通用安装工程消耗量定额》（2025）《陕西省房屋建筑与装饰工程基价表》（2025）、《陕西省通用安装工程基价表》（2025）等现行陕西省工程建设标准的规定计算规则进行编制的；供应商中标后，若出现磋商文件中工程量清单描述与图纸不符等问题时，此部分工程量清单项的全费用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lutan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3.供应商未按指定账户提交响应保证金的，我公司将退回，供应商须在文件递交截止时间前按照指定账户再次提交。 4.本项目成交供应商须在领取中标（成交）通知书同一时间向采购代理机 构提供响应文件（应与政府采购电子化交易平台上传的响应文件完全一致）正本1份、副本1份。 5.结算时，依据采购人审定的工程量，按实际发生量据实结算，工程价款结算时依据最终价款和一次报价的下浮比例执行。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供应商提供自2025年6月至今已缴纳的至少一个月纳税证明或完税证明，依法免税的单位应提供相关证明材料；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或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报价函 已标价工程量清单（系统自动生成，无需填写）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拟派项目经理及项目组人员承诺函.docx 资格审查.docx 已标价工程量清单.docx 质量管理体系与保证措施.docx 确保安全生产、文明施工的技术组织措施及环境保护措施.docx 中小企业声明函 已标价工程量清单（系统自动生成，无需填写） 对项目整体理解及施工方案.docx 服务承诺.docx 企业业绩.docx 项目经理社保证明.docx 技术服务合同条款及其他商务要求应答表 主要材料品质、价格表.docx 工程进度计划与保证措施.docx 响应文件封面 绿色建材明细表.docx 残疾人福利性单位声明函 法定代表人证明书及授权书.docx 报价函 标的清单 响应函 项目人员组成.docx 拟派项目经理业绩.docx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项目经理社保证明.docx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主要材料品质、价格表1</w:t>
            </w:r>
          </w:p>
        </w:tc>
        <w:tc>
          <w:tcPr>
            <w:tcW w:type="dxa" w:w="2492"/>
          </w:tcPr>
          <w:p>
            <w:pPr>
              <w:pStyle w:val="null3"/>
            </w:pPr>
            <w:r>
              <w:rPr>
                <w:rFonts w:ascii="仿宋_GB2312" w:hAnsi="仿宋_GB2312" w:cs="仿宋_GB2312" w:eastAsia="仿宋_GB2312"/>
              </w:rPr>
              <w:t>1.供应商针对本项目提供的主要材料品质、参数及规格、价格完整，无缺漏项的得4分。未提供或提供不全或拟投主要材料品质不明确的本项不得分。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主要材料品质、价格表2</w:t>
            </w:r>
          </w:p>
        </w:tc>
        <w:tc>
          <w:tcPr>
            <w:tcW w:type="dxa" w:w="2492"/>
          </w:tcPr>
          <w:p>
            <w:pPr>
              <w:pStyle w:val="null3"/>
            </w:pPr>
            <w:r>
              <w:rPr>
                <w:rFonts w:ascii="仿宋_GB2312" w:hAnsi="仿宋_GB2312" w:cs="仿宋_GB2312" w:eastAsia="仿宋_GB2312"/>
              </w:rPr>
              <w:t>2.根据供应商针对本项目拟投入主要材料品质的产品选型情况及证明材料进行评审： 主要材料品质完全符合项目要求，与本次项目契合度高，相关证明材料完整、清晰的得5分； 主要材料品质符合项目要求，材料品质与本次项目契合度较高，相关证明材料较完整、清晰的得4分； 主要材料品质基本符合项目要求，材料品质与本次项目契合度较低，相关证明材料部分缺失或不够清晰的得3分； 主要材料品质基本符合项目要求，材料品质与本次项目契合度低，相关证明材料严重缺失的得2分； 主要材料品质与本项目契合度低，相关证明材料简单、粗略，缺漏严重的得1分；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除本文件规定的属于节能产品政府采购品目清单中应强制采购的产品范围之外，供应商针对本项目所选用的材料采用绿色环保、节能材料的；以上内容每提供一项得0.5分，最高得4分，不提供不计分。 备注：以经国家确定的认证机构出具的合法有效期内的节能产品、环境标志产品认证证书复印件或扫描件为准。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绿色建材明细表.docx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提供供应商2023年6月1日至今(以合同签订日期为准)类似业绩证明材料，每份业绩计1分，满分4分。 备注：类似业绩是指建筑装修装饰工程业绩或包含建筑装修装饰工程内容的业绩，时间以合同签订时间所体现的时间为准。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已标价工程量清单（系统自动生成，无需填写）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已标价工程量清单（系统自动生成，无需填写）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详见附件：已标价工程量清单（系统自动生成，无需填写）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详见附件：绿色建材明细表.docx</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详见附件：项目经理社保证明.docx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