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版本号：ZHZB-2026(GC)02820260525001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佛坪县体育改造提升项目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ZHZB-2026(GC)028</w:t>
      </w:r>
      <w:r>
        <w:br/>
      </w:r>
      <w:r>
        <w:br/>
      </w:r>
      <w:r>
        <w:br/>
      </w:r>
    </w:p>
    <w:p>
      <w:pPr>
        <w:pStyle w:val="null3"/>
        <w:jc w:val="center"/>
        <w:outlineLvl w:val="2"/>
      </w:pPr>
      <w:r>
        <w:rPr>
          <w:rFonts w:ascii="仿宋_GB2312" w:hAnsi="仿宋_GB2312" w:cs="仿宋_GB2312" w:eastAsia="仿宋_GB2312"/>
          <w:sz w:val="28"/>
          <w:b/>
        </w:rPr>
        <w:t>佛坪县全民健身服务中心（县业余体校）</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佛坪县全民健身服务中心（县业余体校）</w:t>
      </w:r>
      <w:r>
        <w:rPr>
          <w:rFonts w:ascii="仿宋_GB2312" w:hAnsi="仿宋_GB2312" w:cs="仿宋_GB2312" w:eastAsia="仿宋_GB2312"/>
        </w:rPr>
        <w:t>委托，拟对</w:t>
      </w:r>
      <w:r>
        <w:rPr>
          <w:rFonts w:ascii="仿宋_GB2312" w:hAnsi="仿宋_GB2312" w:cs="仿宋_GB2312" w:eastAsia="仿宋_GB2312"/>
        </w:rPr>
        <w:t>佛坪县体育改造提升项目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ZHZB-2026(GC)028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佛坪县体育改造提升项目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体育馆改造提升项目，位于汉中市佛坪县，原建筑为体育馆，扩建室外疏散钢楼梯，位于办公楼西侧、北侧、南侧。建设内容主要包括：室外疏散钢楼梯；室外场地硬化；室外场地楼梯下新增房间；三楼卫生间改造；场地门窗、消防栓改造部分；一层游泳池更换灯具及篮球场空调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采购包1（佛坪县体育馆改造提升项目）：属于专门面向中小企业采购。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律、行政法规规定的其他条件：法律、行政法规规定的其他条件：①供应商须具备建筑工程施工总承包三级或以上（含三级）资质，且具有合格有效的安全生产许可证；②拟派项目经理须提供建筑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3、承诺函：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企业关系关联及联合体说明：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佛坪县全民健身服务中心（县业余体校）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佛坪县体育馆二楼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庞坤坤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0916-8913590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13289892509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采购包1：1,458,591.53元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否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工程收费标准计取。2、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佛坪县全民健身服务中心（县业余体校）</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佛坪县全民健身服务中心（县业余体校）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佛坪县全民健身服务中心（县业余体校）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详见竞争性磋商文件、相关法律法规要求、行业标准及采购人要求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w:t>
      </w:r>
    </w:p>
    <w:p>
      <w:pPr>
        <w:pStyle w:val="null3"/>
      </w:pPr>
      <w:r>
        <w:rPr>
          <w:rFonts w:ascii="仿宋_GB2312" w:hAnsi="仿宋_GB2312" w:cs="仿宋_GB2312" w:eastAsia="仿宋_GB2312"/>
        </w:rPr>
        <w:t>联系电话：13289892509</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1,458,591.53</w:t>
      </w:r>
    </w:p>
    <w:p>
      <w:pPr>
        <w:pStyle w:val="null3"/>
      </w:pPr>
      <w:r>
        <w:rPr>
          <w:rFonts w:ascii="仿宋_GB2312" w:hAnsi="仿宋_GB2312" w:cs="仿宋_GB2312" w:eastAsia="仿宋_GB2312"/>
        </w:rPr>
        <w:t>采购包最高限价（元）: 1,458,591.53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1,458,591.53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（一）工程量清单编制说明</w:t>
            </w:r>
            <w:r>
              <w:br/>
            </w:r>
            <w:r>
              <w:rPr>
                <w:rFonts w:ascii="仿宋_GB2312" w:hAnsi="仿宋_GB2312" w:cs="仿宋_GB2312" w:eastAsia="仿宋_GB2312"/>
              </w:rPr>
              <w:t xml:space="preserve"> 一、工程概况</w:t>
            </w:r>
            <w:r>
              <w:br/>
            </w:r>
            <w:r>
              <w:rPr>
                <w:rFonts w:ascii="仿宋_GB2312" w:hAnsi="仿宋_GB2312" w:cs="仿宋_GB2312" w:eastAsia="仿宋_GB2312"/>
              </w:rPr>
              <w:t xml:space="preserve"> 佛坪县体育馆改造提升项目，位于汉中市佛坪县，原建筑为体育馆，扩建室外疏散钢楼梯，位于办公楼西侧、北侧、南侧。建设内容主要包括：室外疏散钢楼梯；室外场地硬化；室外场地楼梯下新增房间；三楼卫生间改造；场地门窗、消防栓改造部分；一层游泳池更换灯具及篮球场空调系统等。</w:t>
            </w:r>
            <w:r>
              <w:br/>
            </w:r>
            <w:r>
              <w:rPr>
                <w:rFonts w:ascii="仿宋_GB2312" w:hAnsi="仿宋_GB2312" w:cs="仿宋_GB2312" w:eastAsia="仿宋_GB2312"/>
              </w:rPr>
              <w:t xml:space="preserve"> 二、编制依据</w:t>
            </w:r>
            <w:r>
              <w:br/>
            </w:r>
            <w:r>
              <w:rPr>
                <w:rFonts w:ascii="仿宋_GB2312" w:hAnsi="仿宋_GB2312" w:cs="仿宋_GB2312" w:eastAsia="仿宋_GB2312"/>
              </w:rPr>
              <w:t xml:space="preserve"> 1、《陕西省住房和城乡建设厅关于印发 2025 陕西省建设工程费用规则等计价依据的通知》陕建管发〔2025〕10号文件；</w:t>
            </w:r>
            <w:r>
              <w:br/>
            </w:r>
            <w:r>
              <w:rPr>
                <w:rFonts w:ascii="仿宋_GB2312" w:hAnsi="仿宋_GB2312" w:cs="仿宋_GB2312" w:eastAsia="仿宋_GB2312"/>
              </w:rPr>
              <w:t xml:space="preserve"> 2、《陕西省建设工程费用规则》（2025）、《建设工程工程量清单计价标准》（2025）、《房屋建筑与装修工程工程量计算标准》、《通用安装工程工程量计算标准》及其配套文件；</w:t>
            </w:r>
            <w:r>
              <w:br/>
            </w:r>
            <w:r>
              <w:rPr>
                <w:rFonts w:ascii="仿宋_GB2312" w:hAnsi="仿宋_GB2312" w:cs="仿宋_GB2312" w:eastAsia="仿宋_GB2312"/>
              </w:rPr>
              <w:t xml:space="preserve"> 3、《陕西省房屋建筑与装饰工程消耗量定额》（2025）、《陕西省通用安装工程消耗量定额》（2025）、《陕西省建设工程施工机械台班费用定额》（2025）；</w:t>
            </w:r>
            <w:r>
              <w:br/>
            </w:r>
            <w:r>
              <w:rPr>
                <w:rFonts w:ascii="仿宋_GB2312" w:hAnsi="仿宋_GB2312" w:cs="仿宋_GB2312" w:eastAsia="仿宋_GB2312"/>
              </w:rPr>
              <w:t xml:space="preserve"> 4、《陕西省房屋建筑与装饰工程基价表》（2025）、《陕西省通用安装工程基价表》（2025）；</w:t>
            </w:r>
            <w:r>
              <w:br/>
            </w:r>
            <w:r>
              <w:rPr>
                <w:rFonts w:ascii="仿宋_GB2312" w:hAnsi="仿宋_GB2312" w:cs="仿宋_GB2312" w:eastAsia="仿宋_GB2312"/>
              </w:rPr>
              <w:t xml:space="preserve"> 5、《汉中建设工程造价信息（2026）》第1期信息价及市场询价；</w:t>
            </w:r>
            <w:r>
              <w:br/>
            </w:r>
            <w:r>
              <w:rPr>
                <w:rFonts w:ascii="仿宋_GB2312" w:hAnsi="仿宋_GB2312" w:cs="仿宋_GB2312" w:eastAsia="仿宋_GB2312"/>
              </w:rPr>
              <w:t xml:space="preserve"> 6、施工图纸；</w:t>
            </w:r>
            <w:r>
              <w:br/>
            </w:r>
            <w:r>
              <w:rPr>
                <w:rFonts w:ascii="仿宋_GB2312" w:hAnsi="仿宋_GB2312" w:cs="仿宋_GB2312" w:eastAsia="仿宋_GB2312"/>
              </w:rPr>
              <w:t xml:space="preserve"> 7、正常的施工组织设计及方法；</w:t>
            </w:r>
            <w:r>
              <w:br/>
            </w:r>
            <w:r>
              <w:rPr>
                <w:rFonts w:ascii="仿宋_GB2312" w:hAnsi="仿宋_GB2312" w:cs="仿宋_GB2312" w:eastAsia="仿宋_GB2312"/>
              </w:rPr>
              <w:t xml:space="preserve"> 8、广联达GCCP7.0编制(版本号：7.5000.23.2)。</w:t>
            </w:r>
            <w:r>
              <w:br/>
            </w:r>
            <w:r>
              <w:rPr>
                <w:rFonts w:ascii="仿宋_GB2312" w:hAnsi="仿宋_GB2312" w:cs="仿宋_GB2312" w:eastAsia="仿宋_GB2312"/>
              </w:rPr>
              <w:t xml:space="preserve"> 三、编制说明</w:t>
            </w:r>
            <w:r>
              <w:br/>
            </w:r>
            <w:r>
              <w:rPr>
                <w:rFonts w:ascii="仿宋_GB2312" w:hAnsi="仿宋_GB2312" w:cs="仿宋_GB2312" w:eastAsia="仿宋_GB2312"/>
              </w:rPr>
              <w:t xml:space="preserve"> 1、装饰装修工程：</w:t>
            </w:r>
            <w:r>
              <w:br/>
            </w:r>
            <w:r>
              <w:rPr>
                <w:rFonts w:ascii="仿宋_GB2312" w:hAnsi="仿宋_GB2312" w:cs="仿宋_GB2312" w:eastAsia="仿宋_GB2312"/>
              </w:rPr>
              <w:t xml:space="preserve"> 本工程砂浆采用预拌干混砂浆；</w:t>
            </w:r>
            <w:r>
              <w:br/>
            </w:r>
            <w:r>
              <w:rPr>
                <w:rFonts w:ascii="仿宋_GB2312" w:hAnsi="仿宋_GB2312" w:cs="仿宋_GB2312" w:eastAsia="仿宋_GB2312"/>
              </w:rPr>
              <w:t xml:space="preserve"> 本工程混凝土采用商品混凝土；</w:t>
            </w:r>
            <w:r>
              <w:br/>
            </w:r>
            <w:r>
              <w:rPr>
                <w:rFonts w:ascii="仿宋_GB2312" w:hAnsi="仿宋_GB2312" w:cs="仿宋_GB2312" w:eastAsia="仿宋_GB2312"/>
              </w:rPr>
              <w:t xml:space="preserve"> 余方弃置运距20km计算；    </w:t>
            </w:r>
            <w:r>
              <w:br/>
            </w:r>
            <w:r>
              <w:rPr>
                <w:rFonts w:ascii="仿宋_GB2312" w:hAnsi="仿宋_GB2312" w:cs="仿宋_GB2312" w:eastAsia="仿宋_GB2312"/>
              </w:rPr>
              <w:t xml:space="preserve"> 依建设单位要求，三层门窗图仅计算新窗制作安装，未计算旧窗拆除。</w:t>
            </w:r>
            <w:r>
              <w:br/>
            </w:r>
            <w:r>
              <w:rPr>
                <w:rFonts w:ascii="仿宋_GB2312" w:hAnsi="仿宋_GB2312" w:cs="仿宋_GB2312" w:eastAsia="仿宋_GB2312"/>
              </w:rPr>
              <w:t xml:space="preserve"> 2、安装工程：</w:t>
            </w:r>
            <w:r>
              <w:br/>
            </w:r>
            <w:r>
              <w:rPr>
                <w:rFonts w:ascii="仿宋_GB2312" w:hAnsi="仿宋_GB2312" w:cs="仿宋_GB2312" w:eastAsia="仿宋_GB2312"/>
              </w:rPr>
              <w:t xml:space="preserve"> 消火栓系统：设计图未标注管道规格，暂按DN65内外壁热浸镀锌钢管计算，工程量按暂定计算；</w:t>
            </w:r>
            <w:r>
              <w:br/>
            </w:r>
            <w:r>
              <w:rPr>
                <w:rFonts w:ascii="仿宋_GB2312" w:hAnsi="仿宋_GB2312" w:cs="仿宋_GB2312" w:eastAsia="仿宋_GB2312"/>
              </w:rPr>
              <w:t xml:space="preserve"> （二）工程量清单（另附）</w:t>
            </w:r>
            <w:r>
              <w:br/>
            </w:r>
            <w:r>
              <w:rPr>
                <w:rFonts w:ascii="仿宋_GB2312" w:hAnsi="仿宋_GB2312" w:cs="仿宋_GB2312" w:eastAsia="仿宋_GB2312"/>
              </w:rPr>
              <w:t xml:space="preserve"> （三）图纸（另附）</w:t>
            </w:r>
            <w:r>
              <w:br/>
            </w:r>
            <w:r>
              <w:rPr>
                <w:rFonts w:ascii="仿宋_GB2312" w:hAnsi="仿宋_GB2312" w:cs="仿宋_GB2312" w:eastAsia="仿宋_GB2312"/>
              </w:rPr>
              <w:t xml:space="preserve">  ★（四）商务条款</w:t>
            </w:r>
            <w:r>
              <w:br/>
            </w:r>
            <w:r>
              <w:rPr>
                <w:rFonts w:ascii="仿宋_GB2312" w:hAnsi="仿宋_GB2312" w:cs="仿宋_GB2312" w:eastAsia="仿宋_GB2312"/>
              </w:rPr>
              <w:t xml:space="preserve"> 1、工期及地点：</w:t>
            </w:r>
            <w:r>
              <w:br/>
            </w:r>
            <w:r>
              <w:rPr>
                <w:rFonts w:ascii="仿宋_GB2312" w:hAnsi="仿宋_GB2312" w:cs="仿宋_GB2312" w:eastAsia="仿宋_GB2312"/>
              </w:rPr>
              <w:t xml:space="preserve"> 1.1工期：合同签订之日起120天；</w:t>
            </w:r>
            <w:r>
              <w:br/>
            </w:r>
            <w:r>
              <w:rPr>
                <w:rFonts w:ascii="仿宋_GB2312" w:hAnsi="仿宋_GB2312" w:cs="仿宋_GB2312" w:eastAsia="仿宋_GB2312"/>
              </w:rPr>
              <w:t xml:space="preserve"> 1.2施工地点：佛坪县内，采购人指定地点；</w:t>
            </w:r>
            <w:r>
              <w:br/>
            </w:r>
            <w:r>
              <w:rPr>
                <w:rFonts w:ascii="仿宋_GB2312" w:hAnsi="仿宋_GB2312" w:cs="仿宋_GB2312" w:eastAsia="仿宋_GB2312"/>
              </w:rPr>
              <w:t xml:space="preserve"> 2、质量标准要求：工程质量符合合格标准要求。</w:t>
            </w:r>
            <w:r>
              <w:br/>
            </w:r>
            <w:r>
              <w:rPr>
                <w:rFonts w:ascii="仿宋_GB2312" w:hAnsi="仿宋_GB2312" w:cs="仿宋_GB2312" w:eastAsia="仿宋_GB2312"/>
              </w:rPr>
              <w:t xml:space="preserve"> 3、质保期：按照国家及行业现行标准要求执行。</w:t>
            </w:r>
            <w:r>
              <w:br/>
            </w:r>
            <w:r>
              <w:rPr>
                <w:rFonts w:ascii="仿宋_GB2312" w:hAnsi="仿宋_GB2312" w:cs="仿宋_GB2312" w:eastAsia="仿宋_GB2312"/>
              </w:rPr>
              <w:t xml:space="preserve"> 4、本合同价款采用固定综合单价合同方式确定。</w:t>
            </w:r>
            <w:r>
              <w:br/>
            </w:r>
            <w:r>
              <w:rPr>
                <w:rFonts w:ascii="仿宋_GB2312" w:hAnsi="仿宋_GB2312" w:cs="仿宋_GB2312" w:eastAsia="仿宋_GB2312"/>
              </w:rPr>
              <w:t xml:space="preserve"> 5、付款方式：①预付款，合同签订生效后，达到付款条件起30个工作日内，支付合同总金额的30.00%；②进度款，工程进度达60%时，达到付款条件起30个工作日内，支付合同总金额的25.00%；③进度款，工程进度达到80%时，达到付款条件起30个工作日内，支付合同总金额的25.00%；④进度款，待项目竣工验收合格后，达到付款条件起30个工作日内，支付合同总金额的20.00%。</w:t>
            </w:r>
            <w:r>
              <w:br/>
            </w:r>
            <w:r>
              <w:rPr>
                <w:rFonts w:ascii="仿宋_GB2312" w:hAnsi="仿宋_GB2312" w:cs="仿宋_GB2312" w:eastAsia="仿宋_GB2312"/>
              </w:rPr>
              <w:t xml:space="preserve"> 6、合同实施：</w:t>
            </w:r>
            <w:r>
              <w:br/>
            </w:r>
            <w:r>
              <w:rPr>
                <w:rFonts w:ascii="仿宋_GB2312" w:hAnsi="仿宋_GB2312" w:cs="仿宋_GB2312" w:eastAsia="仿宋_GB2312"/>
              </w:rPr>
              <w:t xml:space="preserve"> ①项目应缴纳合同金额的3%质保金至采购人指定账户。②质保金的退还：项目验收合格后且质保期满，无任何质量问题一次退还（质保期按照国家标准要求执行）。</w:t>
            </w:r>
            <w:r>
              <w:br/>
            </w: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满足国家及行业现行“合格标准” ，且满足采购人要求。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为顺利推进政府采购电子化交易平台应用工作，中标供应商需要在领取中标通知书时向代理机构提供纸质版响应文件，正本壹份、副本贰份。 纸质版文件提交地址为：西安市未央区北二环大明宫立交桥百寰国际2705室。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 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①供应商须具备建筑工程施工总承包三级或以上（含三级）资质，且具有合格有效的安全生产许可证；②拟派项目经理须提供建筑工程专业贰级（含贰级）或以上注册建造师证书及安全生产考核合格证（B证），且无在建工程（提供相关平台官网截图或无在建承诺书）；③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磋商一览表.docx 已标价工程量清单 报价函 标的清单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响应文件有效期是否符合竞争性磋商文件要求</w:t>
            </w:r>
          </w:p>
        </w:tc>
        <w:tc>
          <w:tcPr>
            <w:tcW w:type="dxa" w:w="1661"/>
          </w:tcPr>
          <w:p>
            <w:pPr>
              <w:pStyle w:val="null3"/>
            </w:pPr>
            <w:r>
              <w:rPr>
                <w:rFonts w:ascii="仿宋_GB2312" w:hAnsi="仿宋_GB2312" w:cs="仿宋_GB2312" w:eastAsia="仿宋_GB2312"/>
              </w:rPr>
              <w:t>响应函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响应文件是否符合竞争性磋商文件签字、盖章要求</w:t>
            </w:r>
          </w:p>
        </w:tc>
        <w:tc>
          <w:tcPr>
            <w:tcW w:type="dxa" w:w="1661"/>
          </w:tcPr>
          <w:p>
            <w:pPr>
              <w:pStyle w:val="null3"/>
            </w:pPr>
            <w:r>
              <w:rPr>
                <w:rFonts w:ascii="仿宋_GB2312" w:hAnsi="仿宋_GB2312" w:cs="仿宋_GB2312" w:eastAsia="仿宋_GB2312"/>
              </w:rPr>
              <w:t>已标价工程量清单 中小企业声明函 响应文件封面 磋商一览表.docx 供应商资质证明文件.docx 供应商认为需要提供的其他资料.docx 残疾人福利性单位声明函 拒绝政府采购领域商业贿赂承诺书.docx 报价函 标的清单 供应商类似项目业绩一览表 响应函 监狱企业的证明文件 磋商函.docx 技术、服务、合同条款及其他商务要求应答表.docx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（1）磋商报价是否符合唯一性要求；（2）计量单位、报价货币均是否符合磋商文件要求； （3）未超出竞争性磋商文件规定的最高限价。</w:t>
            </w:r>
          </w:p>
        </w:tc>
        <w:tc>
          <w:tcPr>
            <w:tcW w:type="dxa" w:w="1661"/>
          </w:tcPr>
          <w:p>
            <w:pPr>
              <w:pStyle w:val="null3"/>
            </w:pPr>
            <w:r>
              <w:rPr>
                <w:rFonts w:ascii="仿宋_GB2312" w:hAnsi="仿宋_GB2312" w:cs="仿宋_GB2312" w:eastAsia="仿宋_GB2312"/>
              </w:rPr>
              <w:t>磋商一览表.docx 已标价工程量清单 中小企业声明函 残疾人福利性单位声明函 报价函 标的清单 监狱企业的证明文件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供应商提供的保证金转账凭证或担保机构出具的保函是否符合磋商文件要求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供应商是否提供了有效的中小企业声明函或监狱企业证明函或残疾人福利性单位声明函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完全理解并接受法律法规和竞争性磋商文件对供应商的各项须知、规约要求和责任义务，没有出现法律法规或竞争性磋商文件明确规定的其他被视为“无效投标”的情形。</w:t>
            </w:r>
          </w:p>
        </w:tc>
        <w:tc>
          <w:tcPr>
            <w:tcW w:type="dxa" w:w="1661"/>
          </w:tcPr>
          <w:p>
            <w:pPr>
              <w:pStyle w:val="null3"/>
            </w:pPr>
            <w:r>
              <w:rPr>
                <w:rFonts w:ascii="仿宋_GB2312" w:hAnsi="仿宋_GB2312" w:cs="仿宋_GB2312" w:eastAsia="仿宋_GB2312"/>
              </w:rPr>
              <w:t>已标价工程量清单 中小企业声明函 响应文件封面 磋商一览表.docx 供应商资质证明文件.docx 供应商认为需要提供的其他资料.docx 残疾人福利性单位声明函 拒绝政府采购领域商业贿赂承诺书.docx 报价函 标的清单 响应函 监狱企业的证明文件 磋商函.docx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履约能力评审</w:t>
            </w:r>
          </w:p>
        </w:tc>
        <w:tc>
          <w:tcPr>
            <w:tcW w:type="dxa" w:w="2492"/>
          </w:tcPr>
          <w:p>
            <w:pPr>
              <w:pStyle w:val="null3"/>
            </w:pPr>
            <w:r>
              <w:rPr>
                <w:rFonts w:ascii="仿宋_GB2312" w:hAnsi="仿宋_GB2312" w:cs="仿宋_GB2312" w:eastAsia="仿宋_GB2312"/>
              </w:rPr>
              <w:t>供应商2023年1月1日至截标时间前类似施工项目业绩，每提供1份计1分，最高得5分，不提供不得分。 注：业绩证明（以合同为准，须在磋商响应文件中附以上证明材料的扫描件加盖单位公章）。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供应商应针对本项目实际情况编制的施工部署，包含但不限于①施工总体思路、②重难点工程识别和解决方案、③施工目标（质量、安全、工期、环保）。 二、评审标准 1.完整性：方案必须全面，对清单及图纸内容中的各项要求有详细描述； 2.可实施性：切合本项目实际情况，提出步骤清晰、满足需求的方案。 3.针对性：方案能够紧扣项目实际情况，内容科学合理。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1施工部署.docx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供应商应针对本项目工程量清单及图纸编制施工方案，包含但不限于①房屋建筑与装饰工程、②通用安装工程。 二、评审标准 2.完整性：方案必须全面，对清单及图纸内容中的各项要求有详细描述； 3.可实施性：切合本项目实际情况，提出步骤清晰、满足需求的方案。 3.针对性：方案能够紧扣项目实际情况，内容科学合理。 三、赋分标准（满分12分） 每小项：每完全满足一个评审标准得2分，每小项满分6分；共2小项，满分12分。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供应商应针对本项目实际情况编制施工进度计划，包含但不限于①确保工期的技术组织措施、②总工期安排、③分部分项工程节点工期、④流水作业规划（常用横道图 / 网络图表示）。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应针对本项目实际情况编制资源配置计划，包含但不限于①项目管理机构及项目人员配备（含管理人员、作业班组及相关技工人员的专业搭配、工作内容配置、人员数量）、②材料设备投入计划（主材供应、机械进场计划）、③资金使用计划、④施工现场平面布置计划。 二、评审标准 1.可实施性：切合本项目实际情况，提出步骤清晰、满足需求的方案。 2.针对性：方案能够紧扣项目实际情况，内容科学合理。 三、赋分标准（满分10分） ①项目管理机构及项目人员配备：每满足一个评审标准得2分，满分4分。 ②材料设备投入计划：每满足一个评审标准得1分，满分2分。 ③资金使用计划：每满足一个评审标准得1分，满分2分。 ④施工现场平面布置计划：每满足一个评审标准得1分，满分2分。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4资源配置计划.docx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应针对本项目实际情况编制质量保证措施，包含但不限于①组织保障措施（建立质量管理体系、明确岗位职责、质量考核与奖惩）、②质量预防措施（技术、机械、材料以及人员管控）、③质量控制措施（工序质量、试验检测、过程纠偏、成品保护）、④质量资料管理。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5质量保证措施.docx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三、赋分标准（满分8分） 每小项：每完全满足一个评审标准得1分，每小项满分2分；共4小项，满分8分。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6安全文明施工与环保措施.docx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1.可实施性：切合本项目实际情况，提出步骤清晰、满足需求的方案。 2.针对性：方案能够紧扣项目实际情况，内容科学合理。 三、赋分标准（满分6分） 每小项：每完全满足一个评审标准得1.5分，每小项满分3分；共2小项，满分6分。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一、评审内容 根据供应商针对本项目提供的劳动力安排计划及劳务分包情况，包含但不限于①劳动力安排计划、②劳务分包情况。 二、评审标准 1.可实施性：切合本项目实际情况，提出步骤清晰、满足需求的方案。 2.针对性：方案能够紧扣项目实际情况，内容科学合理。 三、赋分标准（满分4分） 每小项：每完全满足一个评审标准得1分，每小项满分2分；共2小项，满分4分。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8劳动力安排计划及劳务分包情况.docx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详见附件：1施工部署.docx</w:t>
      </w:r>
    </w:p>
    <w:p>
      <w:pPr>
        <w:pStyle w:val="null3"/>
        <w:ind w:firstLine="960"/>
      </w:pPr>
      <w:r>
        <w:rPr>
          <w:rFonts w:ascii="仿宋_GB2312" w:hAnsi="仿宋_GB2312" w:cs="仿宋_GB2312" w:eastAsia="仿宋_GB2312"/>
        </w:rPr>
        <w:t>详见附件：2施工方案.docx</w:t>
      </w:r>
    </w:p>
    <w:p>
      <w:pPr>
        <w:pStyle w:val="null3"/>
        <w:ind w:firstLine="960"/>
      </w:pPr>
      <w:r>
        <w:rPr>
          <w:rFonts w:ascii="仿宋_GB2312" w:hAnsi="仿宋_GB2312" w:cs="仿宋_GB2312" w:eastAsia="仿宋_GB2312"/>
        </w:rPr>
        <w:t>详见附件：3施工进度计划.docx</w:t>
      </w:r>
    </w:p>
    <w:p>
      <w:pPr>
        <w:pStyle w:val="null3"/>
        <w:ind w:firstLine="960"/>
      </w:pPr>
      <w:r>
        <w:rPr>
          <w:rFonts w:ascii="仿宋_GB2312" w:hAnsi="仿宋_GB2312" w:cs="仿宋_GB2312" w:eastAsia="仿宋_GB2312"/>
        </w:rPr>
        <w:t>详见附件：4资源配置计划.docx</w:t>
      </w:r>
    </w:p>
    <w:p>
      <w:pPr>
        <w:pStyle w:val="null3"/>
        <w:ind w:firstLine="960"/>
      </w:pPr>
      <w:r>
        <w:rPr>
          <w:rFonts w:ascii="仿宋_GB2312" w:hAnsi="仿宋_GB2312" w:cs="仿宋_GB2312" w:eastAsia="仿宋_GB2312"/>
        </w:rPr>
        <w:t>详见附件：5质量保证措施.docx</w:t>
      </w:r>
    </w:p>
    <w:p>
      <w:pPr>
        <w:pStyle w:val="null3"/>
        <w:ind w:firstLine="960"/>
      </w:pPr>
      <w:r>
        <w:rPr>
          <w:rFonts w:ascii="仿宋_GB2312" w:hAnsi="仿宋_GB2312" w:cs="仿宋_GB2312" w:eastAsia="仿宋_GB2312"/>
        </w:rPr>
        <w:t>详见附件：6安全文明施工与环保措施.docx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详见附件：8劳动力安排计划及劳务分包情况.docx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