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版本号：ZDCG202608040120260821001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西安市单元详细规划管控一张图前期技术统筹相关研究和西安市国土空间详细规划全过程统筹与全流程技术服务项目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ZDCG2026080401</w:t>
      </w:r>
      <w:r>
        <w:br/>
      </w:r>
      <w:r>
        <w:br/>
      </w:r>
      <w:r>
        <w:br/>
      </w:r>
    </w:p>
    <w:p>
      <w:pPr>
        <w:pStyle w:val="null3"/>
        <w:jc w:val="center"/>
        <w:outlineLvl w:val="2"/>
      </w:pPr>
      <w:r>
        <w:rPr>
          <w:rFonts w:ascii="仿宋_GB2312" w:hAnsi="仿宋_GB2312" w:cs="仿宋_GB2312" w:eastAsia="仿宋_GB2312"/>
          <w:sz w:val="28"/>
          <w:b/>
        </w:rPr>
        <w:t>西安市自然资源和规划局（本级）</w:t>
      </w:r>
    </w:p>
    <w:p>
      <w:pPr>
        <w:pStyle w:val="null3"/>
        <w:jc w:val="center"/>
        <w:outlineLvl w:val="2"/>
      </w:pPr>
      <w:r>
        <w:rPr>
          <w:rFonts w:ascii="仿宋_GB2312" w:hAnsi="仿宋_GB2312" w:cs="仿宋_GB2312" w:eastAsia="仿宋_GB2312"/>
          <w:sz w:val="28"/>
          <w:b/>
        </w:rPr>
        <w:t>正大鹏安建设项目管理有限公司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正大鹏安建设项目管理有限公司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西安市自然资源和规划局（本级）</w:t>
      </w:r>
      <w:r>
        <w:rPr>
          <w:rFonts w:ascii="仿宋_GB2312" w:hAnsi="仿宋_GB2312" w:cs="仿宋_GB2312" w:eastAsia="仿宋_GB2312"/>
        </w:rPr>
        <w:t>委托，拟对</w:t>
      </w:r>
      <w:r>
        <w:rPr>
          <w:rFonts w:ascii="仿宋_GB2312" w:hAnsi="仿宋_GB2312" w:cs="仿宋_GB2312" w:eastAsia="仿宋_GB2312"/>
        </w:rPr>
        <w:t>西安市单元详细规划管控一张图前期技术统筹相关研究和西安市国土空间详细规划全过程统筹与全流程技术服务项目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ZDCG2026080401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西安市单元详细规划管控一张图前期技术统筹相关研究和西安市国土空间详细规划全过程统筹与全流程技术服务项目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贯彻落实《自然资源部关于加强国土空间详细规划工作的通知(自然资发〔2023〕43号)》《西安市加快国土空间详细规划编制组织实施方案》(市政办发〔2024〕34号)《西安市编制国土空间详细规划组织管理实施方案》(市政办发〔2025〕68号)有关要求，做好西安市详细规划编制全流程统筹组织与管理，以及全过程技术支撑和服务保障，按照工作安排，现需开展西安市单元详细规划管控一张图前期技术统筹相关研究和西安市国土空间详细规划全过程统筹与全流程技术服务工作。持续完善详细规划编制管理的技术支撑与组织实施，解决规划编制统筹不足、标准不统一、技术把控不到位等现实问题，提升详细规划的针对性和可实施性。</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2、资质证书：供应商须具备相关行政主管部门颁发的城乡规划(国土空间规划)编制单位甲级资质。</w:t>
      </w:r>
    </w:p>
    <w:p>
      <w:pPr>
        <w:pStyle w:val="null3"/>
      </w:pPr>
      <w:r>
        <w:rPr>
          <w:rFonts w:ascii="仿宋_GB2312" w:hAnsi="仿宋_GB2312" w:cs="仿宋_GB2312" w:eastAsia="仿宋_GB2312"/>
        </w:rPr>
        <w:t>3、法定代表人授权委托书：法定代表人参加投标的，须提供本人身份证复印件（附在资格证明文件中）；法定代表人授权他人参加投标的，须提供法定代表人授权委托书。采购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4、财务状况报告：提供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或财政部门认可的政府采购专业担保机构出具的投标担保函。（以上三种形式的资料提供任何一种即可）</w:t>
      </w:r>
    </w:p>
    <w:p>
      <w:pPr>
        <w:pStyle w:val="null3"/>
      </w:pPr>
      <w:r>
        <w:rPr>
          <w:rFonts w:ascii="仿宋_GB2312" w:hAnsi="仿宋_GB2312" w:cs="仿宋_GB2312" w:eastAsia="仿宋_GB2312"/>
        </w:rPr>
        <w:t>5、书面声明：履行合同所必需的设备和专业技术能力：具备履行合同所必需的设备和专业技术能力的证明材料或书面声明。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6、社保缴纳证明：提供2025年8月至递交投标文件截止之日前已缴纳任意一个月的社会保障资金缴存单据或社保机构开具的社会保险参保缴费证明，依法不需要缴纳社会保障资金的单位应提供相应证明文件。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7、税收缴纳证明：提供2025年8月至递交投标文件截止之日前已缴纳的任意一个月依法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8、采购活动前三年内在经营活动中没有重大违法记录：提供《近三年无重大违法、违纪书面声明》。</w:t>
      </w:r>
    </w:p>
    <w:p>
      <w:pPr>
        <w:pStyle w:val="null3"/>
      </w:pPr>
      <w:r>
        <w:rPr>
          <w:rFonts w:ascii="仿宋_GB2312" w:hAnsi="仿宋_GB2312" w:cs="仿宋_GB2312" w:eastAsia="仿宋_GB2312"/>
        </w:rPr>
        <w:t>9、信用记录查询：供应商通过“信用中国”网站(www.creditchina.gov.cn)、中国政府采购网(www.ccgp.gov.cn)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以采购人或采购代理机构开标当天查询结果为准）</w:t>
      </w:r>
    </w:p>
    <w:p>
      <w:pPr>
        <w:pStyle w:val="null3"/>
      </w:pPr>
      <w:r>
        <w:rPr>
          <w:rFonts w:ascii="仿宋_GB2312" w:hAnsi="仿宋_GB2312" w:cs="仿宋_GB2312" w:eastAsia="仿宋_GB2312"/>
        </w:rPr>
        <w:t>10、关联关系：提供直接控股和管理关系清单。单位负责人为同一人或者存在直接控股、管理关系的不同供应商不得参加同一合同项下的政府采购活动。</w:t>
      </w:r>
    </w:p>
    <w:p>
      <w:pPr>
        <w:pStyle w:val="null3"/>
      </w:pPr>
      <w:r>
        <w:rPr>
          <w:rFonts w:ascii="仿宋_GB2312" w:hAnsi="仿宋_GB2312" w:cs="仿宋_GB2312" w:eastAsia="仿宋_GB2312"/>
        </w:rPr>
        <w:t>11、本项目不接受联合体投标，不允许分包：供应商应提供《非联合体不分包投标声明》，视为独立投标，不分包。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西安市自然资源和规划局（本级）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西安市经济技术开发区凤城九路139号1号楼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刘梦佳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029-61329215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正大鹏安建设项目管理有限公司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陕西省西安市新城区长乐中路38号金花新都汇C座12层01室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马咄、魏雪妮、薛丽斌、梁博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13088999919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代理服务费收费标准：以成交金额为取费基数，招标代理服务费收取参照原国家计委颁布的《招标代理服务收费管理暂行办法》（计价格[2002]1980号）和（发改办价格[2003]857号）收费标准计取。 代理服务费缴纳账户信息： 开户名称：正大鹏安建设项目管理有限公司 开户银行:陕西秦农农村商业银行股份有限公司新城支行 账 号:2701131601201000028739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西安市自然资源和规划局（本级）</w:t>
      </w:r>
      <w:r>
        <w:rPr>
          <w:rFonts w:ascii="仿宋_GB2312" w:hAnsi="仿宋_GB2312" w:cs="仿宋_GB2312" w:eastAsia="仿宋_GB2312"/>
        </w:rPr>
        <w:t>和</w:t>
      </w:r>
      <w:r>
        <w:rPr>
          <w:rFonts w:ascii="仿宋_GB2312" w:hAnsi="仿宋_GB2312" w:cs="仿宋_GB2312" w:eastAsia="仿宋_GB2312"/>
        </w:rPr>
        <w:t>正大鹏安建设项目管理有限公司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西安市自然资源和规划局（本级）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正大鹏安建设项目管理有限公司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西安市自然资源和规划局（本级）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正大鹏安建设项目管理有限公司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知识产权：成果的知识产权归采购人所有。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1.招标文件；2.投标文件；3.相关法规、规范。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联系人：梁博</w:t>
      </w:r>
    </w:p>
    <w:p>
      <w:pPr>
        <w:pStyle w:val="null3"/>
      </w:pPr>
      <w:r>
        <w:rPr>
          <w:rFonts w:ascii="仿宋_GB2312" w:hAnsi="仿宋_GB2312" w:cs="仿宋_GB2312" w:eastAsia="仿宋_GB2312"/>
        </w:rPr>
        <w:t>联系电话：13088999919</w:t>
      </w:r>
    </w:p>
    <w:p>
      <w:pPr>
        <w:pStyle w:val="null3"/>
      </w:pPr>
      <w:r>
        <w:rPr>
          <w:rFonts w:ascii="仿宋_GB2312" w:hAnsi="仿宋_GB2312" w:cs="仿宋_GB2312" w:eastAsia="仿宋_GB2312"/>
        </w:rPr>
        <w:t>地址：陕西省西安市新城区长乐中路38号金花新都汇C座12层01室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西安市单元详细规划管控一张图前期技术统筹相关研究和西安市国土空间详细规划全过程统筹与全流程技术服务项目。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11,000,000.00</w:t>
      </w:r>
    </w:p>
    <w:p>
      <w:pPr>
        <w:pStyle w:val="null3"/>
      </w:pPr>
      <w:r>
        <w:rPr>
          <w:rFonts w:ascii="仿宋_GB2312" w:hAnsi="仿宋_GB2312" w:cs="仿宋_GB2312" w:eastAsia="仿宋_GB2312"/>
        </w:rPr>
        <w:t>采购包最高限价（元）: 11,000,000.00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西安市单元详细规划管控一张图前期技术统筹相关研究和西安市国土空间详细规划全过程统筹与全流程技术服务项目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标的名称：西安市单元详细规划管控一张图前期技术统筹相关研究和西安市国土空间详细规划全过程统筹与全流程技术服务项目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项目概况：</w:t>
            </w:r>
          </w:p>
          <w:p>
            <w:pPr>
              <w:pStyle w:val="null3"/>
              <w:ind w:firstLine="480"/>
              <w:jc w:val="both"/>
            </w:pPr>
            <w:r>
              <w:rPr>
                <w:rFonts w:ascii="仿宋_GB2312" w:hAnsi="仿宋_GB2312" w:cs="仿宋_GB2312" w:eastAsia="仿宋_GB2312"/>
                <w:sz w:val="24"/>
              </w:rPr>
              <w:t>为贯彻落实《自然资源部关于加强国土空间详细规划工作的通知</w:t>
            </w:r>
            <w:r>
              <w:rPr>
                <w:rFonts w:ascii="仿宋_GB2312" w:hAnsi="仿宋_GB2312" w:cs="仿宋_GB2312" w:eastAsia="仿宋_GB2312"/>
                <w:sz w:val="24"/>
              </w:rPr>
              <w:t>(自然资发〔2023〕43号)》《西安市加快国土空间详细规划编制组织实施方案》(市政办发〔2024〕34号)《西安市编制国土空间详细规划组织管理实施方案》(市政办发〔2025〕68号)有关要求，做好西安市详细规划编制全流程统筹组织与管理，以及全过程技术支撑和服务保障，按照工作安排，现需开展西安市单元详细规划管控一张图前期技术统筹相关研究和西安市国土空间详细规划全过程统筹与全流程技术服务工作。持续完善详细规划编制管理的技术支撑与组织实施，解决规划编制统筹不足、标准不统一、技术把控不到位等现实问题，提升详细规划的针对性和可实施性。</w:t>
            </w:r>
          </w:p>
          <w:p>
            <w:pPr>
              <w:pStyle w:val="null3"/>
              <w:spacing w:after="165"/>
              <w:ind w:firstLine="480"/>
              <w:jc w:val="both"/>
            </w:pPr>
            <w:r>
              <w:rPr>
                <w:rFonts w:ascii="仿宋_GB2312" w:hAnsi="仿宋_GB2312" w:cs="仿宋_GB2312" w:eastAsia="仿宋_GB2312"/>
                <w:sz w:val="24"/>
              </w:rPr>
              <w:t>二、</w:t>
            </w:r>
            <w:r>
              <w:rPr>
                <w:rFonts w:ascii="仿宋_GB2312" w:hAnsi="仿宋_GB2312" w:cs="仿宋_GB2312" w:eastAsia="仿宋_GB2312"/>
                <w:sz w:val="24"/>
              </w:rPr>
              <w:t>服务内容</w:t>
            </w:r>
            <w:r>
              <w:rPr>
                <w:rFonts w:ascii="仿宋_GB2312" w:hAnsi="仿宋_GB2312" w:cs="仿宋_GB2312" w:eastAsia="仿宋_GB2312"/>
                <w:sz w:val="24"/>
              </w:rPr>
              <w:t>：</w:t>
            </w:r>
          </w:p>
          <w:p>
            <w:pPr>
              <w:pStyle w:val="null3"/>
              <w:spacing w:after="165"/>
              <w:ind w:firstLine="480"/>
              <w:jc w:val="both"/>
            </w:pPr>
            <w:r>
              <w:rPr>
                <w:rFonts w:ascii="仿宋_GB2312" w:hAnsi="仿宋_GB2312" w:cs="仿宋_GB2312" w:eastAsia="仿宋_GB2312"/>
                <w:sz w:val="24"/>
              </w:rPr>
              <w:t>（一）技术统筹相关研究</w:t>
            </w:r>
          </w:p>
          <w:p>
            <w:pPr>
              <w:pStyle w:val="null3"/>
              <w:spacing w:after="165"/>
              <w:ind w:firstLine="480"/>
              <w:jc w:val="both"/>
            </w:pPr>
            <w:r>
              <w:rPr>
                <w:rFonts w:ascii="仿宋_GB2312" w:hAnsi="仿宋_GB2312" w:cs="仿宋_GB2312" w:eastAsia="仿宋_GB2312"/>
                <w:sz w:val="24"/>
              </w:rPr>
              <w:t>开展省市单元详细规划技术标准衔接专题、西安市单元详细规划技术成果要求专题、西安市单元详细规划管控一张图各层级技术总控专题、西安市详细规划编审督一体化创新路径专题等专题研究工作，为全过程统筹与全流程技术服务提供支撑。</w:t>
            </w:r>
          </w:p>
          <w:p>
            <w:pPr>
              <w:pStyle w:val="null3"/>
              <w:spacing w:after="165"/>
              <w:ind w:firstLine="480"/>
              <w:jc w:val="both"/>
            </w:pPr>
            <w:r>
              <w:rPr>
                <w:rFonts w:ascii="仿宋_GB2312" w:hAnsi="仿宋_GB2312" w:cs="仿宋_GB2312" w:eastAsia="仿宋_GB2312"/>
                <w:sz w:val="24"/>
              </w:rPr>
              <w:t>(二)统筹组织</w:t>
            </w:r>
          </w:p>
          <w:p>
            <w:pPr>
              <w:pStyle w:val="null3"/>
              <w:spacing w:after="165"/>
              <w:ind w:firstLine="480"/>
              <w:jc w:val="both"/>
            </w:pPr>
            <w:r>
              <w:rPr>
                <w:rFonts w:ascii="仿宋_GB2312" w:hAnsi="仿宋_GB2312" w:cs="仿宋_GB2312" w:eastAsia="仿宋_GB2312"/>
                <w:sz w:val="24"/>
              </w:rPr>
              <w:t>按照</w:t>
            </w:r>
            <w:r>
              <w:rPr>
                <w:rFonts w:ascii="仿宋_GB2312" w:hAnsi="仿宋_GB2312" w:cs="仿宋_GB2312" w:eastAsia="仿宋_GB2312"/>
                <w:sz w:val="24"/>
              </w:rPr>
              <w:t>“行政+技术”双统筹的工作要求，统筹协调相关部门、技术团队等多方力量，做好全过程技术总统筹相关工作；细化技术统筹工作举措、明确编制计划、压实各方责任、强化保障措施；衔接“两层四阶段”详细规划体系，统筹各片区形成全市单元详细规划成果。</w:t>
            </w:r>
          </w:p>
          <w:p>
            <w:pPr>
              <w:pStyle w:val="null3"/>
              <w:spacing w:after="165"/>
              <w:ind w:firstLine="480"/>
              <w:jc w:val="both"/>
            </w:pPr>
            <w:r>
              <w:rPr>
                <w:rFonts w:ascii="仿宋_GB2312" w:hAnsi="仿宋_GB2312" w:cs="仿宋_GB2312" w:eastAsia="仿宋_GB2312"/>
                <w:sz w:val="24"/>
              </w:rPr>
              <w:t>（三）规划服务</w:t>
            </w:r>
          </w:p>
          <w:p>
            <w:pPr>
              <w:pStyle w:val="null3"/>
              <w:spacing w:after="165"/>
              <w:ind w:firstLine="480"/>
              <w:jc w:val="both"/>
            </w:pPr>
            <w:r>
              <w:rPr>
                <w:rFonts w:ascii="仿宋_GB2312" w:hAnsi="仿宋_GB2312" w:cs="仿宋_GB2312" w:eastAsia="仿宋_GB2312"/>
                <w:sz w:val="24"/>
              </w:rPr>
              <w:t>制定西安市详细规划数据库标准、专项标图建库技术要求；制定西安市详细规划全过程技术统筹要点；编制全市、各片区单元详细规划各阶段成果技术统筹报告；统筹划定全域详规单元，明确外围单元管控要求。</w:t>
            </w:r>
          </w:p>
          <w:p>
            <w:pPr>
              <w:pStyle w:val="null3"/>
              <w:spacing w:after="165"/>
              <w:ind w:firstLine="480"/>
              <w:jc w:val="both"/>
            </w:pPr>
            <w:r>
              <w:rPr>
                <w:rFonts w:ascii="仿宋_GB2312" w:hAnsi="仿宋_GB2312" w:cs="仿宋_GB2312" w:eastAsia="仿宋_GB2312"/>
                <w:sz w:val="24"/>
              </w:rPr>
              <w:t>（四）数据服务</w:t>
            </w:r>
          </w:p>
          <w:p>
            <w:pPr>
              <w:pStyle w:val="null3"/>
              <w:spacing w:after="165"/>
              <w:ind w:firstLine="480"/>
              <w:jc w:val="both"/>
            </w:pPr>
            <w:r>
              <w:rPr>
                <w:rFonts w:ascii="仿宋_GB2312" w:hAnsi="仿宋_GB2312" w:cs="仿宋_GB2312" w:eastAsia="仿宋_GB2312"/>
                <w:sz w:val="24"/>
              </w:rPr>
              <w:t>面向详细规划编制全过程统筹，落实总规传导、衔接专项规划，围绕详细规划体系贯通，统筹各片区规划深度要求、问题核查、方案衔接等，提供标准化和精准化的数据保障，完成技术统筹过程中的数据质检软件开发；开展各阶段单元详细规划的成果质检及专项标图建库数据质检。</w:t>
            </w:r>
          </w:p>
          <w:p>
            <w:pPr>
              <w:pStyle w:val="null3"/>
              <w:spacing w:after="165"/>
              <w:ind w:firstLine="480"/>
              <w:jc w:val="both"/>
            </w:pPr>
            <w:r>
              <w:rPr>
                <w:rFonts w:ascii="仿宋_GB2312" w:hAnsi="仿宋_GB2312" w:cs="仿宋_GB2312" w:eastAsia="仿宋_GB2312"/>
                <w:sz w:val="24"/>
              </w:rPr>
              <w:t>（五）其他技术服务</w:t>
            </w:r>
          </w:p>
          <w:p>
            <w:pPr>
              <w:pStyle w:val="null3"/>
              <w:spacing w:after="165"/>
              <w:ind w:firstLine="480"/>
              <w:jc w:val="both"/>
            </w:pPr>
            <w:r>
              <w:rPr>
                <w:rFonts w:ascii="仿宋_GB2312" w:hAnsi="仿宋_GB2312" w:cs="仿宋_GB2312" w:eastAsia="仿宋_GB2312"/>
                <w:sz w:val="24"/>
              </w:rPr>
              <w:t>统筹各片区单元管控一张图，形成符合部省要求的单元详细规划成果，直至完成省厅备案相关工作；配合研究制定详细规划审批管理的流程机制、管理办法、实施指引等政策文件；持续开展全过程工作组织、技术培训指导、行政</w:t>
            </w:r>
            <w:r>
              <w:rPr>
                <w:rFonts w:ascii="仿宋_GB2312" w:hAnsi="仿宋_GB2312" w:cs="仿宋_GB2312" w:eastAsia="仿宋_GB2312"/>
                <w:sz w:val="24"/>
              </w:rPr>
              <w:t>+技术反馈协调、成果汇总统筹及基础数据服务、日常工作保障等。</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技术要求</w:t>
            </w:r>
            <w:r>
              <w:rPr>
                <w:rFonts w:ascii="仿宋_GB2312" w:hAnsi="仿宋_GB2312" w:cs="仿宋_GB2312" w:eastAsia="仿宋_GB2312"/>
                <w:sz w:val="24"/>
                <w:b/>
              </w:rPr>
              <w:t>：</w:t>
            </w:r>
          </w:p>
          <w:p>
            <w:pPr>
              <w:pStyle w:val="null3"/>
              <w:spacing w:after="165"/>
              <w:ind w:firstLine="480"/>
              <w:jc w:val="both"/>
            </w:pPr>
            <w:r>
              <w:rPr>
                <w:rFonts w:ascii="仿宋_GB2312" w:hAnsi="仿宋_GB2312" w:cs="仿宋_GB2312" w:eastAsia="仿宋_GB2312"/>
                <w:sz w:val="24"/>
              </w:rPr>
              <w:t>（一）成果质量要求：</w:t>
            </w:r>
          </w:p>
          <w:p>
            <w:pPr>
              <w:pStyle w:val="null3"/>
              <w:spacing w:after="165"/>
              <w:ind w:firstLine="480"/>
              <w:jc w:val="both"/>
            </w:pPr>
            <w:r>
              <w:rPr>
                <w:rFonts w:ascii="仿宋_GB2312" w:hAnsi="仿宋_GB2312" w:cs="仿宋_GB2312" w:eastAsia="仿宋_GB2312"/>
                <w:sz w:val="24"/>
              </w:rPr>
              <w:t>严格依据国家相关行业标准和规范，自然资源部、陕西省自然资源厅相关技术规定以及西安市政府、西安市自然资源和规划局的相关要求。</w:t>
            </w:r>
          </w:p>
          <w:p>
            <w:pPr>
              <w:pStyle w:val="null3"/>
              <w:spacing w:after="165"/>
              <w:ind w:firstLine="480"/>
              <w:jc w:val="both"/>
            </w:pPr>
            <w:r>
              <w:rPr>
                <w:rFonts w:ascii="仿宋_GB2312" w:hAnsi="仿宋_GB2312" w:cs="仿宋_GB2312" w:eastAsia="仿宋_GB2312"/>
                <w:sz w:val="24"/>
              </w:rPr>
              <w:t>（二）成果交付要求：</w:t>
            </w:r>
          </w:p>
          <w:p>
            <w:pPr>
              <w:pStyle w:val="null3"/>
              <w:spacing w:after="165"/>
              <w:ind w:firstLine="480"/>
              <w:jc w:val="both"/>
            </w:pPr>
            <w:r>
              <w:rPr>
                <w:rFonts w:ascii="仿宋_GB2312" w:hAnsi="仿宋_GB2312" w:cs="仿宋_GB2312" w:eastAsia="仿宋_GB2312"/>
                <w:sz w:val="24"/>
              </w:rPr>
              <w:t>1.形成包含专题研究、全域单元划定及管控规则成果、技术统筹报告、质检软件、数据质检报告等相关成果内容。</w:t>
            </w:r>
          </w:p>
          <w:p>
            <w:pPr>
              <w:pStyle w:val="null3"/>
              <w:spacing w:after="165"/>
              <w:ind w:firstLine="480"/>
              <w:jc w:val="both"/>
            </w:pPr>
            <w:r>
              <w:rPr>
                <w:rFonts w:ascii="仿宋_GB2312" w:hAnsi="仿宋_GB2312" w:cs="仿宋_GB2312" w:eastAsia="仿宋_GB2312"/>
                <w:sz w:val="24"/>
              </w:rPr>
              <w:t>2.纸质成果要求：报告，加盖公章/技术成果章，图面字体清晰。</w:t>
            </w:r>
          </w:p>
          <w:p>
            <w:pPr>
              <w:pStyle w:val="null3"/>
              <w:spacing w:after="120"/>
              <w:ind w:right="90" w:firstLine="578"/>
              <w:jc w:val="left"/>
            </w:pPr>
            <w:r>
              <w:rPr>
                <w:rFonts w:ascii="仿宋_GB2312" w:hAnsi="仿宋_GB2312" w:cs="仿宋_GB2312" w:eastAsia="仿宋_GB2312"/>
                <w:sz w:val="24"/>
              </w:rPr>
              <w:t>3.电子成果要求：数据库文件采用gdb格式，电子成果与纸质成果相对应，文本文件采用word和pdf格式。</w:t>
            </w:r>
          </w:p>
          <w:p>
            <w:pPr>
              <w:pStyle w:val="null3"/>
              <w:ind w:firstLine="480"/>
              <w:jc w:val="both"/>
            </w:pPr>
            <w:r>
              <w:rPr>
                <w:rFonts w:ascii="仿宋_GB2312" w:hAnsi="仿宋_GB2312" w:cs="仿宋_GB2312" w:eastAsia="仿宋_GB2312"/>
                <w:sz w:val="24"/>
              </w:rPr>
              <w:t>四、</w:t>
            </w:r>
            <w:r>
              <w:rPr>
                <w:rFonts w:ascii="仿宋_GB2312" w:hAnsi="仿宋_GB2312" w:cs="仿宋_GB2312" w:eastAsia="仿宋_GB2312"/>
                <w:sz w:val="24"/>
              </w:rPr>
              <w:t>服务要求：</w:t>
            </w:r>
          </w:p>
          <w:p>
            <w:pPr>
              <w:pStyle w:val="null3"/>
              <w:spacing w:after="165"/>
              <w:ind w:firstLine="480"/>
              <w:jc w:val="both"/>
            </w:pPr>
            <w:r>
              <w:rPr>
                <w:rFonts w:ascii="仿宋_GB2312" w:hAnsi="仿宋_GB2312" w:cs="仿宋_GB2312" w:eastAsia="仿宋_GB2312"/>
                <w:sz w:val="24"/>
              </w:rPr>
              <w:t>（一）服务商须精心组建项目团队，确定项目负责人，并对项目团队的政治素质和业务素质负责。</w:t>
            </w:r>
          </w:p>
          <w:p>
            <w:pPr>
              <w:pStyle w:val="null3"/>
              <w:spacing w:after="165"/>
              <w:ind w:firstLine="480"/>
              <w:jc w:val="both"/>
            </w:pPr>
            <w:r>
              <w:rPr>
                <w:rFonts w:ascii="仿宋_GB2312" w:hAnsi="仿宋_GB2312" w:cs="仿宋_GB2312" w:eastAsia="仿宋_GB2312"/>
                <w:sz w:val="24"/>
              </w:rPr>
              <w:t>（二）项目组成员须有较强的组织和协调能力，具有较高的理论素养和分析解决问题的能力。</w:t>
            </w:r>
          </w:p>
          <w:p>
            <w:pPr>
              <w:pStyle w:val="null3"/>
              <w:spacing w:after="165"/>
              <w:ind w:firstLine="480"/>
              <w:jc w:val="both"/>
            </w:pPr>
            <w:r>
              <w:rPr>
                <w:rFonts w:ascii="仿宋_GB2312" w:hAnsi="仿宋_GB2312" w:cs="仿宋_GB2312" w:eastAsia="仿宋_GB2312"/>
                <w:sz w:val="24"/>
              </w:rPr>
              <w:t>（三）项目负责人必须是该项目实施全过程的真正组织者和指导者，并担负项目成果审查工作。</w:t>
            </w:r>
          </w:p>
          <w:p>
            <w:pPr>
              <w:pStyle w:val="null3"/>
              <w:spacing w:after="165"/>
              <w:ind w:firstLine="480"/>
              <w:jc w:val="both"/>
            </w:pPr>
            <w:r>
              <w:rPr>
                <w:rFonts w:ascii="仿宋_GB2312" w:hAnsi="仿宋_GB2312" w:cs="仿宋_GB2312" w:eastAsia="仿宋_GB2312"/>
                <w:sz w:val="24"/>
              </w:rPr>
              <w:t>（四）项目团队成员应当熟悉国土空间详细规划的相关内容，项目实施应紧贴上位政策要求。</w:t>
            </w:r>
          </w:p>
          <w:p>
            <w:pPr>
              <w:pStyle w:val="null3"/>
              <w:spacing w:after="165"/>
              <w:ind w:firstLine="480"/>
              <w:jc w:val="both"/>
            </w:pPr>
            <w:r>
              <w:rPr>
                <w:rFonts w:ascii="仿宋_GB2312" w:hAnsi="仿宋_GB2312" w:cs="仿宋_GB2312" w:eastAsia="仿宋_GB2312"/>
                <w:sz w:val="24"/>
              </w:rPr>
              <w:t>（五）项目团队成员及其主要成员履约过程中不得随意更换，确需调整时，须书面提请采购人同意。</w:t>
            </w:r>
          </w:p>
          <w:p>
            <w:pPr>
              <w:pStyle w:val="null3"/>
              <w:spacing w:after="165"/>
              <w:ind w:firstLine="480"/>
              <w:jc w:val="both"/>
            </w:pPr>
            <w:r>
              <w:rPr>
                <w:rFonts w:ascii="仿宋_GB2312" w:hAnsi="仿宋_GB2312" w:cs="仿宋_GB2312" w:eastAsia="仿宋_GB2312"/>
                <w:sz w:val="24"/>
              </w:rPr>
              <w:t>（六）项目团队需对项目全过程涉密资料及数据进行保密。</w:t>
            </w:r>
          </w:p>
          <w:p>
            <w:pPr>
              <w:pStyle w:val="null3"/>
              <w:ind w:firstLine="480"/>
            </w:pPr>
            <w:r>
              <w:rPr>
                <w:rFonts w:ascii="仿宋_GB2312" w:hAnsi="仿宋_GB2312" w:cs="仿宋_GB2312" w:eastAsia="仿宋_GB2312"/>
                <w:sz w:val="24"/>
                <w:b/>
              </w:rPr>
              <w:t>五、商务要求：</w:t>
            </w:r>
          </w:p>
          <w:p>
            <w:pPr>
              <w:pStyle w:val="null3"/>
              <w:spacing w:after="165"/>
              <w:ind w:firstLine="480"/>
              <w:jc w:val="both"/>
            </w:pPr>
            <w:r>
              <w:rPr>
                <w:rFonts w:ascii="仿宋_GB2312" w:hAnsi="仿宋_GB2312" w:cs="仿宋_GB2312" w:eastAsia="仿宋_GB2312"/>
                <w:sz w:val="24"/>
              </w:rPr>
              <w:t>（一）服务期限：自合同签订之日起至</w:t>
            </w:r>
            <w:r>
              <w:rPr>
                <w:rFonts w:ascii="仿宋_GB2312" w:hAnsi="仿宋_GB2312" w:cs="仿宋_GB2312" w:eastAsia="仿宋_GB2312"/>
                <w:sz w:val="24"/>
              </w:rPr>
              <w:t>2027年12月15日止。</w:t>
            </w:r>
          </w:p>
          <w:p>
            <w:pPr>
              <w:pStyle w:val="null3"/>
              <w:spacing w:after="165"/>
              <w:ind w:firstLine="480"/>
              <w:jc w:val="both"/>
            </w:pPr>
            <w:r>
              <w:rPr>
                <w:rFonts w:ascii="仿宋_GB2312" w:hAnsi="仿宋_GB2312" w:cs="仿宋_GB2312" w:eastAsia="仿宋_GB2312"/>
                <w:sz w:val="24"/>
              </w:rPr>
              <w:t>（二）款项结算</w:t>
            </w:r>
          </w:p>
          <w:p>
            <w:pPr>
              <w:pStyle w:val="null3"/>
              <w:spacing w:after="165"/>
              <w:ind w:firstLine="480"/>
              <w:jc w:val="both"/>
            </w:pPr>
            <w:r>
              <w:rPr>
                <w:rFonts w:ascii="仿宋_GB2312" w:hAnsi="仿宋_GB2312" w:cs="仿宋_GB2312" w:eastAsia="仿宋_GB2312"/>
                <w:sz w:val="24"/>
              </w:rPr>
              <w:t>1.本项目拟采用政府采购的方式进行；</w:t>
            </w:r>
          </w:p>
          <w:p>
            <w:pPr>
              <w:pStyle w:val="null3"/>
              <w:spacing w:after="165"/>
              <w:ind w:firstLine="480"/>
              <w:jc w:val="both"/>
            </w:pPr>
            <w:r>
              <w:rPr>
                <w:rFonts w:ascii="仿宋_GB2312" w:hAnsi="仿宋_GB2312" w:cs="仿宋_GB2312" w:eastAsia="仿宋_GB2312"/>
                <w:sz w:val="24"/>
              </w:rPr>
              <w:t>2.合同总价一次性包死，不受市场价格变化和税率变化等因素的影响。</w:t>
            </w:r>
          </w:p>
          <w:p>
            <w:pPr>
              <w:pStyle w:val="null3"/>
              <w:spacing w:after="165"/>
              <w:ind w:firstLine="480"/>
              <w:jc w:val="both"/>
            </w:pPr>
            <w:r>
              <w:rPr>
                <w:rFonts w:ascii="仿宋_GB2312" w:hAnsi="仿宋_GB2312" w:cs="仿宋_GB2312" w:eastAsia="仿宋_GB2312"/>
                <w:sz w:val="24"/>
              </w:rPr>
              <w:t>（三）付款比例：</w:t>
            </w:r>
          </w:p>
          <w:p>
            <w:pPr>
              <w:pStyle w:val="null3"/>
              <w:spacing w:after="165"/>
              <w:ind w:firstLine="480"/>
              <w:jc w:val="both"/>
            </w:pPr>
            <w:r>
              <w:rPr>
                <w:rFonts w:ascii="仿宋_GB2312" w:hAnsi="仿宋_GB2312" w:cs="仿宋_GB2312" w:eastAsia="仿宋_GB2312"/>
                <w:sz w:val="24"/>
              </w:rPr>
              <w:t>1.第一阶段：合同签订后，达到付款条件起10个工作日内，支付合同总金额的30.00%。</w:t>
            </w:r>
          </w:p>
          <w:p>
            <w:pPr>
              <w:pStyle w:val="null3"/>
              <w:spacing w:after="165"/>
              <w:ind w:firstLine="480"/>
              <w:jc w:val="both"/>
            </w:pPr>
            <w:r>
              <w:rPr>
                <w:rFonts w:ascii="仿宋_GB2312" w:hAnsi="仿宋_GB2312" w:cs="仿宋_GB2312" w:eastAsia="仿宋_GB2312"/>
                <w:sz w:val="24"/>
              </w:rPr>
              <w:t>2.第二阶段：形成阶段性规划成果草案并完成《省、市单元详细规划技术标准衔接专题》《西安市单元详细规划技术成果要求专题》《西安市单元详细规划管控一张图各层级技术总控专题》《西安市详细规划编审督一体化创新路径专题》并通过专家会评审后，达到付款条件起10个工作日内，支付合同总金额的30.00%。</w:t>
            </w:r>
          </w:p>
          <w:p>
            <w:pPr>
              <w:pStyle w:val="null3"/>
              <w:spacing w:after="165"/>
              <w:ind w:firstLine="480"/>
              <w:jc w:val="both"/>
            </w:pPr>
            <w:r>
              <w:rPr>
                <w:rFonts w:ascii="仿宋_GB2312" w:hAnsi="仿宋_GB2312" w:cs="仿宋_GB2312" w:eastAsia="仿宋_GB2312"/>
                <w:sz w:val="24"/>
              </w:rPr>
              <w:t>3.第三阶段：形成最终成果并经由市资源规划局审查验收后，达到付款条件起10个工作日内，支付合同总金额的40.00%。</w:t>
            </w:r>
          </w:p>
          <w:p>
            <w:pPr>
              <w:pStyle w:val="null3"/>
              <w:spacing w:after="165"/>
              <w:ind w:firstLine="480"/>
              <w:jc w:val="both"/>
            </w:pPr>
            <w:r>
              <w:rPr>
                <w:rFonts w:ascii="仿宋_GB2312" w:hAnsi="仿宋_GB2312" w:cs="仿宋_GB2312" w:eastAsia="仿宋_GB2312"/>
                <w:sz w:val="24"/>
              </w:rPr>
              <w:t>4.支付比例及金额以最终政府采购服务合同约定为准。</w:t>
            </w:r>
          </w:p>
          <w:p>
            <w:pPr>
              <w:pStyle w:val="null3"/>
              <w:spacing w:after="165"/>
              <w:ind w:firstLine="480"/>
              <w:jc w:val="both"/>
            </w:pPr>
            <w:r>
              <w:rPr>
                <w:rFonts w:ascii="仿宋_GB2312" w:hAnsi="仿宋_GB2312" w:cs="仿宋_GB2312" w:eastAsia="仿宋_GB2312"/>
                <w:sz w:val="24"/>
              </w:rPr>
              <w:t>由于本项目为政府委托项目，项目资金需根据政府统一安排，由此本合同内所定的各次付款时间应根据财政局拨付资金的时间相应顺延或调整。</w:t>
            </w:r>
            <w:r>
              <w:rPr>
                <w:rFonts w:ascii="仿宋_GB2312" w:hAnsi="仿宋_GB2312" w:cs="仿宋_GB2312" w:eastAsia="仿宋_GB2312"/>
                <w:sz w:val="24"/>
              </w:rPr>
              <w:t>5. 结算方式：银行转账。</w:t>
            </w:r>
          </w:p>
          <w:p>
            <w:pPr>
              <w:pStyle w:val="null3"/>
              <w:spacing w:after="165"/>
              <w:ind w:firstLine="480"/>
              <w:jc w:val="both"/>
            </w:pPr>
            <w:r>
              <w:rPr>
                <w:rFonts w:ascii="仿宋_GB2312" w:hAnsi="仿宋_GB2312" w:cs="仿宋_GB2312" w:eastAsia="仿宋_GB2312"/>
                <w:sz w:val="24"/>
              </w:rPr>
              <w:t>5.乙方应确保所指定账户为唯一收款账户，确保该账户的稳定性与准确性，乙方变更收款账户信息的，应当提前10个工作日书面告知甲方。如因乙方提供账户信息不准确、不真实，或变动账户后不及时告知甲方，导致甲方付款错误或失败的，甲方不承担逾期付款责任，由乙方承担一切损失赔偿责任。</w:t>
            </w:r>
          </w:p>
          <w:p>
            <w:pPr>
              <w:pStyle w:val="null3"/>
              <w:spacing w:after="165"/>
              <w:ind w:firstLine="480"/>
              <w:jc w:val="both"/>
            </w:pPr>
            <w:r>
              <w:rPr>
                <w:rFonts w:ascii="仿宋_GB2312" w:hAnsi="仿宋_GB2312" w:cs="仿宋_GB2312" w:eastAsia="仿宋_GB2312"/>
                <w:sz w:val="24"/>
              </w:rPr>
              <w:t>6.由甲方负责结算，甲方付款前，乙方应当开具正式等额合法、合规且符合甲方要求的等额增值税发票，乙方不提供或提供不符合要求的，甲方有权拒绝支付，且不承担因此导致的逾期付款违约责任。</w:t>
            </w:r>
          </w:p>
          <w:p>
            <w:pPr>
              <w:pStyle w:val="null3"/>
              <w:ind w:firstLine="480"/>
            </w:pPr>
            <w:r>
              <w:rPr>
                <w:rFonts w:ascii="仿宋_GB2312" w:hAnsi="仿宋_GB2312" w:cs="仿宋_GB2312" w:eastAsia="仿宋_GB2312"/>
                <w:sz w:val="24"/>
                <w:b/>
              </w:rPr>
              <w:t>六、其他要求：</w:t>
            </w:r>
          </w:p>
          <w:p>
            <w:pPr>
              <w:pStyle w:val="null3"/>
              <w:spacing w:after="165"/>
              <w:ind w:firstLine="480"/>
              <w:jc w:val="both"/>
            </w:pPr>
            <w:r>
              <w:rPr>
                <w:rFonts w:ascii="仿宋_GB2312" w:hAnsi="仿宋_GB2312" w:cs="仿宋_GB2312" w:eastAsia="仿宋_GB2312"/>
                <w:sz w:val="24"/>
              </w:rPr>
              <w:t>（一）符合《中华人民共和国政府采购法》第二十二条、第二</w:t>
            </w:r>
            <w:r>
              <w:rPr>
                <w:rFonts w:ascii="仿宋_GB2312" w:hAnsi="仿宋_GB2312" w:cs="仿宋_GB2312" w:eastAsia="仿宋_GB2312"/>
                <w:sz w:val="24"/>
              </w:rPr>
              <w:t>十三条、第二十四条规定；</w:t>
            </w:r>
          </w:p>
          <w:p>
            <w:pPr>
              <w:pStyle w:val="null3"/>
              <w:spacing w:after="165"/>
              <w:ind w:firstLine="480"/>
              <w:jc w:val="both"/>
            </w:pPr>
            <w:r>
              <w:rPr>
                <w:rFonts w:ascii="仿宋_GB2312" w:hAnsi="仿宋_GB2312" w:cs="仿宋_GB2312" w:eastAsia="仿宋_GB2312"/>
                <w:sz w:val="24"/>
              </w:rPr>
              <w:t>（二）项目不接受联合体。</w:t>
            </w:r>
          </w:p>
          <w:p>
            <w:pPr>
              <w:pStyle w:val="null3"/>
              <w:spacing w:after="165"/>
              <w:ind w:firstLine="480"/>
              <w:jc w:val="both"/>
            </w:pPr>
            <w:r>
              <w:rPr>
                <w:rFonts w:ascii="仿宋_GB2312" w:hAnsi="仿宋_GB2312" w:cs="仿宋_GB2312" w:eastAsia="仿宋_GB2312"/>
                <w:sz w:val="24"/>
              </w:rPr>
              <w:t>（三）技术服务单位需配合完成采购人安排的与本项目有关的其他事项。</w:t>
            </w:r>
          </w:p>
          <w:p>
            <w:pPr>
              <w:pStyle w:val="null3"/>
              <w:spacing w:after="165"/>
              <w:ind w:firstLine="480"/>
              <w:jc w:val="both"/>
            </w:pPr>
            <w:r>
              <w:rPr>
                <w:rFonts w:ascii="仿宋_GB2312" w:hAnsi="仿宋_GB2312" w:cs="仿宋_GB2312" w:eastAsia="仿宋_GB2312"/>
                <w:sz w:val="24"/>
              </w:rPr>
              <w:t>（四）进度要求</w:t>
            </w:r>
          </w:p>
          <w:p>
            <w:pPr>
              <w:pStyle w:val="null3"/>
              <w:spacing w:after="165"/>
              <w:ind w:firstLine="480"/>
              <w:jc w:val="both"/>
            </w:pPr>
            <w:r>
              <w:rPr>
                <w:rFonts w:ascii="仿宋_GB2312" w:hAnsi="仿宋_GB2312" w:cs="仿宋_GB2312" w:eastAsia="仿宋_GB2312"/>
                <w:sz w:val="24"/>
              </w:rPr>
              <w:t>1.进度安排</w:t>
            </w:r>
          </w:p>
          <w:p>
            <w:pPr>
              <w:pStyle w:val="null3"/>
              <w:spacing w:after="165"/>
              <w:ind w:firstLine="480"/>
              <w:jc w:val="both"/>
            </w:pPr>
            <w:r>
              <w:rPr>
                <w:rFonts w:ascii="仿宋_GB2312" w:hAnsi="仿宋_GB2312" w:cs="仿宋_GB2312" w:eastAsia="仿宋_GB2312"/>
                <w:sz w:val="24"/>
              </w:rPr>
              <w:t>合同签订</w:t>
            </w:r>
            <w:r>
              <w:rPr>
                <w:rFonts w:ascii="仿宋_GB2312" w:hAnsi="仿宋_GB2312" w:cs="仿宋_GB2312" w:eastAsia="仿宋_GB2312"/>
                <w:sz w:val="24"/>
              </w:rPr>
              <w:t>15个工作日内形成工作方案。</w:t>
            </w:r>
          </w:p>
          <w:p>
            <w:pPr>
              <w:pStyle w:val="null3"/>
              <w:spacing w:after="165"/>
              <w:ind w:firstLine="480"/>
              <w:jc w:val="both"/>
            </w:pPr>
            <w:r>
              <w:rPr>
                <w:rFonts w:ascii="仿宋_GB2312" w:hAnsi="仿宋_GB2312" w:cs="仿宋_GB2312" w:eastAsia="仿宋_GB2312"/>
                <w:sz w:val="24"/>
              </w:rPr>
              <w:t>合同签订</w:t>
            </w:r>
            <w:r>
              <w:rPr>
                <w:rFonts w:ascii="仿宋_GB2312" w:hAnsi="仿宋_GB2312" w:cs="仿宋_GB2312" w:eastAsia="仿宋_GB2312"/>
                <w:sz w:val="24"/>
              </w:rPr>
              <w:t>4个月内形成阶段性成果和相关技术服务内容。</w:t>
            </w:r>
          </w:p>
          <w:p>
            <w:pPr>
              <w:pStyle w:val="null3"/>
              <w:spacing w:after="165"/>
              <w:ind w:firstLine="480"/>
              <w:jc w:val="both"/>
            </w:pPr>
            <w:r>
              <w:rPr>
                <w:rFonts w:ascii="仿宋_GB2312" w:hAnsi="仿宋_GB2312" w:cs="仿宋_GB2312" w:eastAsia="仿宋_GB2312"/>
                <w:sz w:val="24"/>
              </w:rPr>
              <w:t>合同签订</w:t>
            </w:r>
            <w:r>
              <w:rPr>
                <w:rFonts w:ascii="仿宋_GB2312" w:hAnsi="仿宋_GB2312" w:cs="仿宋_GB2312" w:eastAsia="仿宋_GB2312"/>
                <w:sz w:val="24"/>
              </w:rPr>
              <w:t>16个月内形成正式成果和全部技术统筹与服务内容。</w:t>
            </w:r>
          </w:p>
          <w:p>
            <w:pPr>
              <w:pStyle w:val="null3"/>
              <w:spacing w:after="165"/>
              <w:ind w:firstLine="480"/>
              <w:jc w:val="both"/>
            </w:pPr>
            <w:r>
              <w:rPr>
                <w:rFonts w:ascii="仿宋_GB2312" w:hAnsi="仿宋_GB2312" w:cs="仿宋_GB2312" w:eastAsia="仿宋_GB2312"/>
                <w:sz w:val="24"/>
              </w:rPr>
              <w:t>2.技术服务单位应定期（周、月）向采购人提供项目工作进度。</w:t>
            </w:r>
          </w:p>
          <w:p>
            <w:pPr>
              <w:pStyle w:val="null3"/>
              <w:spacing w:after="165"/>
              <w:ind w:firstLine="480"/>
              <w:jc w:val="both"/>
            </w:pPr>
            <w:r>
              <w:rPr>
                <w:rFonts w:ascii="仿宋_GB2312" w:hAnsi="仿宋_GB2312" w:cs="仿宋_GB2312" w:eastAsia="仿宋_GB2312"/>
                <w:sz w:val="24"/>
              </w:rPr>
              <w:t>3.采购人根据实际需要，对项目进展情况不定期听取汇报。</w:t>
            </w:r>
          </w:p>
          <w:p>
            <w:pPr>
              <w:pStyle w:val="null3"/>
              <w:spacing w:after="165"/>
              <w:ind w:firstLine="480"/>
              <w:jc w:val="both"/>
            </w:pPr>
            <w:r>
              <w:rPr>
                <w:rFonts w:ascii="仿宋_GB2312" w:hAnsi="仿宋_GB2312" w:cs="仿宋_GB2312" w:eastAsia="仿宋_GB2312"/>
                <w:sz w:val="24"/>
              </w:rPr>
              <w:t>4.受不可抗力（规划编制完成时间延后、提前；上位要求变化等）因素影响，采购人可适当调整进度要求。</w:t>
            </w:r>
          </w:p>
          <w:p>
            <w:pPr>
              <w:pStyle w:val="null3"/>
              <w:spacing w:after="165"/>
              <w:ind w:firstLine="480"/>
              <w:jc w:val="both"/>
            </w:pPr>
            <w:r>
              <w:rPr>
                <w:rFonts w:ascii="仿宋_GB2312" w:hAnsi="仿宋_GB2312" w:cs="仿宋_GB2312" w:eastAsia="仿宋_GB2312"/>
                <w:sz w:val="24"/>
              </w:rPr>
              <w:t>5.技术单位应接受采购人与此项目有关的其他工作安排。</w:t>
            </w:r>
          </w:p>
          <w:p>
            <w:pPr>
              <w:pStyle w:val="null3"/>
              <w:spacing w:after="165"/>
              <w:ind w:firstLine="480"/>
              <w:jc w:val="both"/>
            </w:pPr>
            <w:r>
              <w:rPr>
                <w:rFonts w:ascii="仿宋_GB2312" w:hAnsi="仿宋_GB2312" w:cs="仿宋_GB2312" w:eastAsia="仿宋_GB2312"/>
                <w:sz w:val="24"/>
              </w:rPr>
              <w:t>（五）质量验收标准或规范</w:t>
            </w:r>
          </w:p>
          <w:p>
            <w:pPr>
              <w:pStyle w:val="null3"/>
              <w:spacing w:after="165"/>
              <w:ind w:firstLine="480"/>
              <w:jc w:val="both"/>
            </w:pPr>
            <w:r>
              <w:rPr>
                <w:rFonts w:ascii="仿宋_GB2312" w:hAnsi="仿宋_GB2312" w:cs="仿宋_GB2312" w:eastAsia="仿宋_GB2312"/>
                <w:sz w:val="24"/>
              </w:rPr>
              <w:t>成果质量符合西安市自然资源和规划局的相关要求，并通过采购人组织的验收会。</w:t>
            </w:r>
          </w:p>
          <w:p>
            <w:pPr>
              <w:pStyle w:val="null3"/>
              <w:spacing w:after="165"/>
              <w:ind w:firstLine="480"/>
              <w:jc w:val="both"/>
            </w:pPr>
            <w:r>
              <w:rPr>
                <w:rFonts w:ascii="仿宋_GB2312" w:hAnsi="仿宋_GB2312" w:cs="仿宋_GB2312" w:eastAsia="仿宋_GB2312"/>
                <w:sz w:val="24"/>
              </w:rPr>
              <w:t>（六）违约责任</w:t>
            </w:r>
          </w:p>
          <w:p>
            <w:pPr>
              <w:pStyle w:val="null3"/>
              <w:spacing w:after="165"/>
              <w:ind w:firstLine="480"/>
              <w:jc w:val="both"/>
            </w:pPr>
            <w:r>
              <w:rPr>
                <w:rFonts w:ascii="仿宋_GB2312" w:hAnsi="仿宋_GB2312" w:cs="仿宋_GB2312" w:eastAsia="仿宋_GB2312"/>
                <w:sz w:val="24"/>
              </w:rPr>
              <w:t>1.数据采购:由乙方原因造成数据质量不合格，不能满足技术要求时，其返工费用由乙方承担。</w:t>
            </w:r>
          </w:p>
          <w:p>
            <w:pPr>
              <w:pStyle w:val="null3"/>
              <w:spacing w:after="165"/>
              <w:ind w:firstLine="480"/>
              <w:jc w:val="both"/>
            </w:pPr>
            <w:r>
              <w:rPr>
                <w:rFonts w:ascii="仿宋_GB2312" w:hAnsi="仿宋_GB2312" w:cs="仿宋_GB2312" w:eastAsia="仿宋_GB2312"/>
                <w:sz w:val="24"/>
              </w:rPr>
              <w:t>2.资源规划数据服务:经甲方审查发现，乙方未按国家或省、市有关技术标准、规程、规定完成任务，甲方有权要求乙方返工或解除合同，乙方应向甲方支付合同总金额10%的违约金。</w:t>
            </w:r>
          </w:p>
          <w:p>
            <w:pPr>
              <w:pStyle w:val="null3"/>
              <w:spacing w:after="165"/>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详见采购文件、采购合同及采购人要求。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详见采购文件、采购合同及采购人要求。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详见采购文件、采购合同及采购人要求。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自合同签订之日起至2027年12月15日止。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西安市域内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成果质量符合西安市自然资源和规划局的相关要求，并通过采购人组织的验收会。 验收依据：1.采购文件；2.投标文件；3.相关法规、规范。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形成阶段性规划成果草案并完成《省、市单元详细规划技术标准衔接专题》《西安市单元详细规划技术成果要求专题》《西安市单元详细规划管控一张图各层级技术总控专题》《西安市详细规划编审督一体化创新路径专题》并通过专家会评审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进度款，形成最终成果并经由市资源规划局审查验收后，达到付款条件起10个工作日内，支付合同总金额的40.0%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双方发生合同争议时，应友好协商解决，不能达成协议时，及时向有关部门要求调解、仲裁或诉讼，发生索赔按现行法律、法规和合同执行。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1.本项目采购内容“西安市单元详细规划管控一张图前期技术统筹相关研究和西安市国土空间详细规划全过程统筹与全流程技术服务”对应的中小企业划分标准所属行业为：其他未列明行业。 2.为顺利推进政府采购电子化交易平台应用工作，中标供应商需要在领取成交通知书时向代理机构提供纸质版投标文件正本壹份、副本贰份。 若电子投标文件与纸质版投标文件不一致的，以电子投标文件为准。纸质版文件提交地址为：陕西省西安市新城区长乐中路38号金花新都汇C座12层01室。 3.需要落实的政府采购政策： 1）《国务院办公厅关于建立政府强制采购节能产品制度的通知》（国办发〔2007〕51号）； 2）《财政部 司法部关于政府采购支持监狱企业发展有关问题的通知》（财库〔2014〕68号）； 3）《三部门联合发布关于促进残疾人就业政府采购政策的通知》（财库〔2017〕141号）； 4）《财政部 发展改革委 生态环境部 市场监管总局关于调整优化节能产品、环境标志产品政府采购执行机制的通知》（财库〔2019〕9号）； 5）《关于运用政府采购政策支持乡村产业振兴的通知》（财库〔2021〕19号）； 6）《政府采购促进中小企业发展管理办法》（财库〔2020〕46号）； 7）陕西省财政厅关于印发《陕西省中小企业政府采购信用融资办法》（陕财办采〔2018〕23号）； 8）《关于进一步加大政府采购支持中小企业力度的通知》（财库〔2022〕19号）； 9）《关于扩大政府采购支持绿色建材促进建筑品质提升政策实施范围的通知》（财库〔2022〕35号）； 10）《关于推动解决政府采购异常低价问题的通知》（财库〔2026〕2号）； 11）其他需要落实的政府采购政策。 4.各供应商应根据“陕西省财政厅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投标函 商务应答表 投标文件封面 供应商认为应提交的其它相关证明材料.docx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供应商须具备相关行政主管部门颁发的城乡规划(国土空间规划)编制单位甲级资质。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采购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商务应答表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商务应答表 供应商认为应提交的其它相关证明材料.docx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履行合同所必需的设备和专业技术能力：具备履行合同所必需的设备和专业技术能力的证明材料或书面声明。</w:t>
            </w:r>
          </w:p>
        </w:tc>
        <w:tc>
          <w:tcPr>
            <w:tcW w:type="dxa" w:w="1661"/>
          </w:tcPr>
          <w:p>
            <w:pPr>
              <w:pStyle w:val="null3"/>
            </w:pPr>
            <w:r>
              <w:rPr>
                <w:rFonts w:ascii="仿宋_GB2312" w:hAnsi="仿宋_GB2312" w:cs="仿宋_GB2312" w:eastAsia="仿宋_GB2312"/>
              </w:rPr>
              <w:t>投标函 供应商认为应提交的其它相关证明材料.docx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提供2025年8月至递交投标文件截止之日前已缴纳任意一个月的社会保障资金缴存单据或社保机构开具的社会保险参保缴费证明，依法不需要缴纳社会保障资金的单位应提供相应证明文件。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供应商认为应提交的其它相关证明材料.docx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8月至递交投标文件截止之日前已缴纳的任意一个月依法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投标函 供应商认为应提交的其它相关证明材料.docx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投标函 供应商认为应提交的其它相关证明材料.docx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以采购人或采购代理机构开标当天查询结果为准）</w:t>
            </w:r>
          </w:p>
        </w:tc>
        <w:tc>
          <w:tcPr>
            <w:tcW w:type="dxa" w:w="1661"/>
          </w:tcPr>
          <w:p>
            <w:pPr>
              <w:pStyle w:val="null3"/>
            </w:pPr>
            <w:r>
              <w:rPr>
                <w:rFonts w:ascii="仿宋_GB2312" w:hAnsi="仿宋_GB2312" w:cs="仿宋_GB2312" w:eastAsia="仿宋_GB2312"/>
              </w:rPr>
              <w:t>供应商认为应提交的其它相关证明材料.docx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提供直接控股和管理关系清单。单位负责人为同一人或者存在直接控股、管理关系的不同供应商不得参加同一合同项下的政府采购活动。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投标函 供应商认为应提交的其它相关证明材料.docx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投标函 供应商认为应提交的其它相关证明材料.docx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投标函 商务应答表 服务方案 服务内容及服务要求应答表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要求全部响应，不能有任何采购人不能接受的附加条件</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满足本招标文件中的实质性条款（服务期限、服务地点、付款方式）要求</w:t>
            </w:r>
          </w:p>
        </w:tc>
        <w:tc>
          <w:tcPr>
            <w:tcW w:type="dxa" w:w="1661"/>
          </w:tcPr>
          <w:p>
            <w:pPr>
              <w:pStyle w:val="null3"/>
            </w:pPr>
            <w:r>
              <w:rPr>
                <w:rFonts w:ascii="仿宋_GB2312" w:hAnsi="仿宋_GB2312" w:cs="仿宋_GB2312" w:eastAsia="仿宋_GB2312"/>
              </w:rPr>
              <w:t>开标一览表 投标函 商务应答表 服务方案 服务内容及服务要求应答表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价格分统一采用低价优先法计算，即满足招标文件要求且投标报价最低的为评标基准价，其价格分为满分。其他投标人的价格分统一按照下列公式计算： 投标报价得分=(评标基准价／投标报价)×价格权值（即10%）×100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项目理解与分析</w:t>
            </w:r>
          </w:p>
        </w:tc>
        <w:tc>
          <w:tcPr>
            <w:tcW w:type="dxa" w:w="2492"/>
          </w:tcPr>
          <w:p>
            <w:pPr>
              <w:pStyle w:val="null3"/>
            </w:pPr>
            <w:r>
              <w:rPr>
                <w:rFonts w:ascii="仿宋_GB2312" w:hAnsi="仿宋_GB2312" w:cs="仿宋_GB2312" w:eastAsia="仿宋_GB2312"/>
              </w:rPr>
              <w:t>评审内容包括： ①项目理解；②项目需求分析；③项目实施目标及对采购内容理解。 评审标准：每一项内容全面详细、阐述条理清晰得3分，满分9分，每项存在一处缺陷，扣1分，扣完为止。 备注：缺陷是指内容不合理、虽有内容但不完善关缺少键点、内容表述前后不一致、套用其他项目方案或与项目需求不匹配及其他不利于项目实施的等任意一种情形。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供应商认为应提交的其它相关证明材料.docx</w:t>
            </w:r>
          </w:p>
        </w:tc>
      </w:tr>
      <w:tr>
        <w:tc>
          <w:tcPr>
            <w:tcW w:type="dxa" w:w="831"/>
            <w:vMerge/>
          </w:tcPr>
          <w:p/>
        </w:tc>
        <w:tc>
          <w:tcPr>
            <w:tcW w:type="dxa" w:w="1661"/>
          </w:tcPr>
          <w:p>
            <w:pPr>
              <w:pStyle w:val="null3"/>
            </w:pPr>
            <w:r>
              <w:rPr>
                <w:rFonts w:ascii="仿宋_GB2312" w:hAnsi="仿宋_GB2312" w:cs="仿宋_GB2312" w:eastAsia="仿宋_GB2312"/>
              </w:rPr>
              <w:t>项目关键性技术、重点难点的解决方案</w:t>
            </w:r>
          </w:p>
        </w:tc>
        <w:tc>
          <w:tcPr>
            <w:tcW w:type="dxa" w:w="2492"/>
          </w:tcPr>
          <w:p>
            <w:pPr>
              <w:pStyle w:val="null3"/>
            </w:pPr>
            <w:r>
              <w:rPr>
                <w:rFonts w:ascii="仿宋_GB2312" w:hAnsi="仿宋_GB2312" w:cs="仿宋_GB2312" w:eastAsia="仿宋_GB2312"/>
              </w:rPr>
              <w:t>评审内容包括： ①对项目实施过程中重点、难点的认识、理解及分析； ②针对项目实施重、难点拟定的解决方案； ③针对西安市单元详细规划管控一张图前期技术统筹相关研究和西安市国土空间详细规划全过程统筹与全流程技术服务项目的增值服务方案。 评审标准：每一项内容全面详细、阐述条理清晰得2分，满分6分，每项存在一处缺陷，扣1分，扣完为止。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供应商认为应提交的其它相关证明材料.docx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评审内容包括： ①工作依据；②技术路线；③工作内容； ④项目管理机制；⑤服务保障。 评审标准：每一项内容全面详细、阐述条理清晰得3分，满分15分，每项存在一处缺陷，扣1分，扣完为止。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供应商认为应提交的其它相关证明材料.docx</w:t>
            </w:r>
          </w:p>
        </w:tc>
      </w:tr>
      <w:tr>
        <w:tc>
          <w:tcPr>
            <w:tcW w:type="dxa" w:w="831"/>
            <w:vMerge/>
          </w:tcPr>
          <w:p/>
        </w:tc>
        <w:tc>
          <w:tcPr>
            <w:tcW w:type="dxa" w:w="1661"/>
          </w:tcPr>
          <w:p>
            <w:pPr>
              <w:pStyle w:val="null3"/>
            </w:pPr>
            <w:r>
              <w:rPr>
                <w:rFonts w:ascii="仿宋_GB2312" w:hAnsi="仿宋_GB2312" w:cs="仿宋_GB2312" w:eastAsia="仿宋_GB2312"/>
              </w:rPr>
              <w:t>安全、保密、质量管理方案</w:t>
            </w:r>
          </w:p>
        </w:tc>
        <w:tc>
          <w:tcPr>
            <w:tcW w:type="dxa" w:w="2492"/>
          </w:tcPr>
          <w:p>
            <w:pPr>
              <w:pStyle w:val="null3"/>
            </w:pPr>
            <w:r>
              <w:rPr>
                <w:rFonts w:ascii="仿宋_GB2312" w:hAnsi="仿宋_GB2312" w:cs="仿宋_GB2312" w:eastAsia="仿宋_GB2312"/>
              </w:rPr>
              <w:t>评审内容包括： ①安全管理方案；②保密管理方案；③质量管理方案。 评审标准：每一项内容全面详细、阐述条理清晰得2分，满分6分，每项存在一处缺陷，扣1分，扣完为止。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供应商认为应提交的其它相关证明材料.docx</w:t>
            </w:r>
          </w:p>
        </w:tc>
      </w:tr>
      <w:tr>
        <w:tc>
          <w:tcPr>
            <w:tcW w:type="dxa" w:w="831"/>
            <w:vMerge/>
          </w:tcPr>
          <w:p/>
        </w:tc>
        <w:tc>
          <w:tcPr>
            <w:tcW w:type="dxa" w:w="1661"/>
          </w:tcPr>
          <w:p>
            <w:pPr>
              <w:pStyle w:val="null3"/>
            </w:pPr>
            <w:r>
              <w:rPr>
                <w:rFonts w:ascii="仿宋_GB2312" w:hAnsi="仿宋_GB2312" w:cs="仿宋_GB2312" w:eastAsia="仿宋_GB2312"/>
              </w:rPr>
              <w:t>针对突发事件应急处理方案</w:t>
            </w:r>
          </w:p>
        </w:tc>
        <w:tc>
          <w:tcPr>
            <w:tcW w:type="dxa" w:w="2492"/>
          </w:tcPr>
          <w:p>
            <w:pPr>
              <w:pStyle w:val="null3"/>
            </w:pPr>
            <w:r>
              <w:rPr>
                <w:rFonts w:ascii="仿宋_GB2312" w:hAnsi="仿宋_GB2312" w:cs="仿宋_GB2312" w:eastAsia="仿宋_GB2312"/>
              </w:rPr>
              <w:t>根据针对突发事件应急处理方案的的完善性、合理性、可行性，进行综合赋分。 评审标准：方案内容完善、保障措施科学合理、针对性可行性强，得3分；每存在一处缺陷，扣0.5分，扣完为止。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供应商认为应提交的其它相关证明材料.docx</w:t>
            </w:r>
          </w:p>
        </w:tc>
      </w:tr>
      <w:tr>
        <w:tc>
          <w:tcPr>
            <w:tcW w:type="dxa" w:w="831"/>
            <w:vMerge/>
          </w:tcPr>
          <w:p/>
        </w:tc>
        <w:tc>
          <w:tcPr>
            <w:tcW w:type="dxa" w:w="1661"/>
          </w:tcPr>
          <w:p>
            <w:pPr>
              <w:pStyle w:val="null3"/>
            </w:pPr>
            <w:r>
              <w:rPr>
                <w:rFonts w:ascii="仿宋_GB2312" w:hAnsi="仿宋_GB2312" w:cs="仿宋_GB2312" w:eastAsia="仿宋_GB2312"/>
              </w:rPr>
              <w:t>拟投入本项目的专业服务团队</w:t>
            </w:r>
          </w:p>
        </w:tc>
        <w:tc>
          <w:tcPr>
            <w:tcW w:type="dxa" w:w="2492"/>
          </w:tcPr>
          <w:p>
            <w:pPr>
              <w:pStyle w:val="null3"/>
            </w:pPr>
            <w:r>
              <w:rPr>
                <w:rFonts w:ascii="仿宋_GB2312" w:hAnsi="仿宋_GB2312" w:cs="仿宋_GB2312" w:eastAsia="仿宋_GB2312"/>
              </w:rPr>
              <w:t>1.项目负责人具有注册城乡规划师执业资格证书和正高级职称，并且提供在本单位社保缴纳凭证，得5分。 2.项目技术负责人具有注册城乡规划师执业资格证书和高级职称，并且提供在本单位社保缴纳凭证，得3分。 证明资料提供不全不得分。 3.拟投入项目团队人员数量不少于20名，得3分，人数不足不得分。 4.项目成员中（除项目负责人和技术负责人外）具有城乡规划专业高级及以上职称或注册城乡规划师执业资格证书得1分（同一成员具备两种证书只计1分，不累计得分），每提供1名得1分，最高得10分。 备注：提供项目成员的执业资格证书、职称证书等证明资料。证明资料提供不全不得分。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供应商认为应提交的其它相关证明材料.docx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1.供应商承诺在规定服务期限内完成采购内容的全部服务工作，编制服务周期内的分阶段实施计划明细。并按时限要求提交全部相关成果。 2.供应商承诺在合同执行期间义务为采购方人员提供相关培训工作，确保其正确使用工作成果。 3.供应商承诺在项目实施过程中,必须严格遵守采购人的相关管理制度,并接受采购人对其服务的监督、批评和建议。 评审标准：每提供1项服务承诺得3分，满分9分。不提供不得分。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供应商认为应提交的其它相关证明材料.docx</w:t>
            </w:r>
          </w:p>
        </w:tc>
      </w:tr>
      <w:tr>
        <w:tc>
          <w:tcPr>
            <w:tcW w:type="dxa" w:w="831"/>
            <w:vMerge/>
          </w:tcPr>
          <w:p/>
        </w:tc>
        <w:tc>
          <w:tcPr>
            <w:tcW w:type="dxa" w:w="1661"/>
          </w:tcPr>
          <w:p>
            <w:pPr>
              <w:pStyle w:val="null3"/>
            </w:pPr>
            <w:r>
              <w:rPr>
                <w:rFonts w:ascii="仿宋_GB2312" w:hAnsi="仿宋_GB2312" w:cs="仿宋_GB2312" w:eastAsia="仿宋_GB2312"/>
              </w:rPr>
              <w:t>管理体系认证</w:t>
            </w:r>
          </w:p>
        </w:tc>
        <w:tc>
          <w:tcPr>
            <w:tcW w:type="dxa" w:w="2492"/>
          </w:tcPr>
          <w:p>
            <w:pPr>
              <w:pStyle w:val="null3"/>
            </w:pPr>
            <w:r>
              <w:rPr>
                <w:rFonts w:ascii="仿宋_GB2312" w:hAnsi="仿宋_GB2312" w:cs="仿宋_GB2312" w:eastAsia="仿宋_GB2312"/>
              </w:rPr>
              <w:t>提供供应商有效期内的ISO9001质量管理体系认证证书得3分，否则不得分。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供应商认为应提交的其它相关证明材料.docx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供应商提供近年（2023年1月1日至投标文件递交截止时间）国土空间总体规划、专项规划、详细规划类项目且金额不低于200万项目业绩（以合同签订日期为准），每提供一份得3分，满分18分。 注：业绩证明材料须提供加盖供应商公章的合同（协议）复印件。提供的材料应包含项目名称、合同双方盖章页、签订日期等内容，否则不得分。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供应商认为应提交的其它相关证明材料.docx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详见附件：供应商认为应提交的其它相关证明材料.docx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