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版本号：JXZB2026-06-1820260630001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汉长安城公共设施拟建区域考古勘探调查</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JXZB2026-06-18</w:t>
      </w:r>
      <w:r>
        <w:br/>
      </w:r>
      <w:r>
        <w:br/>
      </w:r>
      <w:r>
        <w:br/>
      </w:r>
    </w:p>
    <w:p>
      <w:pPr>
        <w:pStyle w:val="null3"/>
        <w:jc w:val="center"/>
        <w:outlineLvl w:val="5"/>
      </w:pPr>
      <w:r>
        <w:rPr>
          <w:rFonts w:ascii="仿宋_GB2312" w:hAnsi="仿宋_GB2312" w:cs="仿宋_GB2312" w:eastAsia="仿宋_GB2312"/>
          <w:sz w:val="15"/>
          <w:b/>
        </w:rPr>
        <w:t>西安汉长安城国家大遗址保护特区管理委员会</w:t>
      </w:r>
    </w:p>
    <w:p>
      <w:pPr>
        <w:pStyle w:val="null3"/>
        <w:jc w:val="center"/>
        <w:outlineLvl w:val="5"/>
      </w:pPr>
      <w:r>
        <w:rPr>
          <w:rFonts w:ascii="仿宋_GB2312" w:hAnsi="仿宋_GB2312" w:cs="仿宋_GB2312" w:eastAsia="仿宋_GB2312"/>
          <w:sz w:val="15"/>
          <w:b/>
        </w:rPr>
        <w:t>建信众诚工程咨询有限公司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建信众诚工程咨询有限公司</w:t>
      </w:r>
      <w:r>
        <w:rPr>
          <w:rFonts w:ascii="仿宋_GB2312" w:hAnsi="仿宋_GB2312" w:cs="仿宋_GB2312" w:eastAsia="仿宋_GB2312"/>
        </w:rPr>
        <w:t>（以下简称“代理机构”）受</w:t>
      </w:r>
      <w:r>
        <w:rPr>
          <w:rFonts w:ascii="仿宋_GB2312" w:hAnsi="仿宋_GB2312" w:cs="仿宋_GB2312" w:eastAsia="仿宋_GB2312"/>
        </w:rPr>
        <w:t>西安汉长安城国家大遗址保护特区管理委员会</w:t>
      </w:r>
      <w:r>
        <w:rPr>
          <w:rFonts w:ascii="仿宋_GB2312" w:hAnsi="仿宋_GB2312" w:cs="仿宋_GB2312" w:eastAsia="仿宋_GB2312"/>
        </w:rPr>
        <w:t>委托，拟对</w:t>
      </w:r>
      <w:r>
        <w:rPr>
          <w:rFonts w:ascii="仿宋_GB2312" w:hAnsi="仿宋_GB2312" w:cs="仿宋_GB2312" w:eastAsia="仿宋_GB2312"/>
        </w:rPr>
        <w:t>汉长安城公共设施拟建区域考古勘探调查</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JXZB2026-06-18</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汉长安城公共设施拟建区域考古勘探调查</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为厘清汉长安城遗址的整体格局、提升大遗址的可观性和直观性，提升游览的感官体验，推进汉长安城遗址保护展示。汉长安城公共设施拟建区域考古勘探调查项目计划对立项的国保项目J100号遗址、楼阁台遗址进行考古勘探工作；对安门遗址、西安门遗址周边博物馆建设区域、武库遗址周边区域等主要区域进行考古勘探工作。</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1、营业执照：在中华人民共和国境内注册，依法取得并有效存续的营业执照（含电子营业执照）\事业单位法人证书\民办非企业单位登记证书\非企业专业服务机构执业许可\自然人的提供身份证明文件；</w:t>
      </w:r>
    </w:p>
    <w:p>
      <w:pPr>
        <w:pStyle w:val="null3"/>
      </w:pPr>
      <w:r>
        <w:rPr>
          <w:rFonts w:ascii="仿宋_GB2312" w:hAnsi="仿宋_GB2312" w:cs="仿宋_GB2312" w:eastAsia="仿宋_GB2312"/>
        </w:rPr>
        <w:t>2、法定代表人（负责人）委托授权书\身份证明：法定代表人（负责人）参加谈判的，须出具法定代表人（负责人）身份证明书及身份证正反两面扫描件；法定代表人（负责人）授权委托代理人参加谈判的，须出具法定代表人（负责人）授权委托书及委托代理人身份证正反两面扫描件；</w:t>
      </w:r>
    </w:p>
    <w:p>
      <w:pPr>
        <w:pStyle w:val="null3"/>
      </w:pPr>
      <w:r>
        <w:rPr>
          <w:rFonts w:ascii="仿宋_GB2312" w:hAnsi="仿宋_GB2312" w:cs="仿宋_GB2312" w:eastAsia="仿宋_GB2312"/>
        </w:rPr>
        <w:t>3、企业资质项目负责人：供应商须具备国家文物局颁发的考古发掘资质证书；</w:t>
      </w:r>
    </w:p>
    <w:p>
      <w:pPr>
        <w:pStyle w:val="null3"/>
      </w:pPr>
      <w:r>
        <w:rPr>
          <w:rFonts w:ascii="仿宋_GB2312" w:hAnsi="仿宋_GB2312" w:cs="仿宋_GB2312" w:eastAsia="仿宋_GB2312"/>
        </w:rPr>
        <w:t>4、项目负责人：拟派项目负责人具有国家文物局颁发的考古发掘领队资格证或考古发掘项目负责人资质证书；</w:t>
      </w:r>
    </w:p>
    <w:p>
      <w:pPr>
        <w:pStyle w:val="null3"/>
      </w:pPr>
      <w:r>
        <w:rPr>
          <w:rFonts w:ascii="仿宋_GB2312" w:hAnsi="仿宋_GB2312" w:cs="仿宋_GB2312" w:eastAsia="仿宋_GB2312"/>
        </w:rPr>
        <w:t>5、财务状况报告：提供具有财务审计资质单位出具的 2024 年或 2025 年 度财务报告（成立时间至开标时间不足一年的可提供成立后任意时段的资产负债表。投标人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 2 名注册会计师的签字及盖章。且2022 年 10 月 1 日后出具的审计报告应当经过注册会计师行业统一监管平台备案赋码。）或开标前六个月内其基本账户银行出具的资信证明或信用担保机构出具的担保函。（以上三种形式的资料提供任意一种即可）；</w:t>
      </w:r>
    </w:p>
    <w:p>
      <w:pPr>
        <w:pStyle w:val="null3"/>
      </w:pPr>
      <w:r>
        <w:rPr>
          <w:rFonts w:ascii="仿宋_GB2312" w:hAnsi="仿宋_GB2312" w:cs="仿宋_GB2312" w:eastAsia="仿宋_GB2312"/>
        </w:rPr>
        <w:t>6、税收缴纳证明：提供投标截止日前近一年内任意一个月的纳税证明或完税证明（任意税种），依法免税的单位应提供相关证明材料；</w:t>
      </w:r>
    </w:p>
    <w:p>
      <w:pPr>
        <w:pStyle w:val="null3"/>
      </w:pPr>
      <w:r>
        <w:rPr>
          <w:rFonts w:ascii="仿宋_GB2312" w:hAnsi="仿宋_GB2312" w:cs="仿宋_GB2312" w:eastAsia="仿宋_GB2312"/>
        </w:rPr>
        <w:t>7、社会保障资金缴纳证明：提供投标截止日前近一年内任意一个月的社会保障资金缴存单据或社保机构开具的社会保险参保缴费情况证明，依法不需要缴纳社会保障资金的单位应提供相关证明材料；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8、设备、技术能力书面声明：提供具有履行合同所必需的设备和专业技术能力的书面声明；</w:t>
      </w:r>
    </w:p>
    <w:p>
      <w:pPr>
        <w:pStyle w:val="null3"/>
      </w:pPr>
      <w:r>
        <w:rPr>
          <w:rFonts w:ascii="仿宋_GB2312" w:hAnsi="仿宋_GB2312" w:cs="仿宋_GB2312" w:eastAsia="仿宋_GB2312"/>
        </w:rPr>
        <w:t>9、信用查询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采购代理机构将在开标当日打印查询记录作为证据留存，对列入失信被执行人、重大税收违法失信主体当事人名单、政府采购严重违法失信行为记录名单及其他不符合《中华人民共和国政府采购法》第二十二条规定的供应商，采购代理机构将拒绝其参与政府采购活动，查询结果以电子或纸质方式留存。）；</w:t>
      </w:r>
    </w:p>
    <w:p>
      <w:pPr>
        <w:pStyle w:val="null3"/>
      </w:pPr>
      <w:r>
        <w:rPr>
          <w:rFonts w:ascii="仿宋_GB2312" w:hAnsi="仿宋_GB2312" w:cs="仿宋_GB2312" w:eastAsia="仿宋_GB2312"/>
        </w:rPr>
        <w:t>10、本次项目不接受联合体投标：提供非联合体投标承诺书；</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西安汉长安城国家大遗址保护特区管理委员会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邓六路中段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029-86380693</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建信众诚工程咨询有限公司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陕西省西安市雁塔区南二环西段208号捷瑞智能大厦东区9楼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雷芳娟、雷春龙，龙素菊，牛立华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18802907639</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代理服务费收费标准：依据成交金额向采购代理机构交纳成交服务费，交费金额参照《招标代理服务收费管理暂行办法》（计价格（2002）1980号）附件规定的收费标准收取，不足伍仟元按伍仟元收取。 由成交供应商在领取中标（成交）通知书时向代理机构缴纳代理服务费。招标代理服务费采用现金、电汇或银行转账方式交纳，不得采用投标保证金抵扣。 服务费交纳账户： 开户行：西安银行股份有限公司东二环南段支行； 开户名称：建信众诚工程咨询有限公司； 账号：209011580000085788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西安汉长安城国家大遗址保护特区管理委员会</w:t>
      </w:r>
      <w:r>
        <w:rPr>
          <w:rFonts w:ascii="仿宋_GB2312" w:hAnsi="仿宋_GB2312" w:cs="仿宋_GB2312" w:eastAsia="仿宋_GB2312"/>
        </w:rPr>
        <w:t>和</w:t>
      </w:r>
      <w:r>
        <w:rPr>
          <w:rFonts w:ascii="仿宋_GB2312" w:hAnsi="仿宋_GB2312" w:cs="仿宋_GB2312" w:eastAsia="仿宋_GB2312"/>
        </w:rPr>
        <w:t>建信众诚工程咨询有限公司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建信众诚工程咨询有限公司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西安汉长安城国家大遗址保护特区管理委员会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建信众诚工程咨询有限公司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联系人：雷芳娟、雷春龙</w:t>
      </w:r>
    </w:p>
    <w:p>
      <w:pPr>
        <w:pStyle w:val="null3"/>
      </w:pPr>
      <w:r>
        <w:rPr>
          <w:rFonts w:ascii="仿宋_GB2312" w:hAnsi="仿宋_GB2312" w:cs="仿宋_GB2312" w:eastAsia="仿宋_GB2312"/>
        </w:rPr>
        <w:t>联系电话：18802907639</w:t>
      </w:r>
    </w:p>
    <w:p>
      <w:pPr>
        <w:pStyle w:val="null3"/>
      </w:pPr>
      <w:r>
        <w:rPr>
          <w:rFonts w:ascii="仿宋_GB2312" w:hAnsi="仿宋_GB2312" w:cs="仿宋_GB2312" w:eastAsia="仿宋_GB2312"/>
        </w:rPr>
        <w:t>地址：陕西省西安市雁塔区南二环西段208号捷瑞智能大厦东区9楼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为厘清汉长安城遗址的整体格局、提升大遗址的可观性和直观性，提升游览的感官体验，推进汉长安城遗址保护展示。汉长安城公共设施拟建区域考古勘探调查项目计划对立项的国保项目 J100 号遗址、楼阁台遗址进行考古勘探工作；对安门遗址、西安门遗址周边博物馆建设区域、武库遗址周边区域等主要区域进行考古勘探工作。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对立项的国保项目J100号遗址、楼阁台遗址进行考古勘探工作；对安门遗址、西安门遗址周边博物馆建设区域、武库遗址周边区域等主要区域进行考古勘探工作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标的名称：对立项的国保项目J100号遗址、楼阁台遗址进行考古勘探工作；对安门遗址、西安门遗址周边博物馆建设区域、武库遗址周边区域等主要区域进行考古勘探工作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18"/>
                <w:color w:val="000000"/>
              </w:rPr>
              <w:t>一、项目名称：汉长安城公共设</w:t>
            </w:r>
            <w:r>
              <w:rPr>
                <w:rFonts w:ascii="仿宋_GB2312" w:hAnsi="仿宋_GB2312" w:cs="仿宋_GB2312" w:eastAsia="仿宋_GB2312"/>
                <w:sz w:val="18"/>
                <w:color w:val="000000"/>
              </w:rPr>
              <w:t>施拟建区域考古勘探调查</w:t>
            </w:r>
          </w:p>
          <w:p>
            <w:pPr>
              <w:pStyle w:val="null3"/>
              <w:jc w:val="left"/>
            </w:pPr>
            <w:r>
              <w:rPr>
                <w:rFonts w:ascii="仿宋_GB2312" w:hAnsi="仿宋_GB2312" w:cs="仿宋_GB2312" w:eastAsia="仿宋_GB2312"/>
                <w:sz w:val="18"/>
                <w:color w:val="000000"/>
              </w:rPr>
              <w:t>二、采购预算：</w:t>
            </w:r>
            <w:r>
              <w:rPr>
                <w:rFonts w:ascii="仿宋_GB2312" w:hAnsi="仿宋_GB2312" w:cs="仿宋_GB2312" w:eastAsia="仿宋_GB2312"/>
                <w:sz w:val="18"/>
                <w:color w:val="000000"/>
              </w:rPr>
              <w:t xml:space="preserve">1500000.00 </w:t>
            </w:r>
            <w:r>
              <w:rPr>
                <w:rFonts w:ascii="仿宋_GB2312" w:hAnsi="仿宋_GB2312" w:cs="仿宋_GB2312" w:eastAsia="仿宋_GB2312"/>
                <w:sz w:val="18"/>
                <w:color w:val="000000"/>
              </w:rPr>
              <w:t>元</w:t>
            </w:r>
          </w:p>
          <w:p>
            <w:pPr>
              <w:pStyle w:val="null3"/>
              <w:jc w:val="left"/>
            </w:pPr>
            <w:r>
              <w:rPr>
                <w:rFonts w:ascii="仿宋_GB2312" w:hAnsi="仿宋_GB2312" w:cs="仿宋_GB2312" w:eastAsia="仿宋_GB2312"/>
                <w:sz w:val="18"/>
                <w:color w:val="000000"/>
              </w:rPr>
              <w:t>三、采购内容：</w:t>
            </w:r>
            <w:r>
              <w:rPr>
                <w:rFonts w:ascii="仿宋_GB2312" w:hAnsi="仿宋_GB2312" w:cs="仿宋_GB2312" w:eastAsia="仿宋_GB2312"/>
                <w:sz w:val="18"/>
                <w:color w:val="000000"/>
              </w:rPr>
              <w:t>1</w:t>
            </w:r>
            <w:r>
              <w:rPr>
                <w:rFonts w:ascii="仿宋_GB2312" w:hAnsi="仿宋_GB2312" w:cs="仿宋_GB2312" w:eastAsia="仿宋_GB2312"/>
                <w:sz w:val="18"/>
                <w:color w:val="000000"/>
              </w:rPr>
              <w:t>、为厘清汉长安城遗址的整体格局、提升大遗址的可观性和直观性，提升游览的感官体验，推进汉长安城遗址保护展示。汉长安城公共设施拟建区域考古勘探调查项目计划对立项的国保项目</w:t>
            </w:r>
            <w:r>
              <w:rPr>
                <w:rFonts w:ascii="仿宋_GB2312" w:hAnsi="仿宋_GB2312" w:cs="仿宋_GB2312" w:eastAsia="仿宋_GB2312"/>
                <w:sz w:val="18"/>
                <w:color w:val="000000"/>
              </w:rPr>
              <w:t xml:space="preserve">J100 </w:t>
            </w:r>
            <w:r>
              <w:rPr>
                <w:rFonts w:ascii="仿宋_GB2312" w:hAnsi="仿宋_GB2312" w:cs="仿宋_GB2312" w:eastAsia="仿宋_GB2312"/>
                <w:sz w:val="18"/>
                <w:color w:val="000000"/>
              </w:rPr>
              <w:t>号遗址、楼阁台遗址进行考古勘探工作；对安门遗址、西安门遗址周边博物馆建设区域、武库遗址周边区域等主要区域进行考古勘探工作。</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开展考古勘探调查工作是汉长安城遗址发展和保护的重要依据和必要条件，可推进汉长安城遗址保护展示工作，厘清大遗址的整体格局、提升大遗址的可观性和直观性，提升游览的感官体验，为汉长安城遗址的展示利用与保护发展提供有力保障和依据。</w:t>
            </w:r>
          </w:p>
          <w:p>
            <w:pPr>
              <w:pStyle w:val="null3"/>
              <w:jc w:val="left"/>
            </w:pPr>
            <w:r>
              <w:rPr>
                <w:rFonts w:ascii="仿宋_GB2312" w:hAnsi="仿宋_GB2312" w:cs="仿宋_GB2312" w:eastAsia="仿宋_GB2312"/>
                <w:sz w:val="18"/>
                <w:color w:val="000000"/>
              </w:rPr>
              <w:t>四、服务期限：自合同签订之日起三个半月内完成。</w:t>
            </w:r>
          </w:p>
          <w:p>
            <w:pPr>
              <w:pStyle w:val="null3"/>
              <w:jc w:val="left"/>
            </w:pPr>
            <w:r>
              <w:rPr>
                <w:rFonts w:ascii="仿宋_GB2312" w:hAnsi="仿宋_GB2312" w:cs="仿宋_GB2312" w:eastAsia="仿宋_GB2312"/>
                <w:sz w:val="18"/>
                <w:color w:val="000000"/>
              </w:rPr>
              <w:t>五、资金来源：财政资金，资金来源已落实。</w:t>
            </w:r>
          </w:p>
          <w:p>
            <w:pPr>
              <w:pStyle w:val="null3"/>
              <w:jc w:val="left"/>
            </w:pPr>
            <w:r>
              <w:rPr>
                <w:rFonts w:ascii="仿宋_GB2312" w:hAnsi="仿宋_GB2312" w:cs="仿宋_GB2312" w:eastAsia="仿宋_GB2312"/>
                <w:sz w:val="18"/>
                <w:color w:val="000000"/>
              </w:rPr>
              <w:t>六、进度要求：预计项目实施时间为</w:t>
            </w:r>
            <w:r>
              <w:rPr>
                <w:rFonts w:ascii="仿宋_GB2312" w:hAnsi="仿宋_GB2312" w:cs="仿宋_GB2312" w:eastAsia="仿宋_GB2312"/>
                <w:sz w:val="18"/>
                <w:color w:val="000000"/>
              </w:rPr>
              <w:t>7</w:t>
            </w:r>
            <w:r>
              <w:rPr>
                <w:rFonts w:ascii="仿宋_GB2312" w:hAnsi="仿宋_GB2312" w:cs="仿宋_GB2312" w:eastAsia="仿宋_GB2312"/>
                <w:sz w:val="18"/>
                <w:color w:val="000000"/>
              </w:rPr>
              <w:t>月</w:t>
            </w:r>
            <w:r>
              <w:rPr>
                <w:rFonts w:ascii="仿宋_GB2312" w:hAnsi="仿宋_GB2312" w:cs="仿宋_GB2312" w:eastAsia="仿宋_GB2312"/>
                <w:sz w:val="18"/>
                <w:color w:val="000000"/>
              </w:rPr>
              <w:t>1</w:t>
            </w:r>
            <w:r>
              <w:rPr>
                <w:rFonts w:ascii="仿宋_GB2312" w:hAnsi="仿宋_GB2312" w:cs="仿宋_GB2312" w:eastAsia="仿宋_GB2312"/>
                <w:sz w:val="18"/>
                <w:color w:val="000000"/>
              </w:rPr>
              <w:t>日至</w:t>
            </w:r>
            <w:r>
              <w:rPr>
                <w:rFonts w:ascii="仿宋_GB2312" w:hAnsi="仿宋_GB2312" w:cs="仿宋_GB2312" w:eastAsia="仿宋_GB2312"/>
                <w:sz w:val="18"/>
                <w:color w:val="000000"/>
              </w:rPr>
              <w:t>10</w:t>
            </w:r>
            <w:r>
              <w:rPr>
                <w:rFonts w:ascii="仿宋_GB2312" w:hAnsi="仿宋_GB2312" w:cs="仿宋_GB2312" w:eastAsia="仿宋_GB2312"/>
                <w:sz w:val="18"/>
                <w:color w:val="000000"/>
              </w:rPr>
              <w:t>月</w:t>
            </w:r>
            <w:r>
              <w:rPr>
                <w:rFonts w:ascii="仿宋_GB2312" w:hAnsi="仿宋_GB2312" w:cs="仿宋_GB2312" w:eastAsia="仿宋_GB2312"/>
                <w:sz w:val="18"/>
                <w:color w:val="000000"/>
              </w:rPr>
              <w:t>15</w:t>
            </w:r>
            <w:r>
              <w:rPr>
                <w:rFonts w:ascii="仿宋_GB2312" w:hAnsi="仿宋_GB2312" w:cs="仿宋_GB2312" w:eastAsia="仿宋_GB2312"/>
                <w:sz w:val="18"/>
                <w:color w:val="000000"/>
              </w:rPr>
              <w:t>日，实施时长共计</w:t>
            </w:r>
            <w:r>
              <w:rPr>
                <w:rFonts w:ascii="仿宋_GB2312" w:hAnsi="仿宋_GB2312" w:cs="仿宋_GB2312" w:eastAsia="仿宋_GB2312"/>
                <w:sz w:val="18"/>
                <w:color w:val="000000"/>
              </w:rPr>
              <w:t>3.5</w:t>
            </w:r>
            <w:r>
              <w:rPr>
                <w:rFonts w:ascii="仿宋_GB2312" w:hAnsi="仿宋_GB2312" w:cs="仿宋_GB2312" w:eastAsia="仿宋_GB2312"/>
                <w:sz w:val="18"/>
                <w:color w:val="000000"/>
              </w:rPr>
              <w:t>个月。</w:t>
            </w:r>
          </w:p>
          <w:p>
            <w:pPr>
              <w:pStyle w:val="null3"/>
              <w:jc w:val="left"/>
            </w:pPr>
            <w:r>
              <w:rPr>
                <w:rFonts w:ascii="仿宋_GB2312" w:hAnsi="仿宋_GB2312" w:cs="仿宋_GB2312" w:eastAsia="仿宋_GB2312"/>
                <w:sz w:val="18"/>
                <w:color w:val="000000"/>
              </w:rPr>
              <w:t>七、技术要求：</w:t>
            </w:r>
          </w:p>
          <w:p>
            <w:pPr>
              <w:pStyle w:val="null3"/>
              <w:jc w:val="left"/>
            </w:pPr>
            <w:r>
              <w:rPr>
                <w:rFonts w:ascii="仿宋_GB2312" w:hAnsi="仿宋_GB2312" w:cs="仿宋_GB2312" w:eastAsia="仿宋_GB2312"/>
                <w:sz w:val="18"/>
                <w:color w:val="000000"/>
              </w:rPr>
              <w:t>考古发掘过程，全面采用全站仪、</w:t>
            </w:r>
            <w:r>
              <w:rPr>
                <w:rFonts w:ascii="仿宋_GB2312" w:hAnsi="仿宋_GB2312" w:cs="仿宋_GB2312" w:eastAsia="仿宋_GB2312"/>
                <w:sz w:val="18"/>
                <w:color w:val="000000"/>
              </w:rPr>
              <w:t xml:space="preserve">RTK </w:t>
            </w:r>
            <w:r>
              <w:rPr>
                <w:rFonts w:ascii="仿宋_GB2312" w:hAnsi="仿宋_GB2312" w:cs="仿宋_GB2312" w:eastAsia="仿宋_GB2312"/>
                <w:sz w:val="18"/>
                <w:color w:val="000000"/>
              </w:rPr>
              <w:t>进行测量、绘图，并用无人机进行全景拍照，对考古发掘的动植物遗存、金属文物进行多学科的检测与分析，对东市东北隅的环境、气候和生业等做全方维的探讨，并结合建筑考古、动物考古、植物考古等开展多学科合作。</w:t>
            </w:r>
          </w:p>
          <w:p>
            <w:pPr>
              <w:pStyle w:val="null3"/>
              <w:jc w:val="left"/>
            </w:pPr>
            <w:r>
              <w:rPr>
                <w:rFonts w:ascii="仿宋_GB2312" w:hAnsi="仿宋_GB2312" w:cs="仿宋_GB2312" w:eastAsia="仿宋_GB2312"/>
                <w:sz w:val="18"/>
                <w:color w:val="000000"/>
              </w:rPr>
              <w:t>八、成果要求：</w:t>
            </w:r>
          </w:p>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、原始材料</w:t>
            </w:r>
          </w:p>
          <w:p>
            <w:pPr>
              <w:pStyle w:val="null3"/>
              <w:jc w:val="left"/>
            </w:pPr>
            <w:r>
              <w:rPr>
                <w:rFonts w:ascii="仿宋_GB2312" w:hAnsi="仿宋_GB2312" w:cs="仿宋_GB2312" w:eastAsia="仿宋_GB2312"/>
                <w:sz w:val="18"/>
                <w:color w:val="000000"/>
              </w:rPr>
              <w:t>①考古勘探记录</w:t>
            </w:r>
          </w:p>
          <w:p>
            <w:pPr>
              <w:pStyle w:val="null3"/>
              <w:jc w:val="left"/>
            </w:pPr>
            <w:r>
              <w:rPr>
                <w:rFonts w:ascii="仿宋_GB2312" w:hAnsi="仿宋_GB2312" w:cs="仿宋_GB2312" w:eastAsia="仿宋_GB2312"/>
                <w:sz w:val="18"/>
                <w:color w:val="000000"/>
              </w:rPr>
              <w:t>②考古发掘记录</w:t>
            </w:r>
          </w:p>
          <w:p>
            <w:pPr>
              <w:pStyle w:val="null3"/>
              <w:jc w:val="left"/>
            </w:pPr>
            <w:r>
              <w:rPr>
                <w:rFonts w:ascii="仿宋_GB2312" w:hAnsi="仿宋_GB2312" w:cs="仿宋_GB2312" w:eastAsia="仿宋_GB2312"/>
                <w:sz w:val="18"/>
                <w:color w:val="000000"/>
              </w:rPr>
              <w:t>③考古发掘成果报告</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、图像材料</w:t>
            </w:r>
          </w:p>
          <w:p>
            <w:pPr>
              <w:pStyle w:val="null3"/>
              <w:jc w:val="left"/>
            </w:pPr>
            <w:r>
              <w:rPr>
                <w:rFonts w:ascii="仿宋_GB2312" w:hAnsi="仿宋_GB2312" w:cs="仿宋_GB2312" w:eastAsia="仿宋_GB2312"/>
                <w:sz w:val="18"/>
                <w:color w:val="000000"/>
              </w:rPr>
              <w:t>①发掘位置图</w:t>
            </w:r>
          </w:p>
          <w:p>
            <w:pPr>
              <w:pStyle w:val="null3"/>
              <w:jc w:val="left"/>
            </w:pPr>
            <w:r>
              <w:rPr>
                <w:rFonts w:ascii="仿宋_GB2312" w:hAnsi="仿宋_GB2312" w:cs="仿宋_GB2312" w:eastAsia="仿宋_GB2312"/>
                <w:sz w:val="18"/>
                <w:color w:val="000000"/>
              </w:rPr>
              <w:t>②发掘平面图、剖面图</w:t>
            </w:r>
          </w:p>
          <w:p>
            <w:pPr>
              <w:pStyle w:val="null3"/>
              <w:jc w:val="left"/>
            </w:pPr>
            <w:r>
              <w:rPr>
                <w:rFonts w:ascii="仿宋_GB2312" w:hAnsi="仿宋_GB2312" w:cs="仿宋_GB2312" w:eastAsia="仿宋_GB2312"/>
                <w:sz w:val="18"/>
                <w:color w:val="000000"/>
              </w:rPr>
              <w:t>以上资料提供纸质版</w:t>
            </w:r>
            <w:r>
              <w:rPr>
                <w:rFonts w:ascii="仿宋_GB2312" w:hAnsi="仿宋_GB2312" w:cs="仿宋_GB2312" w:eastAsia="仿宋_GB2312"/>
                <w:sz w:val="18"/>
                <w:color w:val="000000"/>
              </w:rPr>
              <w:t xml:space="preserve">2 </w:t>
            </w:r>
            <w:r>
              <w:rPr>
                <w:rFonts w:ascii="仿宋_GB2312" w:hAnsi="仿宋_GB2312" w:cs="仿宋_GB2312" w:eastAsia="仿宋_GB2312"/>
                <w:sz w:val="18"/>
                <w:color w:val="000000"/>
              </w:rPr>
              <w:t>份；</w:t>
            </w:r>
          </w:p>
          <w:p>
            <w:pPr>
              <w:pStyle w:val="null3"/>
              <w:jc w:val="left"/>
            </w:pPr>
            <w:r>
              <w:rPr>
                <w:rFonts w:ascii="仿宋_GB2312" w:hAnsi="仿宋_GB2312" w:cs="仿宋_GB2312" w:eastAsia="仿宋_GB2312"/>
                <w:sz w:val="18"/>
                <w:color w:val="000000"/>
              </w:rPr>
              <w:t>电子版</w:t>
            </w:r>
            <w:r>
              <w:rPr>
                <w:rFonts w:ascii="仿宋_GB2312" w:hAnsi="仿宋_GB2312" w:cs="仿宋_GB2312" w:eastAsia="仿宋_GB2312"/>
                <w:sz w:val="18"/>
                <w:color w:val="000000"/>
              </w:rPr>
              <w:t xml:space="preserve">3 </w:t>
            </w:r>
            <w:r>
              <w:rPr>
                <w:rFonts w:ascii="仿宋_GB2312" w:hAnsi="仿宋_GB2312" w:cs="仿宋_GB2312" w:eastAsia="仿宋_GB2312"/>
                <w:sz w:val="18"/>
                <w:color w:val="000000"/>
              </w:rPr>
              <w:t>份（</w:t>
            </w:r>
            <w:r>
              <w:rPr>
                <w:rFonts w:ascii="仿宋_GB2312" w:hAnsi="仿宋_GB2312" w:cs="仿宋_GB2312" w:eastAsia="仿宋_GB2312"/>
                <w:sz w:val="18"/>
                <w:color w:val="000000"/>
              </w:rPr>
              <w:t xml:space="preserve">WORD </w:t>
            </w:r>
            <w:r>
              <w:rPr>
                <w:rFonts w:ascii="仿宋_GB2312" w:hAnsi="仿宋_GB2312" w:cs="仿宋_GB2312" w:eastAsia="仿宋_GB2312"/>
                <w:sz w:val="18"/>
                <w:color w:val="000000"/>
              </w:rPr>
              <w:t>格式）。</w:t>
            </w:r>
          </w:p>
          <w:p>
            <w:pPr>
              <w:pStyle w:val="null3"/>
              <w:jc w:val="left"/>
            </w:pPr>
            <w:r>
              <w:rPr>
                <w:rFonts w:ascii="仿宋_GB2312" w:hAnsi="仿宋_GB2312" w:cs="仿宋_GB2312" w:eastAsia="仿宋_GB2312"/>
                <w:sz w:val="18"/>
                <w:color w:val="000000"/>
              </w:rPr>
              <w:t>九、质量验收标准或规范</w:t>
            </w:r>
          </w:p>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、《中华人民共和国文物保护法》</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、《国家文物局田野考古工作规程》（</w:t>
            </w:r>
            <w:r>
              <w:rPr>
                <w:rFonts w:ascii="仿宋_GB2312" w:hAnsi="仿宋_GB2312" w:cs="仿宋_GB2312" w:eastAsia="仿宋_GB2312"/>
                <w:sz w:val="18"/>
                <w:color w:val="000000"/>
              </w:rPr>
              <w:t>2009</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、《国家考古遗址公园管理办法（试行）》</w:t>
            </w:r>
          </w:p>
          <w:p>
            <w:pPr>
              <w:pStyle w:val="null3"/>
              <w:jc w:val="both"/>
            </w:pPr>
            <w:r>
              <w:rPr>
                <w:rFonts w:ascii="仿宋_GB2312" w:hAnsi="仿宋_GB2312" w:cs="仿宋_GB2312" w:eastAsia="仿宋_GB2312"/>
                <w:sz w:val="18"/>
                <w:color w:val="000000"/>
              </w:rPr>
              <w:t>4</w:t>
            </w:r>
            <w:r>
              <w:rPr>
                <w:rFonts w:ascii="仿宋_GB2312" w:hAnsi="仿宋_GB2312" w:cs="仿宋_GB2312" w:eastAsia="仿宋_GB2312"/>
                <w:sz w:val="18"/>
                <w:color w:val="000000"/>
              </w:rPr>
              <w:t>、《考古发掘项目检查验收工作实施细则》</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自合同签订之日起三个半月内完成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进度款，合同生效后，达到付款条件起30个工作日内，支付合同总金额的30.0%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进度款，勘探（发掘）工作完成后，达到付款条件起15个工作日内，支付合同总金额的50.0%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进度款，提交勘探（发掘）报告达到采购方要求后，达到付款条件起30个工作日内，支付合同总金额的20.0%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符合国家标准、行业标准以及有关技术规范要求</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以双方合同签订时的约定为准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1、各供应商应根据“陕西省财政厅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为顺利推进政府采购电子化交易平台应用工作，供应商需要在线提交所有通过电子化交易平台实施的政府采购项目的响应文件，同时，成交供应商领取成交通知书时，应线下提交纸质版响应文件，正本壹份、副本贰套、电子版壹套（U盘）至代理机构。 线上电子响应文件与纸质响应文件一致；若正本和副本不符，以正本为准。 2、落实政府采购政策需满足的资格要求：依据《中华人民共和国政府采购法》和《中华人民共和国政府采购法实施条例》的有关规定，落实政府采购“优先购买节能环保产品、扶持小微企业、监狱企业、福利企业”等相关政策。1、《政府采购促进中小企业发展管理办法》（财库〔2020〕46号）、《陕西省财政厅关于进一步加大政府采购支持中小企业力度的通知》（陕财办采〔2022〕5号）、《陕西省财政厅关于落实政府采购支持中小企业政策有关事项的通知》（陕财办采〔2022〕10号）、《财政部关于进一步加大政府采购支持中小企业力度》的通知（财库〔2022〕19号）；2、《财政部司法部关于政府采购支持监狱企业发展有关问题的通知》（财库〔2014〕68号）；3、《国务院办公厅关于建立政府强制采购节能产品制度的通知》（国办发〔2007〕51号）；4、《节能产品政府采购实施意见》（财库〔2004〕185号）； 5、《环境标志产品政府采购实施的意见》（财库〔2006〕90号）；6、《三部门联合发布关于促进残疾人就业政府采购政策的通知》（财库〔2017〕141号）；7、《财政部发展改革委生态环境部市场监管总局关于调整优化节能产品、环境标志产品政府采购执行机制的通知》（财库〔2019〕9号）；8、关于印发环境标志产品政府采购品目清单的通知（财库〔2019〕18号）；9、《关于印发节能产品政府采购品目清单的通知》（财库〔2019〕19号）；10、《财政部、农业农村部、国家乡村振兴局关于运用政府采购政策支持乡村产业振兴的通知》（财库〔2021〕19号）；11、《陕西省中小企业政府采购信用融资办法》（陕财办采〔2018〕23号）、陕西省财政厅、中国人民银行西安分行关于深入推进政府采购信用融资业务的通知（陕财办采〔2023〕5号）；12、《关于政府采购支持绿色建材促进建筑品质提升试点工作的通知》（财库〔2020〕31 号）；13、融资平台：根据《陕西省财政厅关于加快推进我省中小企业政府采购信用融资工作的通知》陕财办采〔2020〕15号文件精神，有融资需求的供应商可根据自身情况，在陕西省政府采购信用融资平台（含各市分平台）自主选择金融机构及其融资产品，凭政府采购中标（成交）通知书或政府采购合同向金融机构提出融资申请；14、关于推动解决政府采购异常低价问题的通知（财库〔2026〕2号）；15、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在中华人民共和国境内注册，依法取得并有效存续的营业执照（含电子营业执照）\事业单位法人证书\民办非企业单位登记证书\非企业专业服务机构执业许可\自然人的提供身份证明文件；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法定代表人（负责人）委托授权书\身份证明</w:t>
            </w:r>
          </w:p>
        </w:tc>
        <w:tc>
          <w:tcPr>
            <w:tcW w:type="dxa" w:w="3322"/>
          </w:tcPr>
          <w:p>
            <w:pPr>
              <w:pStyle w:val="null3"/>
            </w:pPr>
            <w:r>
              <w:rPr>
                <w:rFonts w:ascii="仿宋_GB2312" w:hAnsi="仿宋_GB2312" w:cs="仿宋_GB2312" w:eastAsia="仿宋_GB2312"/>
              </w:rPr>
              <w:t>法定代表人（负责人）参加谈判的，须出具法定代表人（负责人）身份证明书及身份证正反两面扫描件；法定代表人（负责人）授权委托代理人参加谈判的，须出具法定代表人（负责人）授权委托书及委托代理人身份证正反两面扫描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企业资质项目负责人</w:t>
            </w:r>
          </w:p>
        </w:tc>
        <w:tc>
          <w:tcPr>
            <w:tcW w:type="dxa" w:w="3322"/>
          </w:tcPr>
          <w:p>
            <w:pPr>
              <w:pStyle w:val="null3"/>
            </w:pPr>
            <w:r>
              <w:rPr>
                <w:rFonts w:ascii="仿宋_GB2312" w:hAnsi="仿宋_GB2312" w:cs="仿宋_GB2312" w:eastAsia="仿宋_GB2312"/>
              </w:rPr>
              <w:t>供应商须具备国家文物局颁发的考古发掘资质证书；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拟派项目负责人具有国家文物局颁发的考古发掘领队资格证或考古发掘项目负责人资质证书；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 2024 年或 2025 年 度财务报告（成立时间至开标时间不足一年的可提供成立后任意时段的资产负债表。投标人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 2 名注册会计师的签字及盖章。且2022 年 10 月 1 日后出具的审计报告应当经过注册会计师行业统一监管平台备案赋码。）或开标前六个月内其基本账户银行出具的资信证明或信用担保机构出具的担保函。（以上三种形式的资料提供任意一种即可）；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提供投标截止日前近一年内任意一个月的纳税证明或完税证明（任意税种），依法免税的单位应提供相关证明材料；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提供投标截止日前近一年内任意一个月的社会保障资金缴存单据或社保机构开具的社会保险参保缴费情况证明，依法不需要缴纳社会保障资金的单位应提供相关证明材料；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设备、技术能力书面声明</w:t>
            </w:r>
          </w:p>
        </w:tc>
        <w:tc>
          <w:tcPr>
            <w:tcW w:type="dxa" w:w="3322"/>
          </w:tcPr>
          <w:p>
            <w:pPr>
              <w:pStyle w:val="null3"/>
            </w:pPr>
            <w:r>
              <w:rPr>
                <w:rFonts w:ascii="仿宋_GB2312" w:hAnsi="仿宋_GB2312" w:cs="仿宋_GB2312" w:eastAsia="仿宋_GB2312"/>
              </w:rPr>
              <w:t>提供具有履行合同所必需的设备和专业技术能力的书面声明；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采购代理机构将在开标当日打印查询记录作为证据留存，对列入失信被执行人、重大税收违法失信主体当事人名单、政府采购严重违法失信行为记录名单及其他不符合《中华人民共和国政府采购法》第二十二条规定的供应商，采购代理机构将拒绝其参与政府采购活动，查询结果以电子或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本次项目不接受联合体投标</w:t>
            </w:r>
          </w:p>
        </w:tc>
        <w:tc>
          <w:tcPr>
            <w:tcW w:type="dxa" w:w="3322"/>
          </w:tcPr>
          <w:p>
            <w:pPr>
              <w:pStyle w:val="null3"/>
            </w:pPr>
            <w:r>
              <w:rPr>
                <w:rFonts w:ascii="仿宋_GB2312" w:hAnsi="仿宋_GB2312" w:cs="仿宋_GB2312" w:eastAsia="仿宋_GB2312"/>
              </w:rPr>
              <w:t>提供非联合体投标承诺书；</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 价</w:t>
            </w:r>
          </w:p>
        </w:tc>
        <w:tc>
          <w:tcPr>
            <w:tcW w:type="dxa" w:w="3322"/>
          </w:tcPr>
          <w:p>
            <w:pPr>
              <w:pStyle w:val="null3"/>
            </w:pPr>
            <w:r>
              <w:rPr>
                <w:rFonts w:ascii="仿宋_GB2312" w:hAnsi="仿宋_GB2312" w:cs="仿宋_GB2312" w:eastAsia="仿宋_GB2312"/>
              </w:rPr>
              <w:t>同时满足以下条款： （1）货币单位符合要求 （2）报价符合唯一性要求 （3）未超出采购预算或最高限价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自响应文件递交截止之日起90个日历日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质量要求</w:t>
            </w:r>
          </w:p>
        </w:tc>
        <w:tc>
          <w:tcPr>
            <w:tcW w:type="dxa" w:w="3322"/>
          </w:tcPr>
          <w:p>
            <w:pPr>
              <w:pStyle w:val="null3"/>
            </w:pPr>
            <w:r>
              <w:rPr>
                <w:rFonts w:ascii="仿宋_GB2312" w:hAnsi="仿宋_GB2312" w:cs="仿宋_GB2312" w:eastAsia="仿宋_GB2312"/>
              </w:rPr>
              <w:t>符合单一来源采购文件要求</w:t>
            </w:r>
          </w:p>
        </w:tc>
        <w:tc>
          <w:tcPr>
            <w:tcW w:type="dxa" w:w="1661"/>
          </w:tcPr>
          <w:p>
            <w:pPr>
              <w:pStyle w:val="null3"/>
            </w:pPr>
            <w:r>
              <w:rPr>
                <w:rFonts w:ascii="仿宋_GB2312" w:hAnsi="仿宋_GB2312" w:cs="仿宋_GB2312" w:eastAsia="仿宋_GB2312"/>
              </w:rPr>
              <w:t>商务应答表 服务内容及服务要求应答表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符合单一来源采购文件要求</w:t>
            </w:r>
          </w:p>
        </w:tc>
        <w:tc>
          <w:tcPr>
            <w:tcW w:type="dxa" w:w="1661"/>
          </w:tcPr>
          <w:p>
            <w:pPr>
              <w:pStyle w:val="null3"/>
            </w:pPr>
            <w:r>
              <w:rPr>
                <w:rFonts w:ascii="仿宋_GB2312" w:hAnsi="仿宋_GB2312" w:cs="仿宋_GB2312" w:eastAsia="仿宋_GB2312"/>
              </w:rPr>
              <w:t>商务应答表 服务内容及服务要求应答表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响应文件内容完整</w:t>
            </w:r>
          </w:p>
        </w:tc>
        <w:tc>
          <w:tcPr>
            <w:tcW w:type="dxa" w:w="1661"/>
          </w:tcPr>
          <w:p>
            <w:pPr>
              <w:pStyle w:val="null3"/>
            </w:pPr>
            <w:r>
              <w:rPr>
                <w:rFonts w:ascii="仿宋_GB2312" w:hAnsi="仿宋_GB2312" w:cs="仿宋_GB2312" w:eastAsia="仿宋_GB2312"/>
              </w:rPr>
              <w:t>商务应答表 服务内容及服务要求应答表 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详见附件：第七章 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