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FF435">
      <w:pPr>
        <w:pStyle w:val="2"/>
        <w:widowControl w:val="0"/>
        <w:spacing w:before="101" w:line="219" w:lineRule="auto"/>
        <w:jc w:val="center"/>
        <w:outlineLvl w:val="0"/>
        <w:rPr>
          <w:rFonts w:ascii="楷体" w:hAnsi="楷体" w:eastAsia="楷体" w:cs="楷体"/>
          <w:sz w:val="31"/>
          <w:szCs w:val="31"/>
          <w:highlight w:val="none"/>
          <w:lang w:eastAsia="zh-CN"/>
        </w:rPr>
      </w:pPr>
      <w:bookmarkStart w:id="0" w:name="_Toc20543"/>
      <w:bookmarkStart w:id="1" w:name="_Toc13399"/>
      <w:r>
        <w:rPr>
          <w:rFonts w:hint="eastAsia" w:ascii="楷体" w:hAnsi="楷体" w:eastAsia="楷体" w:cs="楷体"/>
          <w:b/>
          <w:bCs/>
          <w:spacing w:val="-8"/>
          <w:sz w:val="31"/>
          <w:szCs w:val="31"/>
          <w:highlight w:val="none"/>
          <w:lang w:eastAsia="zh-CN"/>
        </w:rPr>
        <w:t>第三部分</w:t>
      </w:r>
      <w:r>
        <w:rPr>
          <w:rFonts w:hint="eastAsia" w:ascii="楷体" w:hAnsi="楷体" w:eastAsia="楷体" w:cs="楷体"/>
          <w:spacing w:val="118"/>
          <w:sz w:val="31"/>
          <w:szCs w:val="31"/>
          <w:highlight w:val="none"/>
          <w:lang w:eastAsia="zh-CN"/>
        </w:rPr>
        <w:t xml:space="preserve"> </w:t>
      </w:r>
      <w:r>
        <w:rPr>
          <w:rFonts w:hint="eastAsia" w:ascii="楷体" w:hAnsi="楷体" w:eastAsia="楷体" w:cs="楷体"/>
          <w:b/>
          <w:bCs/>
          <w:spacing w:val="-8"/>
          <w:sz w:val="31"/>
          <w:szCs w:val="31"/>
          <w:highlight w:val="none"/>
          <w:lang w:eastAsia="zh-CN"/>
        </w:rPr>
        <w:t>采购内容及要求</w:t>
      </w:r>
      <w:bookmarkEnd w:id="0"/>
      <w:bookmarkEnd w:id="1"/>
    </w:p>
    <w:p w14:paraId="41B41B59">
      <w:pPr>
        <w:widowControl w:val="0"/>
        <w:tabs>
          <w:tab w:val="left" w:pos="0"/>
        </w:tabs>
        <w:spacing w:line="360" w:lineRule="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一、项目概况</w:t>
      </w:r>
    </w:p>
    <w:p w14:paraId="187B3BC2">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 xml:space="preserve"> </w:t>
      </w:r>
      <w:bookmarkStart w:id="6" w:name="_GoBack"/>
      <w:bookmarkEnd w:id="6"/>
      <w:r>
        <w:rPr>
          <w:rFonts w:hint="eastAsia" w:ascii="楷体" w:hAnsi="楷体" w:eastAsia="楷体" w:cs="楷体"/>
          <w:spacing w:val="5"/>
          <w:sz w:val="24"/>
          <w:szCs w:val="24"/>
          <w:highlight w:val="none"/>
          <w:lang w:eastAsia="zh-CN"/>
        </w:rPr>
        <w:t>入河排污口是流域生态环境保护的重要节点，加强和规范排污口监督管理、落实入河排污口监管主体责任是推进生态环境治理体系和治理能力现代化建设的重要举措，对于改善河流水生态环境、促进绿色发展、建设美丽西咸具有重要意义。在前期对西咸新区入河排污口排查、监测、溯源、整治的基础上，对区域内6条河流所有入河排污口进行规范化建设，从而推进生态环境治理体系和治理能力现代化建设完善，改善水生态环境、促进绿色发展、建设美丽西咸。为贯彻落实党中央、国务院关于加强入河入海排污口监督管理工作的精神，积极推进渭河流域水污染防治工作，进行本次入河排污口的规范化建设。</w:t>
      </w:r>
    </w:p>
    <w:p w14:paraId="474C1F6F">
      <w:pPr>
        <w:widowControl w:val="0"/>
        <w:tabs>
          <w:tab w:val="left" w:pos="0"/>
        </w:tabs>
        <w:spacing w:line="360" w:lineRule="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二、采购内容</w:t>
      </w:r>
    </w:p>
    <w:p w14:paraId="4C24A1DE">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1、开展新区渭河、沣河、泾河、新河、太平河、皂河等6条河流约96个入河排污口标志牌布设服务。包含标志牌立杆布设安装、立杆防锈防腐处理、包膜防护、基座填充、基坑回填等配套服务工作。</w:t>
      </w:r>
    </w:p>
    <w:p w14:paraId="67ADF873">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2、开展约18个重点入河排污口现场管护整治服务。对排口口门垃圾、淤泥等杂物开展清理清运，实施监测台养护修复，淤泥收集转运及无害化处置，排口护坡管护修缮、排口设施加固维护等相关配套服务。</w:t>
      </w:r>
    </w:p>
    <w:p w14:paraId="06C38780">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三、项目预算</w:t>
      </w:r>
    </w:p>
    <w:p w14:paraId="12CC919B">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本项目预算：1280000.00元。</w:t>
      </w:r>
    </w:p>
    <w:p w14:paraId="32181479">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四、服务期限</w:t>
      </w:r>
    </w:p>
    <w:p w14:paraId="3206603B">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 xml:space="preserve">90天（服务期起始日以采购人通知为准）。    </w:t>
      </w:r>
    </w:p>
    <w:p w14:paraId="5F07623A">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rPr>
        <w:t>五、</w:t>
      </w:r>
      <w:r>
        <w:rPr>
          <w:rFonts w:hint="eastAsia" w:ascii="楷体" w:hAnsi="楷体" w:eastAsia="楷体" w:cs="楷体"/>
          <w:b/>
          <w:bCs/>
          <w:spacing w:val="5"/>
          <w:sz w:val="24"/>
          <w:szCs w:val="24"/>
          <w:highlight w:val="none"/>
          <w:lang w:eastAsia="zh-CN"/>
        </w:rPr>
        <w:t>采购内容</w:t>
      </w:r>
    </w:p>
    <w:tbl>
      <w:tblPr>
        <w:tblStyle w:val="17"/>
        <w:tblW w:w="9638" w:type="dxa"/>
        <w:tblInd w:w="91" w:type="dxa"/>
        <w:tblLayout w:type="autofit"/>
        <w:tblCellMar>
          <w:top w:w="0" w:type="dxa"/>
          <w:left w:w="108" w:type="dxa"/>
          <w:bottom w:w="0" w:type="dxa"/>
          <w:right w:w="108" w:type="dxa"/>
        </w:tblCellMar>
      </w:tblPr>
      <w:tblGrid>
        <w:gridCol w:w="716"/>
        <w:gridCol w:w="2519"/>
        <w:gridCol w:w="4766"/>
        <w:gridCol w:w="814"/>
        <w:gridCol w:w="823"/>
      </w:tblGrid>
      <w:tr w14:paraId="04551D4E">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BE1F">
            <w:pPr>
              <w:jc w:val="center"/>
              <w:textAlignment w:val="center"/>
              <w:rPr>
                <w:rFonts w:ascii="楷体" w:hAnsi="楷体" w:eastAsia="楷体" w:cs="楷体"/>
                <w:sz w:val="20"/>
                <w:szCs w:val="20"/>
                <w:highlight w:val="none"/>
                <w:lang w:eastAsia="zh-CN" w:bidi="ar"/>
              </w:rPr>
            </w:pPr>
            <w:r>
              <w:rPr>
                <w:rFonts w:hint="eastAsia" w:ascii="楷体" w:hAnsi="楷体" w:eastAsia="楷体" w:cs="楷体"/>
                <w:sz w:val="20"/>
                <w:szCs w:val="20"/>
                <w:highlight w:val="none"/>
                <w:lang w:eastAsia="zh-CN" w:bidi="ar"/>
              </w:rPr>
              <w:t>序号</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5ED9B">
            <w:pPr>
              <w:jc w:val="center"/>
              <w:textAlignment w:val="center"/>
              <w:rPr>
                <w:rFonts w:ascii="楷体" w:hAnsi="楷体" w:eastAsia="楷体" w:cs="楷体"/>
                <w:sz w:val="20"/>
                <w:szCs w:val="20"/>
                <w:highlight w:val="none"/>
                <w:lang w:eastAsia="zh-CN" w:bidi="ar"/>
              </w:rPr>
            </w:pPr>
            <w:r>
              <w:rPr>
                <w:rFonts w:hint="eastAsia" w:ascii="楷体" w:hAnsi="楷体" w:eastAsia="楷体" w:cs="楷体"/>
                <w:sz w:val="20"/>
                <w:szCs w:val="20"/>
                <w:highlight w:val="none"/>
                <w:lang w:eastAsia="zh-CN" w:bidi="ar"/>
              </w:rPr>
              <w:t>名称</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D33CD">
            <w:pPr>
              <w:jc w:val="center"/>
              <w:textAlignment w:val="center"/>
              <w:rPr>
                <w:rFonts w:ascii="楷体" w:hAnsi="楷体" w:eastAsia="楷体" w:cs="楷体"/>
                <w:sz w:val="20"/>
                <w:szCs w:val="20"/>
                <w:highlight w:val="none"/>
                <w:lang w:eastAsia="zh-CN" w:bidi="ar"/>
              </w:rPr>
            </w:pPr>
            <w:r>
              <w:rPr>
                <w:rFonts w:hint="eastAsia" w:ascii="楷体" w:hAnsi="楷体" w:eastAsia="楷体" w:cs="楷体"/>
                <w:sz w:val="20"/>
                <w:szCs w:val="20"/>
                <w:highlight w:val="none"/>
                <w:lang w:eastAsia="zh-CN" w:bidi="ar"/>
              </w:rPr>
              <w:t>内容描述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12DB">
            <w:pPr>
              <w:jc w:val="center"/>
              <w:textAlignment w:val="center"/>
              <w:rPr>
                <w:rFonts w:ascii="楷体" w:hAnsi="楷体" w:eastAsia="楷体" w:cs="楷体"/>
                <w:sz w:val="20"/>
                <w:szCs w:val="20"/>
                <w:highlight w:val="none"/>
                <w:lang w:eastAsia="zh-CN" w:bidi="ar"/>
              </w:rPr>
            </w:pPr>
            <w:r>
              <w:rPr>
                <w:rFonts w:hint="eastAsia" w:ascii="楷体" w:hAnsi="楷体" w:eastAsia="楷体" w:cs="楷体"/>
                <w:sz w:val="20"/>
                <w:szCs w:val="20"/>
                <w:highlight w:val="none"/>
                <w:lang w:eastAsia="zh-CN" w:bidi="ar"/>
              </w:rPr>
              <w:t>数量</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0639">
            <w:pPr>
              <w:jc w:val="center"/>
              <w:textAlignment w:val="center"/>
              <w:rPr>
                <w:rFonts w:ascii="楷体" w:hAnsi="楷体" w:eastAsia="楷体" w:cs="楷体"/>
                <w:sz w:val="20"/>
                <w:szCs w:val="20"/>
                <w:highlight w:val="none"/>
                <w:lang w:eastAsia="zh-CN" w:bidi="ar"/>
              </w:rPr>
            </w:pPr>
            <w:r>
              <w:rPr>
                <w:rFonts w:hint="eastAsia" w:ascii="楷体" w:hAnsi="楷体" w:eastAsia="楷体" w:cs="楷体"/>
                <w:sz w:val="20"/>
                <w:szCs w:val="20"/>
                <w:highlight w:val="none"/>
                <w:lang w:eastAsia="zh-CN" w:bidi="ar"/>
              </w:rPr>
              <w:t>单位</w:t>
            </w:r>
          </w:p>
        </w:tc>
      </w:tr>
      <w:tr w14:paraId="234EEB68">
        <w:tblPrEx>
          <w:tblCellMar>
            <w:top w:w="0" w:type="dxa"/>
            <w:left w:w="108" w:type="dxa"/>
            <w:bottom w:w="0" w:type="dxa"/>
            <w:right w:w="108" w:type="dxa"/>
          </w:tblCellMar>
        </w:tblPrEx>
        <w:trPr>
          <w:trHeight w:val="918"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931A">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1</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5776">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入河排污口标志牌</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2D6BD">
            <w:pPr>
              <w:textAlignment w:val="center"/>
              <w:rPr>
                <w:rFonts w:ascii="楷体" w:hAnsi="楷体" w:eastAsia="楷体" w:cs="楷体"/>
                <w:color w:val="auto"/>
                <w:sz w:val="20"/>
                <w:szCs w:val="20"/>
                <w:highlight w:val="none"/>
                <w:lang w:eastAsia="zh-CN"/>
              </w:rPr>
            </w:pPr>
            <w:bookmarkStart w:id="2" w:name="OLE_LINK2"/>
            <w:bookmarkStart w:id="3" w:name="OLE_LINK1"/>
            <w:r>
              <w:rPr>
                <w:rFonts w:hint="eastAsia" w:ascii="楷体" w:hAnsi="楷体" w:eastAsia="楷体" w:cs="楷体"/>
                <w:color w:val="auto"/>
                <w:sz w:val="20"/>
                <w:szCs w:val="20"/>
                <w:highlight w:val="none"/>
                <w:lang w:eastAsia="zh-CN" w:bidi="ar"/>
              </w:rPr>
              <w:t>平面固定式标志牌外形尺寸：960mm×600mm；</w:t>
            </w:r>
            <w:r>
              <w:rPr>
                <w:rFonts w:hint="eastAsia" w:ascii="楷体" w:hAnsi="楷体" w:eastAsia="楷体" w:cs="楷体"/>
                <w:color w:val="auto"/>
                <w:sz w:val="20"/>
                <w:szCs w:val="20"/>
                <w:highlight w:val="none"/>
                <w:lang w:eastAsia="zh-CN" w:bidi="ar"/>
              </w:rPr>
              <w:br w:type="textWrapping"/>
            </w:r>
            <w:r>
              <w:rPr>
                <w:rFonts w:hint="eastAsia" w:ascii="楷体" w:hAnsi="楷体" w:eastAsia="楷体" w:cs="楷体"/>
                <w:color w:val="auto"/>
                <w:sz w:val="20"/>
                <w:szCs w:val="20"/>
                <w:highlight w:val="none"/>
                <w:lang w:eastAsia="zh-CN" w:bidi="ar"/>
              </w:rPr>
              <w:t>立式固定式标志牌外形尺寸：840mm×840mm；</w:t>
            </w:r>
            <w:bookmarkEnd w:id="2"/>
            <w:bookmarkEnd w:id="3"/>
            <w:r>
              <w:rPr>
                <w:rFonts w:hint="eastAsia" w:ascii="楷体" w:hAnsi="楷体" w:eastAsia="楷体" w:cs="楷体"/>
                <w:color w:val="auto"/>
                <w:sz w:val="20"/>
                <w:szCs w:val="20"/>
                <w:highlight w:val="none"/>
                <w:lang w:eastAsia="zh-CN" w:bidi="ar"/>
              </w:rPr>
              <w:br w:type="textWrapping"/>
            </w:r>
            <w:r>
              <w:rPr>
                <w:rFonts w:hint="eastAsia" w:ascii="楷体" w:hAnsi="楷体" w:eastAsia="楷体" w:cs="楷体"/>
                <w:color w:val="auto"/>
                <w:sz w:val="20"/>
                <w:szCs w:val="20"/>
                <w:highlight w:val="none"/>
                <w:lang w:eastAsia="zh-CN" w:bidi="ar"/>
              </w:rPr>
              <w:t>材料为1.5~2mm冷轧钢板。</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141F">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598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块</w:t>
            </w:r>
          </w:p>
        </w:tc>
      </w:tr>
      <w:tr w14:paraId="111FDAE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FAB4">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2</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F096">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标识牌金属立杆</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E8D8">
            <w:pPr>
              <w:textAlignment w:val="center"/>
              <w:rPr>
                <w:rFonts w:ascii="楷体" w:hAnsi="楷体" w:eastAsia="楷体" w:cs="楷体"/>
                <w:color w:val="auto"/>
                <w:sz w:val="20"/>
                <w:szCs w:val="20"/>
                <w:highlight w:val="none"/>
                <w:lang w:eastAsia="zh-CN" w:bidi="ar"/>
              </w:rPr>
            </w:pPr>
            <w:r>
              <w:rPr>
                <w:rFonts w:hint="eastAsia" w:ascii="楷体" w:hAnsi="楷体" w:eastAsia="楷体" w:cs="楷体"/>
                <w:color w:val="auto"/>
                <w:sz w:val="20"/>
                <w:szCs w:val="20"/>
                <w:highlight w:val="none"/>
                <w:lang w:eastAsia="zh-CN" w:bidi="ar"/>
              </w:rPr>
              <w:t>1.立柱采用Φ38×4mm无缝镀锌钢管；</w:t>
            </w:r>
          </w:p>
          <w:p w14:paraId="194D3784">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2.表面采用搪瓷或者反光贴膜。</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73D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7CA8">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根</w:t>
            </w:r>
          </w:p>
        </w:tc>
      </w:tr>
      <w:tr w14:paraId="3611AC4C">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4AFF">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3</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4ECF">
            <w:pPr>
              <w:textAlignment w:val="center"/>
              <w:rPr>
                <w:rFonts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lang w:val="en-US" w:eastAsia="zh-CN"/>
              </w:rPr>
              <w:t>防</w:t>
            </w:r>
            <w:r>
              <w:rPr>
                <w:rFonts w:hint="eastAsia" w:ascii="楷体" w:hAnsi="楷体" w:eastAsia="楷体" w:cs="楷体"/>
                <w:color w:val="auto"/>
                <w:spacing w:val="5"/>
                <w:sz w:val="20"/>
                <w:szCs w:val="20"/>
                <w:highlight w:val="none"/>
                <w:lang w:eastAsia="zh-CN"/>
              </w:rPr>
              <w:t>锈防腐处理</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E727">
            <w:pPr>
              <w:textAlignment w:val="center"/>
              <w:rPr>
                <w:rFonts w:ascii="楷体" w:hAnsi="楷体" w:eastAsia="楷体" w:cs="楷体"/>
                <w:color w:val="auto"/>
                <w:sz w:val="20"/>
                <w:szCs w:val="20"/>
                <w:highlight w:val="none"/>
                <w:lang w:eastAsia="zh-CN" w:bidi="ar"/>
              </w:rPr>
            </w:pPr>
            <w:r>
              <w:rPr>
                <w:rFonts w:hint="eastAsia" w:ascii="楷体" w:hAnsi="楷体" w:eastAsia="楷体" w:cs="楷体"/>
                <w:color w:val="auto"/>
                <w:sz w:val="20"/>
                <w:szCs w:val="20"/>
                <w:highlight w:val="none"/>
                <w:lang w:eastAsia="zh-CN" w:bidi="ar"/>
              </w:rPr>
              <w:t xml:space="preserve">1.标识牌及立杆打磨光滑；             </w:t>
            </w:r>
          </w:p>
          <w:p w14:paraId="79F82F89">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2.喷涂防锈底漆后喷涂清漆。</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EA96">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DFE0">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项</w:t>
            </w:r>
          </w:p>
        </w:tc>
      </w:tr>
      <w:tr w14:paraId="0634F416">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7A16">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4</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F164">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内容喷涂</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2E1E">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包括：排污口信息公示信息、二维码、监管信息等</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445B">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8447">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项</w:t>
            </w:r>
          </w:p>
        </w:tc>
      </w:tr>
      <w:tr w14:paraId="510613B7">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B2E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5</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AEA0">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包膜保护</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9E60">
            <w:pPr>
              <w:textAlignment w:val="center"/>
              <w:rPr>
                <w:rFonts w:ascii="楷体" w:hAnsi="楷体" w:eastAsia="楷体" w:cs="楷体"/>
                <w:color w:val="auto"/>
                <w:sz w:val="20"/>
                <w:szCs w:val="20"/>
                <w:highlight w:val="none"/>
                <w:lang w:eastAsia="zh-CN" w:bidi="ar"/>
              </w:rPr>
            </w:pPr>
            <w:r>
              <w:rPr>
                <w:rFonts w:hint="eastAsia" w:ascii="楷体" w:hAnsi="楷体" w:eastAsia="楷体" w:cs="楷体"/>
                <w:color w:val="auto"/>
                <w:sz w:val="20"/>
                <w:szCs w:val="20"/>
                <w:highlight w:val="none"/>
                <w:lang w:eastAsia="zh-CN" w:bidi="ar"/>
              </w:rPr>
              <w:t xml:space="preserve">1.标识牌运输                     </w:t>
            </w:r>
          </w:p>
          <w:p w14:paraId="6103924E">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2.启用前的包膜保护</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11AD">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4F7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项</w:t>
            </w:r>
          </w:p>
        </w:tc>
      </w:tr>
      <w:tr w14:paraId="0CA9E98D">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2D69F">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6</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E74">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基坑地笼</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D874">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尺寸30</w:t>
            </w:r>
            <w:r>
              <w:rPr>
                <w:rFonts w:hint="eastAsia" w:ascii="楷体" w:hAnsi="楷体" w:eastAsia="楷体" w:cs="楷体"/>
                <w:color w:val="auto"/>
                <w:sz w:val="20"/>
                <w:szCs w:val="20"/>
                <w:highlight w:val="none"/>
                <w:lang w:val="en-US" w:eastAsia="zh-CN" w:bidi="ar"/>
              </w:rPr>
              <w:t>0</w:t>
            </w:r>
            <w:r>
              <w:rPr>
                <w:rFonts w:hint="eastAsia" w:ascii="楷体" w:hAnsi="楷体" w:eastAsia="楷体" w:cs="楷体"/>
                <w:color w:val="auto"/>
                <w:sz w:val="20"/>
                <w:szCs w:val="20"/>
                <w:highlight w:val="none"/>
                <w:lang w:eastAsia="zh-CN" w:bidi="ar"/>
              </w:rPr>
              <w:t>mm*30</w:t>
            </w:r>
            <w:r>
              <w:rPr>
                <w:rFonts w:hint="eastAsia" w:ascii="楷体" w:hAnsi="楷体" w:eastAsia="楷体" w:cs="楷体"/>
                <w:color w:val="auto"/>
                <w:sz w:val="20"/>
                <w:szCs w:val="20"/>
                <w:highlight w:val="none"/>
                <w:lang w:val="en-US" w:eastAsia="zh-CN" w:bidi="ar"/>
              </w:rPr>
              <w:t>0</w:t>
            </w:r>
            <w:r>
              <w:rPr>
                <w:rFonts w:hint="eastAsia" w:ascii="楷体" w:hAnsi="楷体" w:eastAsia="楷体" w:cs="楷体"/>
                <w:color w:val="auto"/>
                <w:sz w:val="20"/>
                <w:szCs w:val="20"/>
                <w:highlight w:val="none"/>
                <w:lang w:eastAsia="zh-CN" w:bidi="ar"/>
              </w:rPr>
              <w:t>mm金属地笼</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437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0137">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个</w:t>
            </w:r>
          </w:p>
        </w:tc>
      </w:tr>
      <w:tr w14:paraId="6A145260">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B0F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7</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06FA">
            <w:pPr>
              <w:textAlignment w:val="center"/>
              <w:rPr>
                <w:rFonts w:ascii="楷体" w:hAnsi="楷体" w:eastAsia="楷体" w:cs="楷体"/>
                <w:color w:val="auto"/>
                <w:sz w:val="20"/>
                <w:szCs w:val="20"/>
                <w:highlight w:val="none"/>
              </w:rPr>
            </w:pPr>
            <w:r>
              <w:rPr>
                <w:rFonts w:hint="eastAsia" w:ascii="楷体" w:hAnsi="楷体" w:eastAsia="楷体" w:cs="楷体"/>
                <w:color w:val="auto"/>
                <w:sz w:val="20"/>
                <w:szCs w:val="20"/>
                <w:highlight w:val="none"/>
                <w:lang w:eastAsia="zh-CN" w:bidi="ar"/>
              </w:rPr>
              <w:t>立杆基坑</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D358">
            <w:pPr>
              <w:textAlignment w:val="center"/>
              <w:rPr>
                <w:rFonts w:ascii="楷体" w:hAnsi="楷体" w:eastAsia="楷体" w:cs="楷体"/>
                <w:color w:val="auto"/>
                <w:sz w:val="20"/>
                <w:szCs w:val="20"/>
                <w:highlight w:val="none"/>
                <w:lang w:eastAsia="zh-CN"/>
              </w:rPr>
            </w:pPr>
            <w:r>
              <w:rPr>
                <w:rFonts w:hint="eastAsia" w:ascii="楷体" w:hAnsi="楷体" w:eastAsia="楷体" w:cs="楷体"/>
                <w:color w:val="auto"/>
                <w:sz w:val="20"/>
                <w:szCs w:val="20"/>
                <w:highlight w:val="none"/>
                <w:lang w:eastAsia="zh-CN" w:bidi="ar"/>
              </w:rPr>
              <w:t>600mm*600mm*800mm基坑（人工开挖）</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AC41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BAD7C">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个</w:t>
            </w:r>
          </w:p>
        </w:tc>
      </w:tr>
      <w:tr w14:paraId="55753D6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1CD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8</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B5B7">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立杆混凝土</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83F6B">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0.3m³C30商砼（体积600mm*600mm*600mm）</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175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672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项</w:t>
            </w:r>
          </w:p>
        </w:tc>
      </w:tr>
      <w:tr w14:paraId="4EA0394A">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B03B">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val="en-US" w:eastAsia="zh-CN" w:bidi="ar"/>
              </w:rPr>
              <w:t>9</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DA4A">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商砼填充</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41B8">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混泥土浇筑及强夯</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DB2F">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20D7">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项</w:t>
            </w:r>
          </w:p>
        </w:tc>
      </w:tr>
      <w:tr w14:paraId="66EB79F2">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8136D">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10</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9D6F2">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基坑回填</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8364">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基坑覆土回填及周边环境恢复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82D6">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96</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C00A">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个</w:t>
            </w:r>
          </w:p>
        </w:tc>
      </w:tr>
      <w:tr w14:paraId="0F348FD8">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E0DC">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11</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A416">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标识牌、物料运输</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0DA2">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标识牌运输至</w:t>
            </w:r>
            <w:r>
              <w:rPr>
                <w:rFonts w:hint="eastAsia" w:ascii="楷体" w:hAnsi="楷体" w:eastAsia="楷体" w:cs="楷体"/>
                <w:sz w:val="20"/>
                <w:szCs w:val="20"/>
                <w:highlight w:val="none"/>
                <w:lang w:val="en-US" w:eastAsia="zh-CN" w:bidi="ar"/>
              </w:rPr>
              <w:t>96</w:t>
            </w:r>
            <w:r>
              <w:rPr>
                <w:rFonts w:hint="eastAsia" w:ascii="楷体" w:hAnsi="楷体" w:eastAsia="楷体" w:cs="楷体"/>
                <w:sz w:val="20"/>
                <w:szCs w:val="20"/>
                <w:highlight w:val="none"/>
                <w:lang w:eastAsia="zh-CN" w:bidi="ar"/>
              </w:rPr>
              <w:t>个排污口指定地点，平均运输距离15KM</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A1B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15</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590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次</w:t>
            </w:r>
          </w:p>
        </w:tc>
      </w:tr>
      <w:tr w14:paraId="5DC0B1AE">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7E2E">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12</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72C1">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垃圾清运</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04A1">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过程中的垃圾清运及无害化处置</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DAB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15</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5DE9">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次</w:t>
            </w:r>
          </w:p>
        </w:tc>
      </w:tr>
      <w:tr w14:paraId="2A9D5A92">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C4EF">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13</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5774">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污染物植被清理</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EBCF">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排污口周边植被清理（含水体及护坡）</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DEDC">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144</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1A69">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6BB10563">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875D">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14</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0FBD">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垃圾清理</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23D7">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排污口上下游50m范围内垃圾清理</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F15C">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809C">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2A5A58FA">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A646">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15</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597B">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排污口隧道中污染物清除</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FAAC">
            <w:pPr>
              <w:ind w:right="-79" w:rightChars="-33"/>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涵道内排污口内的污染物清理，减少污染及淤堵，并确保涵道内污水排放顺畅，防止积水反臭</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BC3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72</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3FD6">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4B3D24CF">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DB8E">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16</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9313">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排污口上下游淤泥清理（河道）</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DBCD">
            <w:pPr>
              <w:pStyle w:val="7"/>
              <w:rPr>
                <w:rFonts w:ascii="楷体" w:hAnsi="楷体" w:eastAsia="楷体" w:cs="楷体"/>
                <w:color w:val="auto"/>
                <w:sz w:val="20"/>
                <w:szCs w:val="20"/>
                <w:highlight w:val="none"/>
                <w:lang w:eastAsia="zh-CN" w:bidi="ar"/>
              </w:rPr>
            </w:pPr>
            <w:r>
              <w:rPr>
                <w:rFonts w:hint="eastAsia" w:ascii="楷体" w:hAnsi="楷体" w:eastAsia="楷体" w:cs="楷体"/>
                <w:color w:val="auto"/>
                <w:sz w:val="20"/>
                <w:szCs w:val="20"/>
                <w:highlight w:val="none"/>
                <w:lang w:eastAsia="zh-CN" w:bidi="ar"/>
              </w:rPr>
              <w:t>自然护坡的河道内清除淤泥，</w:t>
            </w:r>
            <w:r>
              <w:rPr>
                <w:rFonts w:hint="eastAsia" w:ascii="楷体" w:hAnsi="楷体" w:eastAsia="楷体" w:cs="楷体"/>
                <w:sz w:val="20"/>
                <w:szCs w:val="20"/>
                <w:highlight w:val="none"/>
                <w:lang w:eastAsia="zh-CN" w:bidi="ar"/>
              </w:rPr>
              <w:t>以</w:t>
            </w:r>
            <w:r>
              <w:rPr>
                <w:rFonts w:hint="eastAsia" w:ascii="楷体" w:hAnsi="楷体" w:eastAsia="楷体" w:cs="楷体"/>
                <w:color w:val="auto"/>
                <w:sz w:val="20"/>
                <w:szCs w:val="20"/>
                <w:highlight w:val="none"/>
                <w:lang w:eastAsia="zh-CN" w:bidi="ar"/>
              </w:rPr>
              <w:t>排污口为中心上下游各追溯50米</w:t>
            </w:r>
          </w:p>
          <w:p w14:paraId="29C2289C">
            <w:pPr>
              <w:textAlignment w:val="center"/>
              <w:rPr>
                <w:rFonts w:ascii="楷体" w:hAnsi="楷体" w:eastAsia="楷体" w:cs="楷体"/>
                <w:sz w:val="20"/>
                <w:szCs w:val="20"/>
                <w:highlight w:val="none"/>
                <w:lang w:eastAsia="zh-CN"/>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E84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E69D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393CE122">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19F0">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17</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81DB">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排污口上下游淤泥清理（护坡类）</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42A5">
            <w:pPr>
              <w:pStyle w:val="7"/>
              <w:rPr>
                <w:rFonts w:ascii="楷体" w:hAnsi="楷体" w:eastAsia="楷体" w:cs="楷体"/>
                <w:color w:val="auto"/>
                <w:sz w:val="20"/>
                <w:szCs w:val="20"/>
                <w:highlight w:val="none"/>
                <w:lang w:eastAsia="zh-CN" w:bidi="ar"/>
              </w:rPr>
            </w:pPr>
            <w:r>
              <w:rPr>
                <w:rFonts w:hint="eastAsia" w:ascii="楷体" w:hAnsi="楷体" w:eastAsia="楷体" w:cs="楷体"/>
                <w:color w:val="auto"/>
                <w:sz w:val="20"/>
                <w:szCs w:val="20"/>
                <w:highlight w:val="none"/>
                <w:lang w:eastAsia="zh-CN" w:bidi="ar"/>
              </w:rPr>
              <w:t>人工护坡的河道内清除淤泥，</w:t>
            </w:r>
            <w:r>
              <w:rPr>
                <w:rFonts w:hint="eastAsia" w:ascii="楷体" w:hAnsi="楷体" w:eastAsia="楷体" w:cs="楷体"/>
                <w:sz w:val="20"/>
                <w:szCs w:val="20"/>
                <w:highlight w:val="none"/>
                <w:lang w:eastAsia="zh-CN" w:bidi="ar"/>
              </w:rPr>
              <w:t>以</w:t>
            </w:r>
            <w:r>
              <w:rPr>
                <w:rFonts w:hint="eastAsia" w:ascii="楷体" w:hAnsi="楷体" w:eastAsia="楷体" w:cs="楷体"/>
                <w:color w:val="auto"/>
                <w:sz w:val="20"/>
                <w:szCs w:val="20"/>
                <w:highlight w:val="none"/>
                <w:lang w:eastAsia="zh-CN" w:bidi="ar"/>
              </w:rPr>
              <w:t>排污口为中心上下游各追溯50米</w:t>
            </w:r>
          </w:p>
          <w:p w14:paraId="7DFB3B71">
            <w:pPr>
              <w:textAlignment w:val="center"/>
              <w:rPr>
                <w:rFonts w:ascii="楷体" w:hAnsi="楷体" w:eastAsia="楷体" w:cs="楷体"/>
                <w:sz w:val="20"/>
                <w:szCs w:val="20"/>
                <w:highlight w:val="none"/>
                <w:lang w:eastAsia="zh-CN"/>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F49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E5B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565C35B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1CDD">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18</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CB5B">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河道回填</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76F7">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清理淤泥后河道恢复，按清理淤泥m³的30%回填</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70A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540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5BF3">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76895F0A">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E188">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19</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BFF98">
            <w:pPr>
              <w:textAlignment w:val="center"/>
              <w:rPr>
                <w:rFonts w:ascii="楷体" w:hAnsi="楷体" w:eastAsia="楷体" w:cs="楷体"/>
                <w:sz w:val="20"/>
                <w:szCs w:val="20"/>
                <w:highlight w:val="none"/>
              </w:rPr>
            </w:pPr>
            <w:bookmarkStart w:id="4" w:name="OLE_LINK13"/>
            <w:bookmarkStart w:id="5" w:name="OLE_LINK12"/>
            <w:r>
              <w:rPr>
                <w:rFonts w:hint="eastAsia" w:ascii="楷体" w:hAnsi="楷体" w:eastAsia="楷体" w:cs="楷体"/>
                <w:sz w:val="20"/>
                <w:szCs w:val="20"/>
                <w:highlight w:val="none"/>
                <w:lang w:eastAsia="zh-CN" w:bidi="ar"/>
              </w:rPr>
              <w:t>监测台（井）</w:t>
            </w:r>
            <w:bookmarkEnd w:id="4"/>
            <w:bookmarkEnd w:id="5"/>
            <w:r>
              <w:rPr>
                <w:rFonts w:hint="eastAsia" w:ascii="楷体" w:hAnsi="楷体" w:eastAsia="楷体" w:cs="楷体"/>
                <w:sz w:val="20"/>
                <w:szCs w:val="20"/>
                <w:highlight w:val="none"/>
                <w:lang w:eastAsia="zh-CN" w:bidi="ar"/>
              </w:rPr>
              <w:t>建设</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5AB8">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人工取样台建设</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2619">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14</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A769">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个</w:t>
            </w:r>
          </w:p>
        </w:tc>
      </w:tr>
      <w:tr w14:paraId="5A99B867">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B496">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20</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9AB1">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监测台（井）修复</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B057">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原有人工取样台修复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E90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4</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E51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个</w:t>
            </w:r>
          </w:p>
        </w:tc>
      </w:tr>
      <w:tr w14:paraId="7A2654FA">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EF66">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21</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FE68">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垃圾及植被无害化处置</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061D">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按照清理㎡的15%折算成m³</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402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270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03E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2D4EBE26">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18DE">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22</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A642">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淤泥无害化处置</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7B4DD">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按照清理㎡的45%折算成m³</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0917">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810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7F4B">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5245E5F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20D3">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23</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81DC">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垃圾、植被及淤泥运输</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076E">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采用垃圾车、清淤车外运，平均运输距离20KM</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FB1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63C7">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53F619A7">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6B88">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24</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ECA4">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护坡建设</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EBE0">
            <w:pPr>
              <w:pStyle w:val="7"/>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rPr>
              <w:t>排污口门口</w:t>
            </w:r>
            <w:r>
              <w:rPr>
                <w:rFonts w:hint="eastAsia" w:ascii="楷体" w:hAnsi="楷体" w:eastAsia="楷体" w:cs="楷体"/>
                <w:sz w:val="20"/>
                <w:szCs w:val="20"/>
                <w:highlight w:val="none"/>
                <w:lang w:eastAsia="zh-CN" w:bidi="ar"/>
              </w:rPr>
              <w:t>建设及上下游护坡建设</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987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214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05C9BA87">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A27A">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25</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7F0E">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施工区域警戒围闭</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1766">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施工现场的防护及围挡</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48DD">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540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7A11">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w:t>
            </w:r>
          </w:p>
        </w:tc>
      </w:tr>
      <w:tr w14:paraId="75E6220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A78D">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26</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7428">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河道导流措施</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7CA5">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清淤导流及修筑导流，沙袋围闭导流</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6A3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0BBD">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处</w:t>
            </w:r>
          </w:p>
        </w:tc>
      </w:tr>
      <w:tr w14:paraId="716E85B1">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BD9F">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27</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40ED">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材料人工倒运</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5732">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材料无法直接运输到施工部位，需要人工搬运</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F34A">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C33E">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3FB3F3CE">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684A">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28</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176A">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垃圾人工倒运</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6833">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垃圾车无法到达施工部位，需要人工运输至垃圾车部位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C835">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FF5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35314ECB">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750E">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29</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A266">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淤泥人工倒运</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B14C">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清淤车无法到达施工部位，需要人工运输至清淤车部位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BE1F">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18000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85F0">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m³</w:t>
            </w:r>
          </w:p>
        </w:tc>
      </w:tr>
      <w:tr w14:paraId="22618D65">
        <w:tblPrEx>
          <w:tblCellMar>
            <w:top w:w="0" w:type="dxa"/>
            <w:left w:w="108" w:type="dxa"/>
            <w:bottom w:w="0" w:type="dxa"/>
            <w:right w:w="108" w:type="dxa"/>
          </w:tblCellMar>
        </w:tblPrEx>
        <w:trPr>
          <w:trHeight w:val="567"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CF8C">
            <w:pPr>
              <w:jc w:val="center"/>
              <w:textAlignment w:val="center"/>
              <w:rPr>
                <w:rFonts w:hint="default" w:ascii="楷体" w:hAnsi="楷体" w:eastAsia="楷体" w:cs="楷体"/>
                <w:sz w:val="20"/>
                <w:szCs w:val="20"/>
                <w:highlight w:val="none"/>
                <w:lang w:val="en-US"/>
              </w:rPr>
            </w:pPr>
            <w:r>
              <w:rPr>
                <w:rFonts w:hint="eastAsia" w:ascii="楷体" w:hAnsi="楷体" w:eastAsia="楷体" w:cs="楷体"/>
                <w:sz w:val="20"/>
                <w:szCs w:val="20"/>
                <w:highlight w:val="none"/>
                <w:lang w:val="en-US" w:eastAsia="zh-CN" w:bidi="ar"/>
              </w:rPr>
              <w:t>30</w:t>
            </w:r>
          </w:p>
        </w:tc>
        <w:tc>
          <w:tcPr>
            <w:tcW w:w="2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F821">
            <w:pP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排污口加固及修复</w:t>
            </w:r>
          </w:p>
        </w:tc>
        <w:tc>
          <w:tcPr>
            <w:tcW w:w="4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96D7">
            <w:pPr>
              <w:textAlignment w:val="center"/>
              <w:rPr>
                <w:rFonts w:ascii="楷体" w:hAnsi="楷体" w:eastAsia="楷体" w:cs="楷体"/>
                <w:sz w:val="20"/>
                <w:szCs w:val="20"/>
                <w:highlight w:val="none"/>
                <w:lang w:eastAsia="zh-CN"/>
              </w:rPr>
            </w:pPr>
            <w:r>
              <w:rPr>
                <w:rFonts w:hint="eastAsia" w:ascii="楷体" w:hAnsi="楷体" w:eastAsia="楷体" w:cs="楷体"/>
                <w:sz w:val="20"/>
                <w:szCs w:val="20"/>
                <w:highlight w:val="none"/>
                <w:lang w:eastAsia="zh-CN" w:bidi="ar"/>
              </w:rPr>
              <w:t>排污口破损，管道移位的加固修复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8272">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9</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E509">
            <w:pPr>
              <w:jc w:val="center"/>
              <w:textAlignment w:val="center"/>
              <w:rPr>
                <w:rFonts w:ascii="楷体" w:hAnsi="楷体" w:eastAsia="楷体" w:cs="楷体"/>
                <w:sz w:val="20"/>
                <w:szCs w:val="20"/>
                <w:highlight w:val="none"/>
              </w:rPr>
            </w:pPr>
            <w:r>
              <w:rPr>
                <w:rFonts w:hint="eastAsia" w:ascii="楷体" w:hAnsi="楷体" w:eastAsia="楷体" w:cs="楷体"/>
                <w:sz w:val="20"/>
                <w:szCs w:val="20"/>
                <w:highlight w:val="none"/>
                <w:lang w:eastAsia="zh-CN" w:bidi="ar"/>
              </w:rPr>
              <w:t>处</w:t>
            </w:r>
          </w:p>
        </w:tc>
      </w:tr>
    </w:tbl>
    <w:p w14:paraId="194AFF3B">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六、标识牌设置要求</w:t>
      </w:r>
    </w:p>
    <w:p w14:paraId="3D8DDC8C">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1、设置原则</w:t>
      </w:r>
    </w:p>
    <w:p w14:paraId="516EDF71">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标识牌应设在污水入河处或监测采样点等位置，便于公众监督。一个标识牌原则上对应一个排污口。</w:t>
      </w:r>
    </w:p>
    <w:p w14:paraId="19270368">
      <w:pPr>
        <w:tabs>
          <w:tab w:val="left" w:pos="864"/>
        </w:tabs>
        <w:spacing w:line="360" w:lineRule="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2、制作要求</w:t>
      </w:r>
    </w:p>
    <w:p w14:paraId="10844973">
      <w:pPr>
        <w:tabs>
          <w:tab w:val="left" w:pos="864"/>
        </w:tabs>
        <w:spacing w:line="360" w:lineRule="auto"/>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2.1 样式</w:t>
      </w:r>
    </w:p>
    <w:p w14:paraId="35D84291">
      <w:pPr>
        <w:spacing w:line="360" w:lineRule="auto"/>
        <w:ind w:firstLine="480" w:firstLineChars="200"/>
        <w:rPr>
          <w:rFonts w:ascii="楷体" w:hAnsi="楷体" w:eastAsia="楷体" w:cs="楷体"/>
          <w:sz w:val="24"/>
          <w:szCs w:val="24"/>
          <w:highlight w:val="none"/>
          <w:lang w:eastAsia="zh-CN" w:bidi="ar"/>
        </w:rPr>
      </w:pPr>
      <w:r>
        <w:rPr>
          <w:rFonts w:hint="eastAsia" w:ascii="楷体" w:hAnsi="楷体" w:eastAsia="楷体" w:cs="楷体"/>
          <w:sz w:val="24"/>
          <w:szCs w:val="24"/>
          <w:highlight w:val="none"/>
          <w:lang w:eastAsia="zh-CN" w:bidi="ar"/>
        </w:rPr>
        <w:t>标识牌可选用立柱式、平面式等，可根据地形、气候、水文等实际情况选择确定。</w:t>
      </w:r>
    </w:p>
    <w:p w14:paraId="08116A4B">
      <w:pPr>
        <w:tabs>
          <w:tab w:val="left" w:pos="864"/>
        </w:tabs>
        <w:spacing w:line="360" w:lineRule="auto"/>
        <w:rPr>
          <w:rFonts w:ascii="楷体" w:hAnsi="楷体" w:eastAsia="楷体" w:cs="楷体"/>
          <w:sz w:val="24"/>
          <w:szCs w:val="24"/>
          <w:highlight w:val="none"/>
          <w:lang w:eastAsia="zh-CN" w:bidi="ar"/>
        </w:rPr>
      </w:pPr>
      <w:r>
        <w:rPr>
          <w:rFonts w:hint="eastAsia" w:ascii="楷体" w:hAnsi="楷体" w:eastAsia="楷体" w:cs="楷体"/>
          <w:bCs/>
          <w:sz w:val="24"/>
          <w:szCs w:val="24"/>
          <w:highlight w:val="none"/>
          <w:lang w:eastAsia="zh-CN" w:bidi="ar"/>
        </w:rPr>
        <w:t xml:space="preserve">2.2 </w:t>
      </w:r>
      <w:r>
        <w:rPr>
          <w:rFonts w:hint="eastAsia" w:ascii="楷体" w:hAnsi="楷体" w:eastAsia="楷体" w:cs="楷体"/>
          <w:sz w:val="24"/>
          <w:szCs w:val="24"/>
          <w:highlight w:val="none"/>
          <w:lang w:eastAsia="zh-CN" w:bidi="ar"/>
        </w:rPr>
        <w:t>牌面信息</w:t>
      </w:r>
    </w:p>
    <w:p w14:paraId="67911BE1">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牌面信息包括正面和背面两部分。背面内容为宣传标语，黄河流域的入河排污口标识牌背面内容：《中华人民共和国黄河保护法》第七十六条在黄河流域河道、湖泊新设、改设或者扩大排污口，应当报经有管辖权的生态环境主管部门或者黄河流域生态环境监督管理机构批准。长江流域的入河排污口标识牌背面内容：在长江流域江河、湖泊新设、改设或者扩大排污口应当按照国家有关规定报经有管辖权的生态环境主管部门或者长江流域生态环境监督管理机构同意。</w:t>
      </w:r>
    </w:p>
    <w:p w14:paraId="042EBE2B">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正面包括图形标志、文字信息和二维码，原则上按照“左图右文”的方式排列。</w:t>
      </w:r>
    </w:p>
    <w:p w14:paraId="01BE1CFC">
      <w:pPr>
        <w:spacing w:line="360" w:lineRule="auto"/>
        <w:rPr>
          <w:rFonts w:ascii="楷体" w:hAnsi="楷体" w:eastAsia="楷体" w:cs="楷体"/>
          <w:sz w:val="24"/>
          <w:szCs w:val="24"/>
          <w:highlight w:val="none"/>
          <w:lang w:eastAsia="zh-CN"/>
        </w:rPr>
      </w:pPr>
      <w:r>
        <w:rPr>
          <w:rFonts w:hint="eastAsia" w:ascii="楷体" w:hAnsi="楷体" w:eastAsia="楷体" w:cs="楷体"/>
          <w:b/>
          <w:bCs/>
          <w:sz w:val="24"/>
          <w:szCs w:val="24"/>
          <w:highlight w:val="none"/>
          <w:lang w:eastAsia="zh-CN" w:bidi="ar"/>
        </w:rPr>
        <w:t xml:space="preserve">2.2.1 图形标志 </w:t>
      </w:r>
    </w:p>
    <w:p w14:paraId="62C8D0D6">
      <w:pPr>
        <w:spacing w:line="360" w:lineRule="auto"/>
        <w:ind w:firstLine="480" w:firstLineChars="200"/>
        <w:rPr>
          <w:rFonts w:ascii="楷体" w:hAnsi="楷体" w:eastAsia="楷体" w:cs="楷体"/>
          <w:sz w:val="24"/>
          <w:szCs w:val="24"/>
          <w:highlight w:val="none"/>
          <w:lang w:eastAsia="zh-CN" w:bidi="ar"/>
        </w:rPr>
      </w:pPr>
      <w:r>
        <w:rPr>
          <w:rFonts w:hint="eastAsia" w:ascii="楷体" w:hAnsi="楷体" w:eastAsia="楷体" w:cs="楷体"/>
          <w:sz w:val="24"/>
          <w:szCs w:val="24"/>
          <w:highlight w:val="none"/>
          <w:lang w:eastAsia="zh-CN" w:bidi="ar"/>
        </w:rPr>
        <w:t>图形标志由三部分组成：顶部为排污口门标志，中间为污水标志，底部为受纳水体及鱼形标志（示例如下图）。</w:t>
      </w:r>
    </w:p>
    <w:p w14:paraId="50914927">
      <w:pPr>
        <w:tabs>
          <w:tab w:val="left" w:pos="864"/>
        </w:tabs>
        <w:spacing w:line="360" w:lineRule="auto"/>
        <w:jc w:val="center"/>
        <w:rPr>
          <w:rFonts w:ascii="楷体" w:hAnsi="楷体" w:eastAsia="楷体" w:cs="楷体"/>
          <w:sz w:val="24"/>
          <w:szCs w:val="24"/>
          <w:highlight w:val="none"/>
        </w:rPr>
      </w:pPr>
      <w:r>
        <w:rPr>
          <w:rFonts w:hint="eastAsia" w:ascii="楷体" w:hAnsi="楷体" w:eastAsia="楷体" w:cs="楷体"/>
          <w:sz w:val="24"/>
          <w:szCs w:val="24"/>
          <w:highlight w:val="none"/>
          <w:lang w:eastAsia="zh-CN"/>
        </w:rPr>
        <w:drawing>
          <wp:inline distT="0" distB="0" distL="114300" distR="114300">
            <wp:extent cx="1894205" cy="2116455"/>
            <wp:effectExtent l="0" t="0" r="1270" b="762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6"/>
                    <a:stretch>
                      <a:fillRect/>
                    </a:stretch>
                  </pic:blipFill>
                  <pic:spPr>
                    <a:xfrm>
                      <a:off x="0" y="0"/>
                      <a:ext cx="1894205" cy="2116455"/>
                    </a:xfrm>
                    <a:prstGeom prst="rect">
                      <a:avLst/>
                    </a:prstGeom>
                    <a:noFill/>
                    <a:ln>
                      <a:noFill/>
                    </a:ln>
                  </pic:spPr>
                </pic:pic>
              </a:graphicData>
            </a:graphic>
          </wp:inline>
        </w:drawing>
      </w:r>
    </w:p>
    <w:p w14:paraId="5A4CA435">
      <w:pPr>
        <w:spacing w:line="360" w:lineRule="auto"/>
        <w:jc w:val="center"/>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图形标志示意图（以绿色背景为例）</w:t>
      </w:r>
    </w:p>
    <w:p w14:paraId="1430FBBA">
      <w:pPr>
        <w:spacing w:line="360" w:lineRule="auto"/>
        <w:rPr>
          <w:rFonts w:ascii="楷体" w:hAnsi="楷体" w:eastAsia="楷体" w:cs="楷体"/>
          <w:sz w:val="24"/>
          <w:szCs w:val="24"/>
          <w:highlight w:val="none"/>
          <w:lang w:eastAsia="zh-CN"/>
        </w:rPr>
      </w:pPr>
      <w:r>
        <w:rPr>
          <w:rFonts w:hint="eastAsia" w:ascii="楷体" w:hAnsi="楷体" w:eastAsia="楷体" w:cs="楷体"/>
          <w:b/>
          <w:bCs/>
          <w:sz w:val="24"/>
          <w:szCs w:val="24"/>
          <w:highlight w:val="none"/>
          <w:lang w:eastAsia="zh-CN" w:bidi="ar"/>
        </w:rPr>
        <w:t xml:space="preserve">2.2.2 文字信息 </w:t>
      </w:r>
    </w:p>
    <w:p w14:paraId="294667C7">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标识牌公示信息包含但不限于排污口名称、编码、类型、排放标准、排放浓度、排入水体名称、排污口责任主体、监管单位及电话等。</w:t>
      </w:r>
    </w:p>
    <w:p w14:paraId="2ED4DD75">
      <w:pPr>
        <w:spacing w:line="360" w:lineRule="auto"/>
        <w:ind w:firstLine="480" w:firstLineChars="200"/>
        <w:rPr>
          <w:rFonts w:ascii="楷体" w:hAnsi="楷体" w:eastAsia="楷体" w:cs="楷体"/>
          <w:sz w:val="24"/>
          <w:szCs w:val="24"/>
          <w:highlight w:val="none"/>
          <w:lang w:eastAsia="zh-CN" w:bidi="ar"/>
        </w:rPr>
      </w:pPr>
      <w:r>
        <w:rPr>
          <w:rFonts w:hint="eastAsia" w:ascii="楷体" w:hAnsi="楷体" w:eastAsia="楷体" w:cs="楷体"/>
          <w:sz w:val="24"/>
          <w:szCs w:val="24"/>
          <w:highlight w:val="none"/>
          <w:lang w:eastAsia="zh-CN" w:bidi="ar"/>
        </w:rPr>
        <w:t>排污口名称、排污口编码：按《入河（海）排污口命名与编码规则》（HJ1235—2021）执行；</w:t>
      </w:r>
    </w:p>
    <w:p w14:paraId="361CE51F">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排污口类型：按《入河入海排污口监督管理技术指南排污口分类》（HJ1312—2023）中排污口的一级分类、二级分类、三级分类填写。</w:t>
      </w:r>
    </w:p>
    <w:p w14:paraId="1444B1BD">
      <w:pPr>
        <w:spacing w:line="360" w:lineRule="auto"/>
        <w:rPr>
          <w:rFonts w:ascii="楷体" w:hAnsi="楷体" w:eastAsia="楷体" w:cs="楷体"/>
          <w:sz w:val="24"/>
          <w:szCs w:val="24"/>
          <w:highlight w:val="none"/>
          <w:lang w:eastAsia="zh-CN"/>
        </w:rPr>
      </w:pPr>
      <w:r>
        <w:rPr>
          <w:rFonts w:hint="eastAsia" w:ascii="楷体" w:hAnsi="楷体" w:eastAsia="楷体" w:cs="楷体"/>
          <w:b/>
          <w:bCs/>
          <w:sz w:val="24"/>
          <w:szCs w:val="24"/>
          <w:highlight w:val="none"/>
          <w:lang w:eastAsia="zh-CN" w:bidi="ar"/>
        </w:rPr>
        <w:t xml:space="preserve">2.2.3 二维码 </w:t>
      </w:r>
    </w:p>
    <w:p w14:paraId="56A707DA">
      <w:pPr>
        <w:spacing w:line="360" w:lineRule="auto"/>
        <w:ind w:firstLine="480" w:firstLineChars="200"/>
        <w:rPr>
          <w:rFonts w:ascii="楷体" w:hAnsi="楷体" w:eastAsia="楷体" w:cs="楷体"/>
          <w:sz w:val="24"/>
          <w:szCs w:val="24"/>
          <w:highlight w:val="none"/>
          <w:lang w:eastAsia="zh-CN" w:bidi="ar"/>
        </w:rPr>
      </w:pPr>
      <w:r>
        <w:rPr>
          <w:rFonts w:hint="eastAsia" w:ascii="楷体" w:hAnsi="楷体" w:eastAsia="楷体" w:cs="楷体"/>
          <w:sz w:val="24"/>
          <w:szCs w:val="24"/>
          <w:highlight w:val="none"/>
          <w:lang w:eastAsia="zh-CN" w:bidi="ar"/>
        </w:rPr>
        <w:t>二维码应关联排污口详细信息，包括：牌面上所有信息，以及经纬度、详细地址、排污许可证编码、责任主体联系人及电话、河长信息、水功能区及水质目标、河流隶属关系、水系图等。各地可实际需要增加相关信息（二维码关联信息示例如下图）。</w:t>
      </w:r>
    </w:p>
    <w:p w14:paraId="197C3C4B">
      <w:pPr>
        <w:tabs>
          <w:tab w:val="left" w:pos="864"/>
        </w:tabs>
        <w:spacing w:line="360" w:lineRule="auto"/>
        <w:jc w:val="center"/>
        <w:rPr>
          <w:rFonts w:ascii="楷体" w:hAnsi="楷体" w:eastAsia="楷体" w:cs="楷体"/>
          <w:sz w:val="24"/>
          <w:szCs w:val="24"/>
          <w:highlight w:val="none"/>
        </w:rPr>
      </w:pPr>
      <w:r>
        <w:rPr>
          <w:rFonts w:hint="eastAsia" w:ascii="楷体" w:hAnsi="楷体" w:eastAsia="楷体" w:cs="楷体"/>
          <w:sz w:val="24"/>
          <w:szCs w:val="24"/>
          <w:highlight w:val="none"/>
          <w:lang w:eastAsia="zh-CN"/>
        </w:rPr>
        <w:drawing>
          <wp:inline distT="0" distB="0" distL="114300" distR="114300">
            <wp:extent cx="4271010" cy="5800090"/>
            <wp:effectExtent l="0" t="0" r="5715" b="63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7"/>
                    <a:stretch>
                      <a:fillRect/>
                    </a:stretch>
                  </pic:blipFill>
                  <pic:spPr>
                    <a:xfrm>
                      <a:off x="0" y="0"/>
                      <a:ext cx="4271010" cy="5800090"/>
                    </a:xfrm>
                    <a:prstGeom prst="rect">
                      <a:avLst/>
                    </a:prstGeom>
                    <a:noFill/>
                    <a:ln>
                      <a:noFill/>
                    </a:ln>
                  </pic:spPr>
                </pic:pic>
              </a:graphicData>
            </a:graphic>
          </wp:inline>
        </w:drawing>
      </w:r>
    </w:p>
    <w:p w14:paraId="3EF96666">
      <w:pPr>
        <w:spacing w:line="360" w:lineRule="auto"/>
        <w:ind w:firstLine="440" w:firstLineChars="200"/>
        <w:rPr>
          <w:rFonts w:ascii="楷体" w:hAnsi="楷体" w:eastAsia="楷体" w:cs="楷体"/>
          <w:sz w:val="22"/>
          <w:szCs w:val="22"/>
          <w:highlight w:val="none"/>
          <w:lang w:eastAsia="zh-CN"/>
        </w:rPr>
      </w:pPr>
      <w:r>
        <w:rPr>
          <w:rFonts w:hint="eastAsia" w:ascii="楷体" w:hAnsi="楷体" w:eastAsia="楷体" w:cs="楷体"/>
          <w:sz w:val="22"/>
          <w:szCs w:val="22"/>
          <w:highlight w:val="none"/>
          <w:lang w:eastAsia="zh-CN" w:bidi="ar"/>
        </w:rPr>
        <w:t xml:space="preserve">说明：1.排污口类型：按照《入河入海排污口监督管理技术指南 排污口 分类》（HJ 1312-2023）中表 1 明确至二级分类或三级分类（如有）； </w:t>
      </w:r>
    </w:p>
    <w:p w14:paraId="4C40355F">
      <w:pPr>
        <w:spacing w:line="360" w:lineRule="auto"/>
        <w:ind w:firstLine="440" w:firstLineChars="200"/>
        <w:rPr>
          <w:rFonts w:ascii="楷体" w:hAnsi="楷体" w:eastAsia="楷体" w:cs="楷体"/>
          <w:sz w:val="22"/>
          <w:szCs w:val="22"/>
          <w:highlight w:val="none"/>
          <w:lang w:eastAsia="zh-CN"/>
        </w:rPr>
      </w:pPr>
      <w:r>
        <w:rPr>
          <w:rFonts w:hint="eastAsia" w:ascii="楷体" w:hAnsi="楷体" w:eastAsia="楷体" w:cs="楷体"/>
          <w:sz w:val="22"/>
          <w:szCs w:val="22"/>
          <w:highlight w:val="none"/>
          <w:lang w:eastAsia="zh-CN" w:bidi="ar"/>
        </w:rPr>
        <w:t xml:space="preserve">2.水功能区及水质目标：根据《陕西省水功能区划》（陕政办发 〔2004〕100 号）确定，《陕西省水功能区划》对排入河流未确 定水功能的，填写汇入（下游）河流的水功能区及水质目标； </w:t>
      </w:r>
    </w:p>
    <w:p w14:paraId="52B8EA6C">
      <w:pPr>
        <w:spacing w:line="360" w:lineRule="auto"/>
        <w:ind w:firstLine="440" w:firstLineChars="200"/>
        <w:rPr>
          <w:rFonts w:ascii="楷体" w:hAnsi="楷体" w:eastAsia="楷体" w:cs="楷体"/>
          <w:sz w:val="22"/>
          <w:szCs w:val="22"/>
          <w:highlight w:val="none"/>
          <w:lang w:eastAsia="zh-CN"/>
        </w:rPr>
      </w:pPr>
      <w:r>
        <w:rPr>
          <w:rFonts w:hint="eastAsia" w:ascii="楷体" w:hAnsi="楷体" w:eastAsia="楷体" w:cs="楷体"/>
          <w:sz w:val="22"/>
          <w:szCs w:val="22"/>
          <w:highlight w:val="none"/>
          <w:lang w:eastAsia="zh-CN" w:bidi="ar"/>
        </w:rPr>
        <w:t xml:space="preserve">3.排放浓度：明确排放标准及相关文件规定的全部污染因子浓度限 值； </w:t>
      </w:r>
    </w:p>
    <w:p w14:paraId="5F84A38A">
      <w:pPr>
        <w:spacing w:line="360" w:lineRule="auto"/>
        <w:ind w:firstLine="440" w:firstLineChars="200"/>
        <w:rPr>
          <w:rFonts w:ascii="楷体" w:hAnsi="楷体" w:eastAsia="楷体" w:cs="楷体"/>
          <w:sz w:val="22"/>
          <w:szCs w:val="22"/>
          <w:highlight w:val="none"/>
          <w:lang w:eastAsia="zh-CN"/>
        </w:rPr>
      </w:pPr>
      <w:r>
        <w:rPr>
          <w:rFonts w:hint="eastAsia" w:ascii="楷体" w:hAnsi="楷体" w:eastAsia="楷体" w:cs="楷体"/>
          <w:sz w:val="22"/>
          <w:szCs w:val="22"/>
          <w:highlight w:val="none"/>
          <w:lang w:eastAsia="zh-CN" w:bidi="ar"/>
        </w:rPr>
        <w:t xml:space="preserve">4.河流隶属关系：先填写排入河流名称，再填写汇入下游各级河流名称，最终填至汇入的汉江、嘉陵江或黄河名称，如入河排污口排入冶峪河，则隶属关系应填写：冶峪河—清峪河—石川河—渭河—黄河； </w:t>
      </w:r>
    </w:p>
    <w:p w14:paraId="1402ED9C">
      <w:pPr>
        <w:spacing w:line="360" w:lineRule="auto"/>
        <w:ind w:firstLine="440" w:firstLineChars="200"/>
        <w:rPr>
          <w:rFonts w:ascii="楷体" w:hAnsi="楷体" w:eastAsia="楷体" w:cs="楷体"/>
          <w:sz w:val="22"/>
          <w:szCs w:val="22"/>
          <w:highlight w:val="none"/>
          <w:lang w:eastAsia="zh-CN"/>
        </w:rPr>
      </w:pPr>
      <w:r>
        <w:rPr>
          <w:rFonts w:hint="eastAsia" w:ascii="楷体" w:hAnsi="楷体" w:eastAsia="楷体" w:cs="楷体"/>
          <w:sz w:val="22"/>
          <w:szCs w:val="22"/>
          <w:highlight w:val="none"/>
          <w:lang w:eastAsia="zh-CN" w:bidi="ar"/>
        </w:rPr>
        <w:t>5.水系图：给出受纳水体所在流域水系图并明确排污口相对位置。</w:t>
      </w:r>
    </w:p>
    <w:p w14:paraId="5802904B">
      <w:pPr>
        <w:spacing w:line="360" w:lineRule="auto"/>
        <w:rPr>
          <w:rFonts w:ascii="楷体" w:hAnsi="楷体" w:eastAsia="楷体" w:cs="楷体"/>
          <w:b/>
          <w:bCs/>
          <w:sz w:val="24"/>
          <w:szCs w:val="24"/>
          <w:highlight w:val="none"/>
          <w:lang w:eastAsia="zh-CN" w:bidi="ar"/>
        </w:rPr>
      </w:pPr>
      <w:r>
        <w:rPr>
          <w:rFonts w:hint="eastAsia" w:ascii="楷体" w:hAnsi="楷体" w:eastAsia="楷体" w:cs="楷体"/>
          <w:sz w:val="24"/>
          <w:szCs w:val="24"/>
          <w:highlight w:val="none"/>
          <w:lang w:eastAsia="zh-CN"/>
        </w:rPr>
        <w:t xml:space="preserve">2.3 </w:t>
      </w:r>
      <w:r>
        <w:rPr>
          <w:rFonts w:hint="eastAsia" w:ascii="楷体" w:hAnsi="楷体" w:eastAsia="楷体" w:cs="楷体"/>
          <w:b/>
          <w:bCs/>
          <w:sz w:val="24"/>
          <w:szCs w:val="24"/>
          <w:highlight w:val="none"/>
          <w:lang w:eastAsia="zh-CN" w:bidi="ar"/>
        </w:rPr>
        <w:t>材料</w:t>
      </w:r>
    </w:p>
    <w:p w14:paraId="6FA6C052">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标识牌应具有耐候、耐腐蚀等理化性能，保证一定的使用寿命。立柱式和平面固定式标识牌面可选用铝塑板、薄钢板等，表面选用反光贴膜、搪瓷等；立柱可选用镀锌管等。</w:t>
      </w:r>
    </w:p>
    <w:p w14:paraId="03C45703">
      <w:pPr>
        <w:spacing w:line="360" w:lineRule="auto"/>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 xml:space="preserve">2.4 </w:t>
      </w:r>
      <w:r>
        <w:rPr>
          <w:rFonts w:hint="eastAsia" w:ascii="楷体" w:hAnsi="楷体" w:eastAsia="楷体" w:cs="楷体"/>
          <w:b/>
          <w:bCs/>
          <w:sz w:val="24"/>
          <w:szCs w:val="24"/>
          <w:highlight w:val="none"/>
          <w:lang w:eastAsia="zh-CN" w:bidi="ar"/>
        </w:rPr>
        <w:t>颜色</w:t>
      </w:r>
    </w:p>
    <w:p w14:paraId="2F35F06D">
      <w:pPr>
        <w:spacing w:line="360" w:lineRule="auto"/>
        <w:ind w:firstLine="480" w:firstLineChars="200"/>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bidi="ar"/>
        </w:rPr>
        <w:t>立柱式和平面固定式标识牌面颜色可选用蓝色、绿色、黄色（参考色样附后），图形标志和文字可选用白色。</w:t>
      </w:r>
    </w:p>
    <w:p w14:paraId="6E8E1405">
      <w:pPr>
        <w:spacing w:line="360" w:lineRule="auto"/>
        <w:rPr>
          <w:rFonts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 xml:space="preserve">2.5 </w:t>
      </w:r>
      <w:r>
        <w:rPr>
          <w:rFonts w:hint="eastAsia" w:ascii="楷体" w:hAnsi="楷体" w:eastAsia="楷体" w:cs="楷体"/>
          <w:b/>
          <w:bCs/>
          <w:sz w:val="24"/>
          <w:szCs w:val="24"/>
          <w:highlight w:val="none"/>
          <w:lang w:eastAsia="zh-CN" w:bidi="ar"/>
        </w:rPr>
        <w:t>尺寸</w:t>
      </w:r>
    </w:p>
    <w:p w14:paraId="54743423">
      <w:pPr>
        <w:spacing w:line="360" w:lineRule="auto"/>
        <w:ind w:firstLine="480" w:firstLineChars="20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bidi="ar"/>
        </w:rPr>
        <w:t>标识牌面为横纵比大于1的矩形。原则上，立柱式和平面固定式标识牌面尺寸不小于640mm×400mm，推荐大小平面固定式标志牌外形尺寸：960mm×600mm；立式固定式标志牌外形尺寸：840mm×840mm。可根据排污口周边实际环境确定尺寸大小。</w:t>
      </w:r>
    </w:p>
    <w:p w14:paraId="592F273D">
      <w:pPr>
        <w:spacing w:line="360" w:lineRule="auto"/>
        <w:rPr>
          <w:rFonts w:ascii="楷体" w:hAnsi="楷体" w:eastAsia="楷体" w:cs="楷体"/>
          <w:sz w:val="24"/>
          <w:szCs w:val="24"/>
          <w:highlight w:val="none"/>
          <w:lang w:eastAsia="zh-CN"/>
        </w:rPr>
      </w:pPr>
      <w:r>
        <w:rPr>
          <w:rFonts w:hint="eastAsia" w:ascii="楷体" w:hAnsi="楷体" w:eastAsia="楷体" w:cs="楷体"/>
          <w:b/>
          <w:bCs/>
          <w:sz w:val="24"/>
          <w:szCs w:val="24"/>
          <w:highlight w:val="none"/>
          <w:lang w:eastAsia="zh-CN"/>
        </w:rPr>
        <w:t>3、</w:t>
      </w:r>
      <w:r>
        <w:rPr>
          <w:rFonts w:hint="eastAsia" w:ascii="楷体" w:hAnsi="楷体" w:eastAsia="楷体" w:cs="楷体"/>
          <w:b/>
          <w:bCs/>
          <w:sz w:val="24"/>
          <w:szCs w:val="24"/>
          <w:highlight w:val="none"/>
          <w:lang w:eastAsia="zh-CN" w:bidi="ar"/>
        </w:rPr>
        <w:t>制作管理</w:t>
      </w:r>
    </w:p>
    <w:p w14:paraId="04718EB7">
      <w:pPr>
        <w:spacing w:line="360" w:lineRule="auto"/>
        <w:ind w:firstLine="480" w:firstLineChars="200"/>
        <w:rPr>
          <w:rFonts w:ascii="楷体" w:hAnsi="楷体" w:eastAsia="楷体" w:cs="楷体"/>
          <w:highlight w:val="none"/>
          <w:lang w:eastAsia="zh-CN"/>
        </w:rPr>
      </w:pPr>
      <w:r>
        <w:rPr>
          <w:rFonts w:hint="eastAsia" w:ascii="楷体" w:hAnsi="楷体" w:eastAsia="楷体" w:cs="楷体"/>
          <w:sz w:val="24"/>
          <w:szCs w:val="24"/>
          <w:highlight w:val="none"/>
          <w:lang w:eastAsia="zh-CN" w:bidi="ar"/>
        </w:rPr>
        <w:t>制作和日常维护中，应注意标识牌无明显变形，表面无气泡、开裂、脱落及其他破损，图案清晰，色泽一致，无明显缺损。</w:t>
      </w:r>
    </w:p>
    <w:p w14:paraId="1E785C8D">
      <w:pPr>
        <w:widowControl w:val="0"/>
        <w:tabs>
          <w:tab w:val="left" w:pos="0"/>
        </w:tabs>
        <w:kinsoku/>
        <w:autoSpaceDE/>
        <w:autoSpaceDN/>
        <w:spacing w:line="360" w:lineRule="auto"/>
        <w:textAlignment w:val="auto"/>
        <w:rPr>
          <w:rFonts w:ascii="楷体" w:hAnsi="楷体" w:eastAsia="楷体" w:cs="楷体"/>
          <w:b/>
          <w:bCs/>
          <w:spacing w:val="5"/>
          <w:sz w:val="24"/>
          <w:szCs w:val="24"/>
          <w:highlight w:val="none"/>
          <w:lang w:eastAsia="zh-CN"/>
        </w:rPr>
      </w:pPr>
      <w:r>
        <w:rPr>
          <w:rFonts w:hint="eastAsia" w:ascii="楷体" w:hAnsi="楷体" w:eastAsia="楷体" w:cs="楷体"/>
          <w:b/>
          <w:bCs/>
          <w:spacing w:val="5"/>
          <w:sz w:val="24"/>
          <w:szCs w:val="24"/>
          <w:highlight w:val="none"/>
          <w:lang w:eastAsia="zh-CN"/>
        </w:rPr>
        <w:t>七、项目要求</w:t>
      </w:r>
    </w:p>
    <w:p w14:paraId="01FF0AC4">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1、供应商熟悉入河排污口规范化整治、标识标牌布设、现场整改、档案整编、环保验收全套流程，能够严格按照相关技术规范、河湖管理要求完成标准化建设。对于标志牌出现破损或信息发生变化的，要及时进行更换。</w:t>
      </w:r>
    </w:p>
    <w:p w14:paraId="3711E44B">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2、供应商具备全域排污口现场摸排、点位复核、地形勘查能力，可根据现场河道、岸坡、地形条件，针对性出具实施方案，确保点位合规、布设规范、稳固耐久。</w:t>
      </w:r>
    </w:p>
    <w:p w14:paraId="71C6D9F9">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3、所有建设内容符合《入河入海排污口监督管理技术指南入海排污口规范化建设》及地方生态环境主管部门最新管理规定，能够顺利通过主管部门核查、验收及台账归档。</w:t>
      </w:r>
    </w:p>
    <w:p w14:paraId="4E04B652">
      <w:pPr>
        <w:widowControl w:val="0"/>
        <w:tabs>
          <w:tab w:val="left" w:pos="0"/>
        </w:tabs>
        <w:kinsoku/>
        <w:autoSpaceDE/>
        <w:autoSpaceDN/>
        <w:spacing w:line="360" w:lineRule="auto"/>
        <w:ind w:firstLine="500" w:firstLineChars="200"/>
        <w:textAlignment w:val="auto"/>
        <w:rPr>
          <w:rFonts w:ascii="楷体" w:hAnsi="楷体" w:eastAsia="楷体" w:cs="楷体"/>
          <w:spacing w:val="5"/>
          <w:sz w:val="24"/>
          <w:szCs w:val="24"/>
          <w:highlight w:val="none"/>
          <w:lang w:eastAsia="zh-CN"/>
        </w:rPr>
      </w:pPr>
      <w:r>
        <w:rPr>
          <w:rFonts w:hint="eastAsia" w:ascii="楷体" w:hAnsi="楷体" w:eastAsia="楷体" w:cs="楷体"/>
          <w:spacing w:val="5"/>
          <w:sz w:val="24"/>
          <w:szCs w:val="24"/>
          <w:highlight w:val="none"/>
          <w:lang w:eastAsia="zh-CN"/>
        </w:rPr>
        <w:t>4、配备专属项目负责人1名，具备环保相关专业从业经验，拥有同类排污口规范化项目管理经验，全程驻场统筹项目进度、质量、对接验收。</w:t>
      </w:r>
    </w:p>
    <w:p w14:paraId="5515F7D9">
      <w:pPr>
        <w:keepNext w:val="0"/>
        <w:keepLines w:val="0"/>
        <w:pageBreakBefore w:val="0"/>
        <w:widowControl w:val="0"/>
        <w:kinsoku/>
        <w:wordWrap/>
        <w:overflowPunct/>
        <w:topLinePunct w:val="0"/>
        <w:autoSpaceDE/>
        <w:autoSpaceDN/>
        <w:bidi w:val="0"/>
        <w:adjustRightInd/>
        <w:snapToGrid/>
        <w:spacing w:line="480" w:lineRule="exact"/>
        <w:ind w:right="0" w:rightChars="0" w:firstLine="500" w:firstLineChars="200"/>
        <w:textAlignment w:val="auto"/>
        <w:rPr>
          <w:rFonts w:hint="eastAsia" w:ascii="仿宋" w:hAnsi="仿宋" w:eastAsia="仿宋" w:cs="仿宋"/>
          <w:b w:val="0"/>
          <w:bCs w:val="0"/>
          <w:sz w:val="24"/>
          <w:szCs w:val="24"/>
          <w:lang w:val="en-US" w:eastAsia="zh-CN"/>
        </w:rPr>
      </w:pPr>
      <w:r>
        <w:rPr>
          <w:rFonts w:hint="eastAsia" w:ascii="楷体" w:hAnsi="楷体" w:eastAsia="楷体" w:cs="楷体"/>
          <w:spacing w:val="5"/>
          <w:sz w:val="24"/>
          <w:szCs w:val="24"/>
          <w:highlight w:val="none"/>
          <w:lang w:eastAsia="zh-CN"/>
        </w:rPr>
        <w:t>5、本项目服务结束后，供应商应向甲方提供所有的过程资料一套包括所有纸质资料，照片、视频等电子资料及验收单，以供采购人验收。</w:t>
      </w:r>
    </w:p>
    <w:sectPr>
      <w:headerReference r:id="rId3" w:type="default"/>
      <w:footerReference r:id="rId4" w:type="default"/>
      <w:pgSz w:w="11906" w:h="16838"/>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342F">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81E746">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781E746">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1B8B">
    <w:pPr>
      <w:pStyle w:val="12"/>
      <w:pBdr>
        <w:bottom w:val="none" w:color="auto" w:sz="0" w:space="1"/>
      </w:pBdr>
      <w:rPr>
        <w:rFonts w:hint="default"/>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F3680"/>
    <w:rsid w:val="01755A0F"/>
    <w:rsid w:val="022557E3"/>
    <w:rsid w:val="07BF18FD"/>
    <w:rsid w:val="081B3364"/>
    <w:rsid w:val="09733BCD"/>
    <w:rsid w:val="0A751F3D"/>
    <w:rsid w:val="119242E3"/>
    <w:rsid w:val="129C0D42"/>
    <w:rsid w:val="170219D5"/>
    <w:rsid w:val="17E74F00"/>
    <w:rsid w:val="183D193B"/>
    <w:rsid w:val="18C33753"/>
    <w:rsid w:val="18D3339F"/>
    <w:rsid w:val="195E1C3C"/>
    <w:rsid w:val="19F9637E"/>
    <w:rsid w:val="1A2A3B3E"/>
    <w:rsid w:val="1EC31C35"/>
    <w:rsid w:val="1EFD169A"/>
    <w:rsid w:val="22E10413"/>
    <w:rsid w:val="2494595C"/>
    <w:rsid w:val="252C351F"/>
    <w:rsid w:val="27A82A63"/>
    <w:rsid w:val="296C0B43"/>
    <w:rsid w:val="2BAC1149"/>
    <w:rsid w:val="2E3D66A4"/>
    <w:rsid w:val="2ED50FDD"/>
    <w:rsid w:val="33C0699C"/>
    <w:rsid w:val="36137FC6"/>
    <w:rsid w:val="398C0272"/>
    <w:rsid w:val="3E27534E"/>
    <w:rsid w:val="425E5826"/>
    <w:rsid w:val="425F31C3"/>
    <w:rsid w:val="42DE5DBD"/>
    <w:rsid w:val="44B91127"/>
    <w:rsid w:val="47696F3C"/>
    <w:rsid w:val="4E646531"/>
    <w:rsid w:val="4EA4225D"/>
    <w:rsid w:val="4F7059EC"/>
    <w:rsid w:val="50BF7D4B"/>
    <w:rsid w:val="53A75A71"/>
    <w:rsid w:val="53D64577"/>
    <w:rsid w:val="549946F8"/>
    <w:rsid w:val="599B1161"/>
    <w:rsid w:val="5A515100"/>
    <w:rsid w:val="5DDF4B26"/>
    <w:rsid w:val="63F657B2"/>
    <w:rsid w:val="66E431C0"/>
    <w:rsid w:val="685D5026"/>
    <w:rsid w:val="6BA21785"/>
    <w:rsid w:val="70F47BE3"/>
    <w:rsid w:val="71797846"/>
    <w:rsid w:val="72F23390"/>
    <w:rsid w:val="736900D2"/>
    <w:rsid w:val="744851A8"/>
    <w:rsid w:val="764868FA"/>
    <w:rsid w:val="7A6C13FE"/>
    <w:rsid w:val="7A87228B"/>
    <w:rsid w:val="7B414664"/>
    <w:rsid w:val="7D766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qFormat/>
    <w:uiPriority w:val="1"/>
    <w:pPr>
      <w:spacing w:before="30"/>
      <w:ind w:left="791" w:right="1168"/>
      <w:jc w:val="center"/>
      <w:outlineLvl w:val="0"/>
    </w:pPr>
    <w:rPr>
      <w:rFonts w:ascii="仿宋" w:hAnsi="仿宋" w:eastAsia="仿宋" w:cs="仿宋"/>
      <w:b/>
      <w:bCs/>
      <w:sz w:val="32"/>
      <w:szCs w:val="32"/>
    </w:rPr>
  </w:style>
  <w:style w:type="paragraph" w:styleId="4">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rPr>
      <w:rFonts w:ascii="Times New Roman"/>
      <w:kern w:val="2"/>
      <w:sz w:val="21"/>
    </w:rPr>
  </w:style>
  <w:style w:type="paragraph" w:styleId="6">
    <w:name w:val="Normal Indent"/>
    <w:basedOn w:val="1"/>
    <w:qFormat/>
    <w:uiPriority w:val="0"/>
    <w:pPr>
      <w:spacing w:line="300" w:lineRule="auto"/>
      <w:ind w:firstLine="420" w:firstLineChars="200"/>
    </w:pPr>
    <w:rPr>
      <w:rFonts w:ascii="Times New Roman"/>
      <w:kern w:val="2"/>
      <w:sz w:val="21"/>
      <w:szCs w:val="24"/>
    </w:rPr>
  </w:style>
  <w:style w:type="paragraph" w:styleId="7">
    <w:name w:val="annotation text"/>
    <w:basedOn w:val="1"/>
    <w:qFormat/>
    <w:uiPriority w:val="0"/>
  </w:style>
  <w:style w:type="paragraph" w:styleId="8">
    <w:name w:val="Body Text Indent"/>
    <w:basedOn w:val="1"/>
    <w:qFormat/>
    <w:uiPriority w:val="0"/>
    <w:pPr>
      <w:widowControl/>
      <w:ind w:firstLine="652" w:firstLineChars="233"/>
    </w:pPr>
    <w:rPr>
      <w:rFonts w:ascii="Times New Roman"/>
      <w:sz w:val="28"/>
    </w:rPr>
  </w:style>
  <w:style w:type="paragraph" w:styleId="9">
    <w:name w:val="Block Text"/>
    <w:basedOn w:val="1"/>
    <w:qFormat/>
    <w:uiPriority w:val="0"/>
    <w:pPr>
      <w:spacing w:after="120"/>
      <w:ind w:left="1440" w:leftChars="700" w:right="700" w:rightChars="700"/>
    </w:pPr>
    <w:rPr>
      <w:rFonts w:ascii="Times New Roman" w:hAnsi="Times New Roman" w:eastAsia="宋体" w:cs="Times New Roman"/>
    </w:rPr>
  </w:style>
  <w:style w:type="paragraph" w:styleId="10">
    <w:name w:val="Plain Text"/>
    <w:basedOn w:val="1"/>
    <w:qFormat/>
    <w:uiPriority w:val="0"/>
    <w:rPr>
      <w:rFonts w:hAnsi="Courier New"/>
      <w:kern w:val="2"/>
      <w:sz w:val="21"/>
    </w:rPr>
  </w:style>
  <w:style w:type="paragraph" w:styleId="11">
    <w:name w:val="footer"/>
    <w:basedOn w:val="1"/>
    <w:qFormat/>
    <w:uiPriority w:val="99"/>
    <w:pPr>
      <w:tabs>
        <w:tab w:val="center" w:pos="4153"/>
        <w:tab w:val="right" w:pos="8306"/>
      </w:tabs>
      <w:snapToGrid w:val="0"/>
      <w:jc w:val="left"/>
    </w:pPr>
    <w:rPr>
      <w:rFonts w:ascii="Times New Roman"/>
      <w:kern w:val="2"/>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3">
    <w:name w:val="toc 1"/>
    <w:basedOn w:val="1"/>
    <w:next w:val="1"/>
    <w:unhideWhenUsed/>
    <w:qFormat/>
    <w:uiPriority w:val="39"/>
    <w:pPr>
      <w:tabs>
        <w:tab w:val="left" w:pos="1418"/>
        <w:tab w:val="right" w:leader="dot" w:pos="8302"/>
      </w:tabs>
      <w:spacing w:line="960" w:lineRule="auto"/>
    </w:pPr>
  </w:style>
  <w:style w:type="paragraph" w:styleId="14">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styleId="15">
    <w:name w:val="Body Text First Indent"/>
    <w:basedOn w:val="2"/>
    <w:next w:val="16"/>
    <w:qFormat/>
    <w:uiPriority w:val="0"/>
    <w:pPr>
      <w:spacing w:after="120" w:afterLines="0" w:line="240" w:lineRule="auto"/>
      <w:ind w:firstLine="420" w:firstLineChars="100"/>
    </w:pPr>
    <w:rPr>
      <w:rFonts w:ascii="Times New Roman" w:hAnsi="Times New Roman"/>
      <w:color w:val="auto"/>
      <w:sz w:val="18"/>
      <w:szCs w:val="18"/>
    </w:rPr>
  </w:style>
  <w:style w:type="paragraph" w:styleId="16">
    <w:name w:val="Body Text First Indent 2"/>
    <w:basedOn w:val="1"/>
    <w:next w:val="1"/>
    <w:unhideWhenUsed/>
    <w:qFormat/>
    <w:uiPriority w:val="99"/>
    <w:pPr>
      <w:widowControl/>
      <w:ind w:firstLine="420"/>
      <w:jc w:val="left"/>
    </w:pPr>
    <w:rPr>
      <w:rFonts w:ascii="宋体" w:hAnsi="宋体" w:cs="宋体"/>
      <w:sz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正文文本 31"/>
    <w:basedOn w:val="1"/>
    <w:qFormat/>
    <w:uiPriority w:val="0"/>
    <w:rPr>
      <w:sz w:val="16"/>
      <w:szCs w:val="16"/>
    </w:rPr>
  </w:style>
  <w:style w:type="character" w:customStyle="1" w:styleId="21">
    <w:name w:val="NormalCharacter"/>
    <w:qFormat/>
    <w:uiPriority w:val="0"/>
  </w:style>
  <w:style w:type="paragraph" w:customStyle="1" w:styleId="22">
    <w:name w:val="Table Paragraph"/>
    <w:basedOn w:val="1"/>
    <w:qFormat/>
    <w:uiPriority w:val="1"/>
    <w:rPr>
      <w:rFonts w:ascii="宋体" w:hAnsi="宋体" w:eastAsia="宋体" w:cs="宋体"/>
      <w:lang w:val="zh-CN" w:eastAsia="zh-CN" w:bidi="zh-CN"/>
    </w:rPr>
  </w:style>
  <w:style w:type="paragraph" w:customStyle="1" w:styleId="2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24">
    <w:name w:val="列出段落1"/>
    <w:basedOn w:val="1"/>
    <w:qFormat/>
    <w:uiPriority w:val="0"/>
    <w:pPr>
      <w:ind w:firstLine="420" w:firstLineChars="200"/>
    </w:pPr>
  </w:style>
  <w:style w:type="paragraph" w:styleId="25">
    <w:name w:val="List Paragraph"/>
    <w:basedOn w:val="1"/>
    <w:qFormat/>
    <w:uiPriority w:val="34"/>
    <w:pPr>
      <w:ind w:firstLine="420" w:firstLineChars="200"/>
    </w:pPr>
    <w:rPr>
      <w:rFonts w:ascii="Calibri" w:hAnsi="Calibri"/>
      <w:kern w:val="2"/>
      <w:sz w:val="21"/>
      <w:szCs w:val="22"/>
    </w:rPr>
  </w:style>
  <w:style w:type="character" w:customStyle="1" w:styleId="26">
    <w:name w:val="15"/>
    <w:basedOn w:val="19"/>
    <w:qFormat/>
    <w:uiPriority w:val="0"/>
    <w:rPr>
      <w:rFonts w:hint="default" w:ascii="Times New Roman" w:hAnsi="Times New Roman" w:cs="Times New Roman"/>
    </w:rPr>
  </w:style>
  <w:style w:type="paragraph" w:customStyle="1" w:styleId="27">
    <w:name w:val="BodyText1I"/>
    <w:basedOn w:val="28"/>
    <w:qFormat/>
    <w:uiPriority w:val="0"/>
    <w:pPr>
      <w:ind w:firstLine="420" w:firstLineChars="100"/>
    </w:pPr>
    <w:rPr>
      <w:rFonts w:ascii="宋体"/>
    </w:rPr>
  </w:style>
  <w:style w:type="paragraph" w:customStyle="1" w:styleId="28">
    <w:name w:val="BodyText"/>
    <w:basedOn w:val="1"/>
    <w:qFormat/>
    <w:uiPriority w:val="0"/>
    <w:pPr>
      <w:spacing w:after="120"/>
    </w:pPr>
    <w:rPr>
      <w:rFonts w:ascii="Times New Roman"/>
      <w:kern w:val="2"/>
      <w:sz w:val="21"/>
    </w:rPr>
  </w:style>
  <w:style w:type="paragraph" w:customStyle="1" w:styleId="29">
    <w:name w:val="Table Text"/>
    <w:basedOn w:val="1"/>
    <w:semiHidden/>
    <w:qFormat/>
    <w:uiPriority w:val="0"/>
    <w:rPr>
      <w:rFonts w:ascii="宋体" w:hAnsi="宋体" w:eastAsia="宋体" w:cs="宋体"/>
      <w:sz w:val="20"/>
      <w:szCs w:val="20"/>
      <w:lang w:val="en-US" w:eastAsia="en-US" w:bidi="ar-SA"/>
    </w:rPr>
  </w:style>
  <w:style w:type="table" w:customStyle="1" w:styleId="3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402</Words>
  <Characters>468</Characters>
  <Lines>0</Lines>
  <Paragraphs>0</Paragraphs>
  <TotalTime>0</TotalTime>
  <ScaleCrop>false</ScaleCrop>
  <LinksUpToDate>false</LinksUpToDate>
  <CharactersWithSpaces>471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2025-03-06T04:05:00Z</dcterms:created>
  <dc:creator>李江</dc:creator>
  <cp:lastModifiedBy>年少时代</cp:lastModifiedBy>
  <dcterms:modified xsi:type="dcterms:W3CDTF">2026-09-18T05:07:05Z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eyJoZGlkIjoiYzVkZjAwMTI1ODYzNjhmOTg0YjRhNjIwM2FkNTNlZjMiLCJ1c2VySWQiOiI3MDczMjM0OTYifQ==</vt:lpwstr>
  </property>
  <property fmtid="{D5CDD505-2E9C-101B-9397-08002B2CF9AE}" pid="4" name="ICV">
    <vt:lpwstr>FE5C44C39B7E49F5B6928CA06E070AC7_12</vt:lpwstr>
  </property>
</Properties>
</file>