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C5865">
      <w:pPr>
        <w:snapToGrid w:val="0"/>
        <w:spacing w:line="360" w:lineRule="auto"/>
        <w:rPr>
          <w:rFonts w:hint="eastAsia" w:ascii="仿宋" w:hAnsi="仿宋" w:eastAsia="仿宋" w:cs="仿宋"/>
          <w:sz w:val="28"/>
          <w:szCs w:val="28"/>
        </w:rPr>
      </w:pPr>
    </w:p>
    <w:p w14:paraId="33C50D9E">
      <w:pPr>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项目编号：        </w:t>
      </w:r>
    </w:p>
    <w:p w14:paraId="29A82A36">
      <w:pPr>
        <w:snapToGrid w:val="0"/>
        <w:spacing w:line="360" w:lineRule="auto"/>
        <w:rPr>
          <w:rFonts w:hint="eastAsia" w:ascii="仿宋" w:hAnsi="仿宋" w:eastAsia="仿宋" w:cs="仿宋"/>
          <w:sz w:val="28"/>
          <w:szCs w:val="28"/>
        </w:rPr>
      </w:pPr>
    </w:p>
    <w:p w14:paraId="33681BDB">
      <w:pPr>
        <w:snapToGrid w:val="0"/>
        <w:spacing w:line="360" w:lineRule="auto"/>
        <w:rPr>
          <w:rFonts w:hint="eastAsia" w:ascii="仿宋" w:hAnsi="仿宋" w:eastAsia="仿宋" w:cs="仿宋"/>
          <w:sz w:val="28"/>
          <w:szCs w:val="28"/>
        </w:rPr>
      </w:pPr>
    </w:p>
    <w:p w14:paraId="3C0169EA">
      <w:pPr>
        <w:snapToGrid w:val="0"/>
        <w:spacing w:line="360" w:lineRule="auto"/>
        <w:rPr>
          <w:rFonts w:hint="eastAsia" w:ascii="仿宋" w:hAnsi="仿宋" w:eastAsia="仿宋" w:cs="仿宋"/>
          <w:sz w:val="52"/>
          <w:szCs w:val="52"/>
        </w:rPr>
      </w:pPr>
      <w:r>
        <w:rPr>
          <w:rFonts w:hint="eastAsia" w:ascii="仿宋" w:hAnsi="仿宋" w:eastAsia="仿宋" w:cs="仿宋"/>
          <w:sz w:val="28"/>
          <w:szCs w:val="28"/>
        </w:rPr>
        <w:t xml:space="preserve"> </w:t>
      </w:r>
    </w:p>
    <w:p w14:paraId="1D49092E">
      <w:pPr>
        <w:pStyle w:val="15"/>
        <w:spacing w:line="360" w:lineRule="auto"/>
        <w:jc w:val="center"/>
        <w:rPr>
          <w:rFonts w:hint="eastAsia" w:ascii="仿宋" w:hAnsi="仿宋" w:eastAsia="仿宋" w:cs="仿宋"/>
          <w:b/>
          <w:sz w:val="52"/>
          <w:szCs w:val="52"/>
        </w:rPr>
      </w:pPr>
      <w:r>
        <w:rPr>
          <w:rFonts w:hint="eastAsia" w:ascii="仿宋" w:hAnsi="仿宋" w:eastAsia="仿宋" w:cs="仿宋"/>
          <w:b/>
          <w:sz w:val="52"/>
          <w:szCs w:val="52"/>
          <w:lang w:eastAsia="zh-CN"/>
        </w:rPr>
        <w:t>药品采购</w:t>
      </w:r>
      <w:r>
        <w:rPr>
          <w:rFonts w:hint="eastAsia" w:ascii="仿宋" w:hAnsi="仿宋" w:eastAsia="仿宋" w:cs="仿宋"/>
          <w:b/>
          <w:sz w:val="52"/>
          <w:szCs w:val="52"/>
        </w:rPr>
        <w:t>项目</w:t>
      </w:r>
    </w:p>
    <w:p w14:paraId="15F1F504">
      <w:pPr>
        <w:pStyle w:val="15"/>
        <w:spacing w:line="360" w:lineRule="auto"/>
        <w:jc w:val="center"/>
        <w:rPr>
          <w:rFonts w:hint="eastAsia" w:ascii="仿宋" w:hAnsi="仿宋" w:eastAsia="仿宋" w:cs="仿宋"/>
          <w:b/>
          <w:bCs/>
          <w:lang w:eastAsia="zh-CN"/>
        </w:rPr>
      </w:pPr>
    </w:p>
    <w:p w14:paraId="7E5162FB">
      <w:pPr>
        <w:snapToGrid w:val="0"/>
        <w:spacing w:line="360" w:lineRule="auto"/>
        <w:jc w:val="center"/>
        <w:rPr>
          <w:rFonts w:hint="eastAsia" w:ascii="仿宋" w:hAnsi="仿宋" w:eastAsia="仿宋" w:cs="仿宋"/>
          <w:b/>
          <w:sz w:val="44"/>
          <w:szCs w:val="44"/>
        </w:rPr>
      </w:pPr>
    </w:p>
    <w:p w14:paraId="134F30CC">
      <w:pPr>
        <w:snapToGrid w:val="0"/>
        <w:spacing w:line="360" w:lineRule="auto"/>
        <w:jc w:val="center"/>
        <w:rPr>
          <w:rFonts w:hint="eastAsia" w:ascii="仿宋" w:hAnsi="仿宋" w:eastAsia="仿宋" w:cs="仿宋"/>
          <w:b/>
          <w:sz w:val="56"/>
          <w:szCs w:val="56"/>
        </w:rPr>
      </w:pPr>
      <w:r>
        <w:rPr>
          <w:rFonts w:hint="eastAsia" w:ascii="仿宋" w:hAnsi="仿宋" w:eastAsia="仿宋" w:cs="仿宋"/>
          <w:b/>
          <w:sz w:val="56"/>
          <w:szCs w:val="56"/>
        </w:rPr>
        <w:t>供 货 合 同</w:t>
      </w:r>
    </w:p>
    <w:p w14:paraId="600FAE17">
      <w:pPr>
        <w:snapToGrid w:val="0"/>
        <w:spacing w:line="360" w:lineRule="auto"/>
        <w:rPr>
          <w:rFonts w:hint="eastAsia" w:ascii="仿宋" w:hAnsi="仿宋" w:eastAsia="仿宋" w:cs="仿宋"/>
          <w:sz w:val="32"/>
          <w:szCs w:val="32"/>
        </w:rPr>
      </w:pPr>
    </w:p>
    <w:p w14:paraId="54969A18">
      <w:pPr>
        <w:snapToGrid w:val="0"/>
        <w:spacing w:line="360" w:lineRule="auto"/>
        <w:ind w:firstLine="843" w:firstLineChars="400"/>
        <w:rPr>
          <w:rFonts w:hint="eastAsia" w:ascii="仿宋" w:hAnsi="仿宋" w:eastAsia="仿宋" w:cs="仿宋"/>
          <w:b/>
        </w:rPr>
      </w:pPr>
    </w:p>
    <w:p w14:paraId="30A28095">
      <w:pPr>
        <w:snapToGrid w:val="0"/>
        <w:spacing w:line="360" w:lineRule="auto"/>
        <w:ind w:firstLine="843" w:firstLineChars="400"/>
        <w:rPr>
          <w:rFonts w:hint="eastAsia" w:ascii="仿宋" w:hAnsi="仿宋" w:eastAsia="仿宋" w:cs="仿宋"/>
          <w:b/>
        </w:rPr>
      </w:pPr>
    </w:p>
    <w:p w14:paraId="652BA340">
      <w:pPr>
        <w:snapToGrid w:val="0"/>
        <w:spacing w:line="360" w:lineRule="auto"/>
        <w:ind w:firstLine="843" w:firstLineChars="400"/>
        <w:rPr>
          <w:rFonts w:hint="eastAsia" w:ascii="仿宋" w:hAnsi="仿宋" w:eastAsia="仿宋" w:cs="仿宋"/>
          <w:b/>
        </w:rPr>
      </w:pPr>
    </w:p>
    <w:p w14:paraId="5622C742">
      <w:pPr>
        <w:snapToGrid w:val="0"/>
        <w:spacing w:line="360" w:lineRule="auto"/>
        <w:ind w:firstLine="843" w:firstLineChars="400"/>
        <w:rPr>
          <w:rFonts w:hint="eastAsia" w:ascii="仿宋" w:hAnsi="仿宋" w:eastAsia="仿宋" w:cs="仿宋"/>
          <w:b/>
        </w:rPr>
      </w:pPr>
    </w:p>
    <w:p w14:paraId="0F43163B">
      <w:pPr>
        <w:snapToGrid w:val="0"/>
        <w:spacing w:line="360" w:lineRule="auto"/>
        <w:ind w:firstLine="1124" w:firstLineChars="400"/>
        <w:rPr>
          <w:rFonts w:hint="eastAsia" w:ascii="仿宋" w:hAnsi="仿宋" w:eastAsia="仿宋" w:cs="仿宋"/>
          <w:b/>
          <w:sz w:val="28"/>
          <w:szCs w:val="28"/>
        </w:rPr>
      </w:pPr>
      <w:r>
        <w:rPr>
          <w:rFonts w:hint="eastAsia" w:ascii="仿宋" w:hAnsi="仿宋" w:eastAsia="仿宋" w:cs="仿宋"/>
          <w:b/>
          <w:sz w:val="28"/>
          <w:szCs w:val="28"/>
        </w:rPr>
        <w:t>甲  方：</w:t>
      </w:r>
      <w:r>
        <w:rPr>
          <w:rFonts w:hint="eastAsia" w:ascii="仿宋" w:hAnsi="仿宋" w:eastAsia="仿宋" w:cs="仿宋"/>
          <w:b/>
          <w:sz w:val="28"/>
          <w:szCs w:val="28"/>
          <w:u w:val="single"/>
        </w:rPr>
        <w:t xml:space="preserve">                                  </w:t>
      </w:r>
    </w:p>
    <w:p w14:paraId="1BB89473">
      <w:pPr>
        <w:pStyle w:val="15"/>
        <w:spacing w:line="360" w:lineRule="auto"/>
        <w:rPr>
          <w:rFonts w:hint="eastAsia" w:ascii="仿宋" w:hAnsi="仿宋" w:eastAsia="仿宋" w:cs="仿宋"/>
          <w:sz w:val="28"/>
          <w:szCs w:val="28"/>
        </w:rPr>
      </w:pPr>
    </w:p>
    <w:p w14:paraId="1323D067">
      <w:pPr>
        <w:snapToGrid w:val="0"/>
        <w:spacing w:line="360" w:lineRule="auto"/>
        <w:ind w:firstLine="1124" w:firstLineChars="400"/>
        <w:rPr>
          <w:rFonts w:hint="eastAsia" w:ascii="仿宋" w:hAnsi="仿宋" w:eastAsia="仿宋" w:cs="仿宋"/>
          <w:sz w:val="28"/>
          <w:szCs w:val="28"/>
        </w:rPr>
      </w:pPr>
      <w:r>
        <w:rPr>
          <w:rFonts w:hint="eastAsia" w:ascii="仿宋" w:hAnsi="仿宋" w:eastAsia="仿宋" w:cs="仿宋"/>
          <w:b/>
          <w:sz w:val="28"/>
          <w:szCs w:val="28"/>
        </w:rPr>
        <w:t xml:space="preserve">乙  方： </w:t>
      </w:r>
      <w:r>
        <w:rPr>
          <w:rFonts w:hint="eastAsia" w:ascii="仿宋" w:hAnsi="仿宋" w:eastAsia="仿宋" w:cs="仿宋"/>
          <w:b/>
          <w:sz w:val="28"/>
          <w:szCs w:val="28"/>
          <w:u w:val="single"/>
        </w:rPr>
        <w:t xml:space="preserve">                                </w:t>
      </w:r>
    </w:p>
    <w:p w14:paraId="5FFEC3FA">
      <w:pPr>
        <w:snapToGrid w:val="0"/>
        <w:spacing w:line="360" w:lineRule="auto"/>
        <w:jc w:val="center"/>
        <w:rPr>
          <w:rFonts w:hint="eastAsia" w:ascii="仿宋" w:hAnsi="仿宋" w:eastAsia="仿宋" w:cs="仿宋"/>
          <w:sz w:val="28"/>
          <w:szCs w:val="28"/>
        </w:rPr>
      </w:pPr>
    </w:p>
    <w:p w14:paraId="4BB12F60">
      <w:pPr>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二〇二</w:t>
      </w:r>
      <w:r>
        <w:rPr>
          <w:rFonts w:hint="eastAsia" w:ascii="仿宋" w:hAnsi="仿宋" w:eastAsia="仿宋" w:cs="仿宋"/>
          <w:sz w:val="28"/>
          <w:szCs w:val="28"/>
          <w:lang w:val="en-US" w:eastAsia="zh-CN"/>
        </w:rPr>
        <w:t>六</w:t>
      </w:r>
      <w:r>
        <w:rPr>
          <w:rFonts w:hint="eastAsia" w:ascii="仿宋" w:hAnsi="仿宋" w:eastAsia="仿宋" w:cs="仿宋"/>
          <w:sz w:val="28"/>
          <w:szCs w:val="28"/>
        </w:rPr>
        <w:t>年  月</w:t>
      </w:r>
    </w:p>
    <w:p w14:paraId="677362BE">
      <w:pPr>
        <w:pStyle w:val="12"/>
        <w:snapToGrid w:val="0"/>
        <w:spacing w:after="0" w:line="360" w:lineRule="auto"/>
        <w:jc w:val="left"/>
        <w:rPr>
          <w:rFonts w:hint="eastAsia" w:ascii="仿宋" w:hAnsi="仿宋" w:eastAsia="仿宋" w:cs="仿宋"/>
          <w:sz w:val="20"/>
          <w:szCs w:val="20"/>
        </w:rPr>
      </w:pPr>
      <w:r>
        <w:rPr>
          <w:rFonts w:hint="eastAsia" w:ascii="仿宋" w:hAnsi="仿宋" w:eastAsia="仿宋" w:cs="仿宋"/>
        </w:rPr>
        <w:br w:type="page"/>
      </w:r>
      <w:r>
        <w:rPr>
          <w:rFonts w:hint="eastAsia" w:ascii="仿宋" w:hAnsi="仿宋" w:eastAsia="仿宋" w:cs="仿宋"/>
          <w:lang w:val="en-US" w:eastAsia="zh-CN"/>
        </w:rPr>
        <w:t xml:space="preserve">    </w:t>
      </w:r>
      <w:r>
        <w:rPr>
          <w:rFonts w:hint="eastAsia" w:ascii="仿宋" w:hAnsi="仿宋" w:eastAsia="仿宋" w:cs="仿宋"/>
          <w:sz w:val="20"/>
          <w:szCs w:val="20"/>
        </w:rPr>
        <w:t>甲方：</w:t>
      </w:r>
    </w:p>
    <w:p w14:paraId="50A0104E">
      <w:pPr>
        <w:pStyle w:val="12"/>
        <w:snapToGrid w:val="0"/>
        <w:spacing w:after="0"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 xml:space="preserve">乙方：                                      </w:t>
      </w:r>
    </w:p>
    <w:p w14:paraId="279E4ECA">
      <w:pPr>
        <w:pStyle w:val="12"/>
        <w:snapToGrid w:val="0"/>
        <w:spacing w:after="0"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依据《中华人民共和国民法典》、《中华人民共和国政府采购法》等相关法律法规，以及</w:t>
      </w:r>
      <w:r>
        <w:rPr>
          <w:rFonts w:hint="eastAsia" w:ascii="仿宋" w:hAnsi="仿宋" w:eastAsia="仿宋" w:cs="仿宋"/>
          <w:sz w:val="20"/>
          <w:szCs w:val="20"/>
          <w:lang w:eastAsia="zh-CN"/>
        </w:rPr>
        <w:t>药品采购</w:t>
      </w:r>
      <w:r>
        <w:rPr>
          <w:rFonts w:hint="eastAsia" w:ascii="仿宋" w:hAnsi="仿宋" w:eastAsia="仿宋" w:cs="仿宋"/>
          <w:sz w:val="20"/>
          <w:szCs w:val="20"/>
        </w:rPr>
        <w:t>项目（项目编号：SCZJ2026-JT-0807-001）的《</w:t>
      </w:r>
      <w:r>
        <w:rPr>
          <w:rFonts w:hint="eastAsia" w:ascii="仿宋" w:hAnsi="仿宋" w:eastAsia="仿宋" w:cs="仿宋"/>
          <w:sz w:val="20"/>
          <w:szCs w:val="20"/>
          <w:lang w:eastAsia="zh-CN"/>
        </w:rPr>
        <w:t>竞争性谈判文件</w:t>
      </w:r>
      <w:r>
        <w:rPr>
          <w:rFonts w:hint="eastAsia" w:ascii="仿宋" w:hAnsi="仿宋" w:eastAsia="仿宋" w:cs="仿宋"/>
          <w:sz w:val="20"/>
          <w:szCs w:val="20"/>
        </w:rPr>
        <w:t>》，乙方的《</w:t>
      </w:r>
      <w:r>
        <w:rPr>
          <w:rFonts w:hint="eastAsia" w:ascii="仿宋" w:hAnsi="仿宋" w:eastAsia="仿宋" w:cs="仿宋"/>
          <w:sz w:val="20"/>
          <w:szCs w:val="20"/>
          <w:lang w:eastAsia="zh-CN"/>
        </w:rPr>
        <w:t>竞争性谈判响应文件</w:t>
      </w:r>
      <w:r>
        <w:rPr>
          <w:rFonts w:hint="eastAsia" w:ascii="仿宋" w:hAnsi="仿宋" w:eastAsia="仿宋" w:cs="仿宋"/>
          <w:sz w:val="20"/>
          <w:szCs w:val="20"/>
        </w:rPr>
        <w:t>》及《成交通知书》，甲、乙双方同意签订本合同。本项目的《</w:t>
      </w:r>
      <w:r>
        <w:rPr>
          <w:rFonts w:hint="eastAsia" w:ascii="仿宋" w:hAnsi="仿宋" w:eastAsia="仿宋" w:cs="仿宋"/>
          <w:sz w:val="20"/>
          <w:szCs w:val="20"/>
          <w:lang w:eastAsia="zh-CN"/>
        </w:rPr>
        <w:t>竞争性谈判文件</w:t>
      </w:r>
      <w:r>
        <w:rPr>
          <w:rFonts w:hint="eastAsia" w:ascii="仿宋" w:hAnsi="仿宋" w:eastAsia="仿宋" w:cs="仿宋"/>
          <w:sz w:val="20"/>
          <w:szCs w:val="20"/>
        </w:rPr>
        <w:t>》、《</w:t>
      </w:r>
      <w:r>
        <w:rPr>
          <w:rFonts w:hint="eastAsia" w:ascii="仿宋" w:hAnsi="仿宋" w:eastAsia="仿宋" w:cs="仿宋"/>
          <w:sz w:val="20"/>
          <w:szCs w:val="20"/>
          <w:lang w:eastAsia="zh-CN"/>
        </w:rPr>
        <w:t>竞争性谈判响应文件</w:t>
      </w:r>
      <w:r>
        <w:rPr>
          <w:rFonts w:hint="eastAsia" w:ascii="仿宋" w:hAnsi="仿宋" w:eastAsia="仿宋" w:cs="仿宋"/>
          <w:sz w:val="20"/>
          <w:szCs w:val="20"/>
        </w:rPr>
        <w:t>》、《成交通知书》等均为本合同的组成部分。</w:t>
      </w:r>
    </w:p>
    <w:p w14:paraId="7F4155AC">
      <w:pPr>
        <w:spacing w:line="360" w:lineRule="auto"/>
        <w:rPr>
          <w:rFonts w:hint="eastAsia" w:ascii="仿宋" w:hAnsi="仿宋" w:eastAsia="仿宋" w:cs="仿宋"/>
          <w:b/>
          <w:sz w:val="20"/>
          <w:szCs w:val="20"/>
        </w:rPr>
      </w:pPr>
      <w:r>
        <w:rPr>
          <w:rFonts w:hint="eastAsia" w:ascii="仿宋" w:hAnsi="仿宋" w:eastAsia="仿宋" w:cs="仿宋"/>
          <w:b/>
          <w:sz w:val="20"/>
          <w:szCs w:val="20"/>
        </w:rPr>
        <w:t>一、项目概况</w:t>
      </w:r>
    </w:p>
    <w:p w14:paraId="0880B3D4">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1、项目名称：</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4C7F87BC">
      <w:pPr>
        <w:adjustRightInd w:val="0"/>
        <w:snapToGrid w:val="0"/>
        <w:spacing w:line="360" w:lineRule="auto"/>
        <w:ind w:firstLine="400" w:firstLineChars="200"/>
        <w:rPr>
          <w:rFonts w:hint="eastAsia" w:ascii="仿宋" w:hAnsi="仿宋" w:eastAsia="仿宋" w:cs="仿宋"/>
          <w:b/>
          <w:sz w:val="20"/>
          <w:szCs w:val="20"/>
        </w:rPr>
      </w:pPr>
      <w:r>
        <w:rPr>
          <w:rFonts w:hint="eastAsia" w:ascii="仿宋" w:hAnsi="仿宋" w:eastAsia="仿宋" w:cs="仿宋"/>
          <w:sz w:val="20"/>
          <w:szCs w:val="20"/>
        </w:rPr>
        <w:t>2、项目地点：</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53870838">
      <w:pPr>
        <w:snapToGrid w:val="0"/>
        <w:spacing w:line="360" w:lineRule="auto"/>
        <w:rPr>
          <w:rFonts w:hint="eastAsia" w:ascii="仿宋" w:hAnsi="仿宋" w:eastAsia="仿宋" w:cs="仿宋"/>
          <w:b/>
          <w:sz w:val="20"/>
          <w:szCs w:val="20"/>
        </w:rPr>
      </w:pPr>
      <w:r>
        <w:rPr>
          <w:rFonts w:hint="eastAsia" w:ascii="仿宋" w:hAnsi="仿宋" w:eastAsia="仿宋" w:cs="仿宋"/>
          <w:b/>
          <w:sz w:val="20"/>
          <w:szCs w:val="20"/>
        </w:rPr>
        <w:t>二、合同价款</w:t>
      </w:r>
    </w:p>
    <w:p w14:paraId="3893A14E">
      <w:pPr>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所报产品单价清单：</w:t>
      </w:r>
    </w:p>
    <w:tbl>
      <w:tblPr>
        <w:tblStyle w:val="19"/>
        <w:tblW w:w="6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017"/>
        <w:gridCol w:w="963"/>
        <w:gridCol w:w="1275"/>
        <w:gridCol w:w="1080"/>
        <w:gridCol w:w="1290"/>
      </w:tblGrid>
      <w:tr w14:paraId="0D94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894" w:type="dxa"/>
            <w:vAlign w:val="center"/>
          </w:tcPr>
          <w:p w14:paraId="12A0041B">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序号</w:t>
            </w:r>
          </w:p>
        </w:tc>
        <w:tc>
          <w:tcPr>
            <w:tcW w:w="1017" w:type="dxa"/>
            <w:vAlign w:val="center"/>
          </w:tcPr>
          <w:p w14:paraId="1FCA4053">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名称</w:t>
            </w:r>
          </w:p>
        </w:tc>
        <w:tc>
          <w:tcPr>
            <w:tcW w:w="963" w:type="dxa"/>
            <w:vAlign w:val="center"/>
          </w:tcPr>
          <w:p w14:paraId="2D1272B1">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品牌</w:t>
            </w:r>
          </w:p>
        </w:tc>
        <w:tc>
          <w:tcPr>
            <w:tcW w:w="1275" w:type="dxa"/>
            <w:vAlign w:val="center"/>
          </w:tcPr>
          <w:p w14:paraId="37C6AF2B">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规格型号</w:t>
            </w:r>
          </w:p>
        </w:tc>
        <w:tc>
          <w:tcPr>
            <w:tcW w:w="1080" w:type="dxa"/>
            <w:vAlign w:val="center"/>
          </w:tcPr>
          <w:p w14:paraId="55FCEE80">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单位</w:t>
            </w:r>
          </w:p>
        </w:tc>
        <w:tc>
          <w:tcPr>
            <w:tcW w:w="1290" w:type="dxa"/>
            <w:vAlign w:val="center"/>
          </w:tcPr>
          <w:p w14:paraId="6356854E">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单价</w:t>
            </w:r>
          </w:p>
          <w:p w14:paraId="0944F541">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（元）</w:t>
            </w:r>
          </w:p>
        </w:tc>
      </w:tr>
      <w:tr w14:paraId="60A7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1C7F1DD9">
            <w:pPr>
              <w:adjustRightInd w:val="0"/>
              <w:snapToGrid w:val="0"/>
              <w:jc w:val="center"/>
              <w:rPr>
                <w:rFonts w:hint="eastAsia" w:ascii="仿宋" w:hAnsi="仿宋" w:eastAsia="仿宋" w:cs="仿宋"/>
                <w:sz w:val="20"/>
                <w:szCs w:val="20"/>
              </w:rPr>
            </w:pPr>
          </w:p>
        </w:tc>
        <w:tc>
          <w:tcPr>
            <w:tcW w:w="1017" w:type="dxa"/>
            <w:vAlign w:val="center"/>
          </w:tcPr>
          <w:p w14:paraId="53A8DD1B">
            <w:pPr>
              <w:adjustRightInd w:val="0"/>
              <w:snapToGrid w:val="0"/>
              <w:jc w:val="center"/>
              <w:rPr>
                <w:rFonts w:hint="eastAsia" w:ascii="仿宋" w:hAnsi="仿宋" w:eastAsia="仿宋" w:cs="仿宋"/>
                <w:sz w:val="20"/>
                <w:szCs w:val="20"/>
              </w:rPr>
            </w:pPr>
          </w:p>
        </w:tc>
        <w:tc>
          <w:tcPr>
            <w:tcW w:w="963" w:type="dxa"/>
            <w:vAlign w:val="center"/>
          </w:tcPr>
          <w:p w14:paraId="10373565">
            <w:pPr>
              <w:adjustRightInd w:val="0"/>
              <w:snapToGrid w:val="0"/>
              <w:jc w:val="center"/>
              <w:rPr>
                <w:rFonts w:hint="eastAsia" w:ascii="仿宋" w:hAnsi="仿宋" w:eastAsia="仿宋" w:cs="仿宋"/>
                <w:sz w:val="20"/>
                <w:szCs w:val="20"/>
              </w:rPr>
            </w:pPr>
          </w:p>
        </w:tc>
        <w:tc>
          <w:tcPr>
            <w:tcW w:w="1275" w:type="dxa"/>
            <w:vAlign w:val="center"/>
          </w:tcPr>
          <w:p w14:paraId="31081C57">
            <w:pPr>
              <w:adjustRightInd w:val="0"/>
              <w:snapToGrid w:val="0"/>
              <w:jc w:val="center"/>
              <w:rPr>
                <w:rFonts w:hint="eastAsia" w:ascii="仿宋" w:hAnsi="仿宋" w:eastAsia="仿宋" w:cs="仿宋"/>
                <w:sz w:val="20"/>
                <w:szCs w:val="20"/>
              </w:rPr>
            </w:pPr>
          </w:p>
        </w:tc>
        <w:tc>
          <w:tcPr>
            <w:tcW w:w="1080" w:type="dxa"/>
            <w:vAlign w:val="center"/>
          </w:tcPr>
          <w:p w14:paraId="27590718">
            <w:pPr>
              <w:adjustRightInd w:val="0"/>
              <w:snapToGrid w:val="0"/>
              <w:jc w:val="center"/>
              <w:rPr>
                <w:rFonts w:hint="eastAsia" w:ascii="仿宋" w:hAnsi="仿宋" w:eastAsia="仿宋" w:cs="仿宋"/>
                <w:sz w:val="20"/>
                <w:szCs w:val="20"/>
              </w:rPr>
            </w:pPr>
          </w:p>
        </w:tc>
        <w:tc>
          <w:tcPr>
            <w:tcW w:w="1290" w:type="dxa"/>
            <w:vAlign w:val="center"/>
          </w:tcPr>
          <w:p w14:paraId="1D71E56F">
            <w:pPr>
              <w:adjustRightInd w:val="0"/>
              <w:snapToGrid w:val="0"/>
              <w:jc w:val="center"/>
              <w:rPr>
                <w:rFonts w:hint="eastAsia" w:ascii="仿宋" w:hAnsi="仿宋" w:eastAsia="仿宋" w:cs="仿宋"/>
                <w:sz w:val="20"/>
                <w:szCs w:val="20"/>
              </w:rPr>
            </w:pPr>
          </w:p>
        </w:tc>
      </w:tr>
      <w:tr w14:paraId="6F8E4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025F061B">
            <w:pPr>
              <w:adjustRightInd w:val="0"/>
              <w:snapToGrid w:val="0"/>
              <w:jc w:val="center"/>
              <w:rPr>
                <w:rFonts w:hint="eastAsia" w:ascii="仿宋" w:hAnsi="仿宋" w:eastAsia="仿宋" w:cs="仿宋"/>
                <w:sz w:val="20"/>
                <w:szCs w:val="20"/>
              </w:rPr>
            </w:pPr>
          </w:p>
        </w:tc>
        <w:tc>
          <w:tcPr>
            <w:tcW w:w="1017" w:type="dxa"/>
            <w:vAlign w:val="center"/>
          </w:tcPr>
          <w:p w14:paraId="1279F4A1">
            <w:pPr>
              <w:adjustRightInd w:val="0"/>
              <w:snapToGrid w:val="0"/>
              <w:jc w:val="center"/>
              <w:rPr>
                <w:rFonts w:hint="eastAsia" w:ascii="仿宋" w:hAnsi="仿宋" w:eastAsia="仿宋" w:cs="仿宋"/>
                <w:sz w:val="20"/>
                <w:szCs w:val="20"/>
              </w:rPr>
            </w:pPr>
          </w:p>
        </w:tc>
        <w:tc>
          <w:tcPr>
            <w:tcW w:w="963" w:type="dxa"/>
            <w:vAlign w:val="center"/>
          </w:tcPr>
          <w:p w14:paraId="6BAA8E84">
            <w:pPr>
              <w:adjustRightInd w:val="0"/>
              <w:snapToGrid w:val="0"/>
              <w:jc w:val="center"/>
              <w:rPr>
                <w:rFonts w:hint="eastAsia" w:ascii="仿宋" w:hAnsi="仿宋" w:eastAsia="仿宋" w:cs="仿宋"/>
                <w:sz w:val="20"/>
                <w:szCs w:val="20"/>
              </w:rPr>
            </w:pPr>
          </w:p>
        </w:tc>
        <w:tc>
          <w:tcPr>
            <w:tcW w:w="1275" w:type="dxa"/>
            <w:vAlign w:val="center"/>
          </w:tcPr>
          <w:p w14:paraId="092A607B">
            <w:pPr>
              <w:adjustRightInd w:val="0"/>
              <w:snapToGrid w:val="0"/>
              <w:jc w:val="center"/>
              <w:rPr>
                <w:rFonts w:hint="eastAsia" w:ascii="仿宋" w:hAnsi="仿宋" w:eastAsia="仿宋" w:cs="仿宋"/>
                <w:sz w:val="20"/>
                <w:szCs w:val="20"/>
              </w:rPr>
            </w:pPr>
          </w:p>
        </w:tc>
        <w:tc>
          <w:tcPr>
            <w:tcW w:w="1080" w:type="dxa"/>
            <w:vAlign w:val="center"/>
          </w:tcPr>
          <w:p w14:paraId="320094A2">
            <w:pPr>
              <w:adjustRightInd w:val="0"/>
              <w:snapToGrid w:val="0"/>
              <w:jc w:val="center"/>
              <w:rPr>
                <w:rFonts w:hint="eastAsia" w:ascii="仿宋" w:hAnsi="仿宋" w:eastAsia="仿宋" w:cs="仿宋"/>
                <w:sz w:val="20"/>
                <w:szCs w:val="20"/>
              </w:rPr>
            </w:pPr>
          </w:p>
        </w:tc>
        <w:tc>
          <w:tcPr>
            <w:tcW w:w="1290" w:type="dxa"/>
            <w:vAlign w:val="center"/>
          </w:tcPr>
          <w:p w14:paraId="5B52DC72">
            <w:pPr>
              <w:adjustRightInd w:val="0"/>
              <w:snapToGrid w:val="0"/>
              <w:jc w:val="center"/>
              <w:rPr>
                <w:rFonts w:hint="eastAsia" w:ascii="仿宋" w:hAnsi="仿宋" w:eastAsia="仿宋" w:cs="仿宋"/>
                <w:sz w:val="20"/>
                <w:szCs w:val="20"/>
              </w:rPr>
            </w:pPr>
          </w:p>
        </w:tc>
      </w:tr>
      <w:tr w14:paraId="6320D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408E84C1">
            <w:pPr>
              <w:adjustRightInd w:val="0"/>
              <w:snapToGrid w:val="0"/>
              <w:jc w:val="center"/>
              <w:rPr>
                <w:rFonts w:hint="eastAsia" w:ascii="仿宋" w:hAnsi="仿宋" w:eastAsia="仿宋" w:cs="仿宋"/>
                <w:sz w:val="20"/>
                <w:szCs w:val="20"/>
              </w:rPr>
            </w:pPr>
          </w:p>
        </w:tc>
        <w:tc>
          <w:tcPr>
            <w:tcW w:w="1017" w:type="dxa"/>
            <w:vAlign w:val="center"/>
          </w:tcPr>
          <w:p w14:paraId="3687AFC3">
            <w:pPr>
              <w:adjustRightInd w:val="0"/>
              <w:snapToGrid w:val="0"/>
              <w:jc w:val="center"/>
              <w:rPr>
                <w:rFonts w:hint="eastAsia" w:ascii="仿宋" w:hAnsi="仿宋" w:eastAsia="仿宋" w:cs="仿宋"/>
                <w:sz w:val="20"/>
                <w:szCs w:val="20"/>
              </w:rPr>
            </w:pPr>
          </w:p>
        </w:tc>
        <w:tc>
          <w:tcPr>
            <w:tcW w:w="963" w:type="dxa"/>
            <w:vAlign w:val="center"/>
          </w:tcPr>
          <w:p w14:paraId="0E6EA8E7">
            <w:pPr>
              <w:adjustRightInd w:val="0"/>
              <w:snapToGrid w:val="0"/>
              <w:jc w:val="center"/>
              <w:rPr>
                <w:rFonts w:hint="eastAsia" w:ascii="仿宋" w:hAnsi="仿宋" w:eastAsia="仿宋" w:cs="仿宋"/>
                <w:sz w:val="20"/>
                <w:szCs w:val="20"/>
              </w:rPr>
            </w:pPr>
          </w:p>
        </w:tc>
        <w:tc>
          <w:tcPr>
            <w:tcW w:w="1275" w:type="dxa"/>
            <w:vAlign w:val="center"/>
          </w:tcPr>
          <w:p w14:paraId="46527052">
            <w:pPr>
              <w:adjustRightInd w:val="0"/>
              <w:snapToGrid w:val="0"/>
              <w:jc w:val="center"/>
              <w:rPr>
                <w:rFonts w:hint="eastAsia" w:ascii="仿宋" w:hAnsi="仿宋" w:eastAsia="仿宋" w:cs="仿宋"/>
                <w:sz w:val="20"/>
                <w:szCs w:val="20"/>
              </w:rPr>
            </w:pPr>
          </w:p>
        </w:tc>
        <w:tc>
          <w:tcPr>
            <w:tcW w:w="1080" w:type="dxa"/>
            <w:vAlign w:val="center"/>
          </w:tcPr>
          <w:p w14:paraId="5401E0B7">
            <w:pPr>
              <w:adjustRightInd w:val="0"/>
              <w:snapToGrid w:val="0"/>
              <w:jc w:val="center"/>
              <w:rPr>
                <w:rFonts w:hint="eastAsia" w:ascii="仿宋" w:hAnsi="仿宋" w:eastAsia="仿宋" w:cs="仿宋"/>
                <w:sz w:val="20"/>
                <w:szCs w:val="20"/>
              </w:rPr>
            </w:pPr>
          </w:p>
        </w:tc>
        <w:tc>
          <w:tcPr>
            <w:tcW w:w="1290" w:type="dxa"/>
            <w:vAlign w:val="center"/>
          </w:tcPr>
          <w:p w14:paraId="6716C09E">
            <w:pPr>
              <w:adjustRightInd w:val="0"/>
              <w:snapToGrid w:val="0"/>
              <w:jc w:val="center"/>
              <w:rPr>
                <w:rFonts w:hint="eastAsia" w:ascii="仿宋" w:hAnsi="仿宋" w:eastAsia="仿宋" w:cs="仿宋"/>
                <w:sz w:val="20"/>
                <w:szCs w:val="20"/>
              </w:rPr>
            </w:pPr>
          </w:p>
        </w:tc>
      </w:tr>
      <w:tr w14:paraId="0B61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6519" w:type="dxa"/>
            <w:gridSpan w:val="6"/>
            <w:vAlign w:val="center"/>
          </w:tcPr>
          <w:p w14:paraId="73046E8F">
            <w:pPr>
              <w:adjustRightInd w:val="0"/>
              <w:snapToGrid w:val="0"/>
              <w:jc w:val="left"/>
              <w:rPr>
                <w:rFonts w:hint="eastAsia" w:ascii="仿宋" w:hAnsi="仿宋" w:eastAsia="仿宋" w:cs="仿宋"/>
                <w:sz w:val="20"/>
                <w:szCs w:val="20"/>
              </w:rPr>
            </w:pPr>
            <w:r>
              <w:rPr>
                <w:rFonts w:hint="eastAsia" w:ascii="仿宋" w:hAnsi="仿宋" w:eastAsia="仿宋" w:cs="仿宋"/>
                <w:sz w:val="20"/>
                <w:szCs w:val="20"/>
                <w:lang w:val="en-US" w:eastAsia="zh-CN"/>
              </w:rPr>
              <w:t>单价</w:t>
            </w:r>
            <w:r>
              <w:rPr>
                <w:rFonts w:hint="eastAsia" w:ascii="仿宋" w:hAnsi="仿宋" w:eastAsia="仿宋" w:cs="仿宋"/>
                <w:sz w:val="20"/>
                <w:szCs w:val="20"/>
              </w:rPr>
              <w:t xml:space="preserve">合计金额：¥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元；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大写：</w:t>
            </w:r>
          </w:p>
        </w:tc>
      </w:tr>
    </w:tbl>
    <w:p w14:paraId="1169E33B">
      <w:pPr>
        <w:spacing w:line="360" w:lineRule="auto"/>
        <w:rPr>
          <w:rFonts w:hint="eastAsia" w:ascii="仿宋" w:hAnsi="仿宋" w:eastAsia="仿宋" w:cs="仿宋"/>
          <w:sz w:val="20"/>
          <w:szCs w:val="20"/>
        </w:rPr>
      </w:pPr>
      <w:r>
        <w:rPr>
          <w:rFonts w:hint="eastAsia" w:ascii="仿宋" w:hAnsi="仿宋" w:eastAsia="仿宋" w:cs="仿宋"/>
          <w:sz w:val="20"/>
          <w:szCs w:val="20"/>
        </w:rPr>
        <w:t>注：此表应与</w:t>
      </w:r>
      <w:r>
        <w:rPr>
          <w:rFonts w:hint="eastAsia" w:ascii="仿宋" w:hAnsi="仿宋" w:eastAsia="仿宋" w:cs="仿宋"/>
          <w:sz w:val="20"/>
          <w:szCs w:val="20"/>
          <w:lang w:eastAsia="zh-CN"/>
        </w:rPr>
        <w:t>竞争性谈判文件</w:t>
      </w:r>
      <w:r>
        <w:rPr>
          <w:rFonts w:hint="eastAsia" w:ascii="仿宋" w:hAnsi="仿宋" w:eastAsia="仿宋" w:cs="仿宋"/>
          <w:sz w:val="20"/>
          <w:szCs w:val="20"/>
        </w:rPr>
        <w:t>、响应文件内容一致。</w:t>
      </w:r>
    </w:p>
    <w:p w14:paraId="263F1C36">
      <w:pPr>
        <w:spacing w:line="360" w:lineRule="auto"/>
        <w:rPr>
          <w:rFonts w:hint="eastAsia" w:ascii="仿宋" w:hAnsi="仿宋" w:eastAsia="仿宋" w:cs="仿宋"/>
          <w:b/>
          <w:sz w:val="20"/>
          <w:szCs w:val="20"/>
        </w:rPr>
      </w:pPr>
      <w:r>
        <w:rPr>
          <w:rFonts w:hint="eastAsia" w:ascii="仿宋" w:hAnsi="仿宋" w:eastAsia="仿宋" w:cs="仿宋"/>
          <w:b/>
          <w:sz w:val="20"/>
          <w:szCs w:val="20"/>
        </w:rPr>
        <w:t>三、合同结算</w:t>
      </w:r>
    </w:p>
    <w:p w14:paraId="2C61BE9E">
      <w:pPr>
        <w:snapToGrid w:val="0"/>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lang w:val="en-US" w:eastAsia="zh-CN"/>
        </w:rPr>
        <w:t>每个季度</w:t>
      </w:r>
      <w:r>
        <w:rPr>
          <w:rFonts w:hint="eastAsia" w:ascii="仿宋" w:hAnsi="仿宋" w:eastAsia="仿宋" w:cs="仿宋"/>
          <w:sz w:val="20"/>
          <w:szCs w:val="20"/>
        </w:rPr>
        <w:t>履约验收完成后10日内 ，</w:t>
      </w:r>
      <w:r>
        <w:rPr>
          <w:rFonts w:hint="eastAsia" w:ascii="仿宋" w:hAnsi="仿宋" w:eastAsia="仿宋" w:cs="仿宋"/>
          <w:sz w:val="20"/>
          <w:szCs w:val="20"/>
          <w:lang w:val="en-US" w:eastAsia="zh-CN"/>
        </w:rPr>
        <w:t>支付该季度</w:t>
      </w:r>
      <w:r>
        <w:rPr>
          <w:rFonts w:hint="eastAsia" w:ascii="仿宋" w:hAnsi="仿宋" w:eastAsia="仿宋" w:cs="仿宋"/>
          <w:sz w:val="20"/>
          <w:szCs w:val="20"/>
        </w:rPr>
        <w:t>达到付款条件</w:t>
      </w:r>
      <w:r>
        <w:rPr>
          <w:rFonts w:hint="eastAsia" w:ascii="仿宋" w:hAnsi="仿宋" w:eastAsia="仿宋" w:cs="仿宋"/>
          <w:sz w:val="20"/>
          <w:szCs w:val="20"/>
          <w:lang w:val="en-US" w:eastAsia="zh-CN"/>
        </w:rPr>
        <w:t>的100</w:t>
      </w:r>
      <w:r>
        <w:rPr>
          <w:rFonts w:hint="eastAsia" w:ascii="仿宋" w:hAnsi="仿宋" w:eastAsia="仿宋" w:cs="仿宋"/>
          <w:sz w:val="20"/>
          <w:szCs w:val="20"/>
        </w:rPr>
        <w:t>.00%</w:t>
      </w:r>
      <w:r>
        <w:rPr>
          <w:rFonts w:hint="eastAsia" w:ascii="仿宋" w:hAnsi="仿宋" w:eastAsia="仿宋" w:cs="仿宋"/>
          <w:sz w:val="20"/>
          <w:szCs w:val="20"/>
          <w:lang w:eastAsia="zh-CN"/>
        </w:rPr>
        <w:t>。</w:t>
      </w:r>
      <w:r>
        <w:rPr>
          <w:rFonts w:hint="eastAsia" w:ascii="仿宋" w:hAnsi="仿宋" w:eastAsia="仿宋" w:cs="仿宋"/>
          <w:b/>
          <w:bCs/>
          <w:sz w:val="20"/>
          <w:szCs w:val="20"/>
          <w:lang w:val="en-US" w:eastAsia="zh-CN"/>
        </w:rPr>
        <w:t>按单价据实结算，总支付金额不超过本次招标预算金额</w:t>
      </w:r>
      <w:r>
        <w:rPr>
          <w:rFonts w:hint="eastAsia" w:ascii="仿宋" w:hAnsi="仿宋" w:eastAsia="仿宋" w:cs="仿宋"/>
          <w:b/>
          <w:bCs/>
          <w:sz w:val="20"/>
          <w:szCs w:val="20"/>
          <w:lang w:eastAsia="zh-CN"/>
        </w:rPr>
        <w:t>（</w:t>
      </w:r>
      <w:r>
        <w:rPr>
          <w:rFonts w:hint="eastAsia" w:ascii="仿宋" w:hAnsi="仿宋" w:eastAsia="仿宋" w:cs="仿宋"/>
          <w:b/>
          <w:bCs/>
          <w:sz w:val="20"/>
          <w:szCs w:val="20"/>
          <w:lang w:val="en-US" w:eastAsia="zh-CN"/>
        </w:rPr>
        <w:t>谈判文件中支付方式与本条款不一致的，以本条款为准</w:t>
      </w:r>
      <w:r>
        <w:rPr>
          <w:rFonts w:hint="eastAsia" w:ascii="仿宋" w:hAnsi="仿宋" w:eastAsia="仿宋" w:cs="仿宋"/>
          <w:b/>
          <w:bCs/>
          <w:sz w:val="20"/>
          <w:szCs w:val="20"/>
          <w:lang w:eastAsia="zh-CN"/>
        </w:rPr>
        <w:t>）</w:t>
      </w:r>
      <w:r>
        <w:rPr>
          <w:rFonts w:hint="eastAsia" w:ascii="仿宋" w:hAnsi="仿宋" w:eastAsia="仿宋" w:cs="仿宋"/>
          <w:b/>
          <w:bCs/>
          <w:sz w:val="20"/>
          <w:szCs w:val="20"/>
          <w:lang w:eastAsia="zh-CN"/>
        </w:rPr>
        <w:t>。</w:t>
      </w:r>
    </w:p>
    <w:p w14:paraId="44AB91DF">
      <w:pPr>
        <w:spacing w:line="360" w:lineRule="auto"/>
        <w:rPr>
          <w:rFonts w:hint="eastAsia" w:ascii="仿宋" w:hAnsi="仿宋" w:eastAsia="仿宋" w:cs="仿宋"/>
          <w:b/>
          <w:sz w:val="20"/>
          <w:szCs w:val="20"/>
        </w:rPr>
      </w:pPr>
      <w:r>
        <w:rPr>
          <w:rFonts w:hint="eastAsia" w:ascii="仿宋" w:hAnsi="仿宋" w:eastAsia="仿宋" w:cs="仿宋"/>
          <w:b/>
          <w:sz w:val="20"/>
          <w:szCs w:val="20"/>
        </w:rPr>
        <w:t>四、</w:t>
      </w:r>
      <w:bookmarkStart w:id="0" w:name="OLE_LINK19"/>
      <w:r>
        <w:rPr>
          <w:rFonts w:hint="eastAsia" w:ascii="仿宋" w:hAnsi="仿宋" w:eastAsia="仿宋" w:cs="仿宋"/>
          <w:b/>
          <w:sz w:val="20"/>
          <w:szCs w:val="20"/>
        </w:rPr>
        <w:t>交货期</w:t>
      </w:r>
      <w:bookmarkEnd w:id="0"/>
      <w:r>
        <w:rPr>
          <w:rFonts w:hint="eastAsia" w:ascii="仿宋" w:hAnsi="仿宋" w:eastAsia="仿宋" w:cs="仿宋"/>
          <w:b/>
          <w:sz w:val="20"/>
          <w:szCs w:val="20"/>
        </w:rPr>
        <w:t>、质保期、交货地点</w:t>
      </w:r>
    </w:p>
    <w:p w14:paraId="0507FE38">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1、交货期：</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w:t>
      </w:r>
      <w:bookmarkStart w:id="1" w:name="_GoBack"/>
      <w:bookmarkEnd w:id="1"/>
    </w:p>
    <w:p w14:paraId="1EB05488">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2、质保期：</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w:t>
      </w:r>
    </w:p>
    <w:p w14:paraId="6DA7A2F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3、交货地点：</w:t>
      </w:r>
      <w:r>
        <w:rPr>
          <w:rFonts w:hint="eastAsia" w:ascii="仿宋" w:hAnsi="仿宋" w:eastAsia="仿宋" w:cs="仿宋"/>
          <w:sz w:val="20"/>
          <w:szCs w:val="20"/>
          <w:u w:val="single"/>
        </w:rPr>
        <w:t>覆盖西安市全部辖区，具体地点由采购人指定。</w:t>
      </w:r>
    </w:p>
    <w:p w14:paraId="5324F650">
      <w:pPr>
        <w:spacing w:line="360" w:lineRule="auto"/>
        <w:rPr>
          <w:rFonts w:hint="eastAsia" w:ascii="仿宋" w:hAnsi="仿宋" w:eastAsia="仿宋" w:cs="仿宋"/>
          <w:b/>
          <w:bCs/>
          <w:sz w:val="20"/>
          <w:szCs w:val="20"/>
        </w:rPr>
      </w:pPr>
      <w:r>
        <w:rPr>
          <w:rFonts w:hint="eastAsia" w:ascii="仿宋" w:hAnsi="仿宋" w:eastAsia="仿宋" w:cs="仿宋"/>
          <w:b/>
          <w:bCs/>
          <w:sz w:val="20"/>
          <w:szCs w:val="20"/>
        </w:rPr>
        <w:t>五、双方承诺</w:t>
      </w:r>
    </w:p>
    <w:p w14:paraId="4C0A47A2">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1、乙方向甲方承诺，按照本合同约定提供相关服务。</w:t>
      </w:r>
    </w:p>
    <w:p w14:paraId="416AF342">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2、甲方向乙方承诺，按照本合同约定支付服务款项。</w:t>
      </w:r>
    </w:p>
    <w:p w14:paraId="3F0309E9">
      <w:pPr>
        <w:adjustRightInd w:val="0"/>
        <w:snapToGrid w:val="0"/>
        <w:spacing w:line="360" w:lineRule="auto"/>
        <w:rPr>
          <w:rFonts w:hint="eastAsia" w:ascii="仿宋" w:hAnsi="仿宋" w:eastAsia="仿宋" w:cs="仿宋"/>
          <w:b/>
          <w:sz w:val="20"/>
          <w:szCs w:val="20"/>
        </w:rPr>
      </w:pPr>
      <w:r>
        <w:rPr>
          <w:rFonts w:hint="eastAsia" w:ascii="仿宋" w:hAnsi="仿宋" w:eastAsia="仿宋" w:cs="仿宋"/>
          <w:b/>
          <w:sz w:val="20"/>
          <w:szCs w:val="20"/>
        </w:rPr>
        <w:t>六、内容及要求：</w:t>
      </w:r>
    </w:p>
    <w:p w14:paraId="56F07BAE">
      <w:pPr>
        <w:pStyle w:val="14"/>
        <w:ind w:left="0" w:leftChars="0" w:firstLine="400" w:firstLineChars="200"/>
        <w:rPr>
          <w:rFonts w:hint="eastAsia" w:ascii="仿宋" w:hAnsi="仿宋" w:eastAsia="仿宋" w:cs="仿宋"/>
          <w:sz w:val="20"/>
          <w:szCs w:val="20"/>
        </w:rPr>
      </w:pPr>
      <w:r>
        <w:rPr>
          <w:rFonts w:hint="eastAsia" w:ascii="仿宋" w:hAnsi="仿宋" w:eastAsia="仿宋" w:cs="仿宋"/>
          <w:sz w:val="20"/>
          <w:szCs w:val="20"/>
        </w:rPr>
        <w:t>即交付的产品、服务内容与响应文件、</w:t>
      </w:r>
      <w:r>
        <w:rPr>
          <w:rFonts w:hint="eastAsia" w:ascii="仿宋" w:hAnsi="仿宋" w:eastAsia="仿宋" w:cs="仿宋"/>
          <w:sz w:val="20"/>
          <w:szCs w:val="20"/>
          <w:lang w:eastAsia="zh-CN"/>
        </w:rPr>
        <w:t>竞争性谈判文件</w:t>
      </w:r>
      <w:r>
        <w:rPr>
          <w:rFonts w:hint="eastAsia" w:ascii="仿宋" w:hAnsi="仿宋" w:eastAsia="仿宋" w:cs="仿宋"/>
          <w:sz w:val="20"/>
          <w:szCs w:val="20"/>
        </w:rPr>
        <w:t>等所指明的，或者与本合同所指明的产品、服务内容相一致。</w:t>
      </w:r>
    </w:p>
    <w:p w14:paraId="3CDAF56D">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包装要求</w:t>
      </w:r>
    </w:p>
    <w:p w14:paraId="2EF79D03">
      <w:pPr>
        <w:numPr>
          <w:ilvl w:val="0"/>
          <w:numId w:val="0"/>
        </w:numPr>
        <w:spacing w:line="360" w:lineRule="auto"/>
        <w:ind w:firstLine="400" w:firstLineChars="200"/>
      </w:pPr>
      <w:r>
        <w:rPr>
          <w:rFonts w:hint="eastAsia" w:ascii="仿宋" w:hAnsi="仿宋" w:eastAsia="仿宋" w:cs="仿宋"/>
          <w:sz w:val="20"/>
          <w:szCs w:val="20"/>
        </w:rPr>
        <w:t>涉及的商品包装和快递包装，均应符合《商品包装政府采购需求标准（试行）》《快递包装政府采购需求标准（试行）》的要求，包装应适应于远距离运输、防潮、防震、防锈和防野蛮装卸，以确保货物安全无损运抵指定地点</w:t>
      </w:r>
      <w:r>
        <w:rPr>
          <w:rFonts w:ascii="宋体" w:hAnsi="宋体" w:eastAsia="宋体" w:cs="宋体"/>
          <w:kern w:val="0"/>
          <w:sz w:val="24"/>
          <w:szCs w:val="24"/>
          <w:lang w:val="en-US" w:eastAsia="zh-CN" w:bidi="ar"/>
          <w14:ligatures w14:val="none"/>
        </w:rPr>
        <w:t xml:space="preserve"> </w:t>
      </w:r>
    </w:p>
    <w:p w14:paraId="4F616E45">
      <w:pPr>
        <w:spacing w:line="360" w:lineRule="auto"/>
        <w:rPr>
          <w:rFonts w:hint="eastAsia" w:ascii="仿宋" w:hAnsi="仿宋" w:eastAsia="仿宋" w:cs="仿宋"/>
          <w:b/>
          <w:kern w:val="0"/>
          <w:sz w:val="20"/>
          <w:szCs w:val="20"/>
        </w:rPr>
      </w:pPr>
      <w:r>
        <w:rPr>
          <w:rFonts w:hint="eastAsia" w:ascii="仿宋" w:hAnsi="仿宋" w:eastAsia="仿宋" w:cs="仿宋"/>
          <w:b/>
          <w:sz w:val="20"/>
          <w:szCs w:val="20"/>
        </w:rPr>
        <w:t>八、</w:t>
      </w:r>
      <w:r>
        <w:rPr>
          <w:rFonts w:hint="eastAsia" w:ascii="仿宋" w:hAnsi="仿宋" w:eastAsia="仿宋" w:cs="仿宋"/>
          <w:b/>
          <w:kern w:val="0"/>
          <w:sz w:val="20"/>
          <w:szCs w:val="20"/>
        </w:rPr>
        <w:t>运输要求：</w:t>
      </w:r>
    </w:p>
    <w:p w14:paraId="50A6ED9E">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80"/>
        <w:jc w:val="left"/>
        <w:rPr>
          <w:rFonts w:hint="eastAsia" w:ascii="仿宋" w:hAnsi="仿宋" w:eastAsia="仿宋" w:cs="仿宋"/>
          <w:kern w:val="2"/>
          <w:sz w:val="20"/>
          <w:szCs w:val="20"/>
          <w:lang w:val="en-US" w:eastAsia="zh-CN" w:bidi="ar-SA"/>
          <w14:ligatures w14:val="none"/>
        </w:rPr>
      </w:pPr>
      <w:r>
        <w:rPr>
          <w:rFonts w:hint="eastAsia" w:ascii="仿宋" w:hAnsi="仿宋" w:eastAsia="仿宋" w:cs="仿宋"/>
          <w:kern w:val="2"/>
          <w:sz w:val="20"/>
          <w:szCs w:val="20"/>
          <w:lang w:val="en-US" w:eastAsia="zh-CN" w:bidi="ar-SA"/>
          <w14:ligatures w14:val="none"/>
        </w:rPr>
        <w:t>1、运输器具应清洁、无污染，并有防尘、防雨设施；</w:t>
      </w:r>
    </w:p>
    <w:p w14:paraId="64194633">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80"/>
        <w:jc w:val="left"/>
        <w:rPr>
          <w:rFonts w:hint="eastAsia" w:ascii="仿宋" w:hAnsi="仿宋" w:eastAsia="仿宋" w:cs="仿宋"/>
          <w:kern w:val="2"/>
          <w:sz w:val="20"/>
          <w:szCs w:val="20"/>
          <w:lang w:val="en-US" w:eastAsia="zh-CN" w:bidi="ar-SA"/>
          <w14:ligatures w14:val="none"/>
        </w:rPr>
      </w:pPr>
      <w:r>
        <w:rPr>
          <w:rFonts w:hint="eastAsia" w:ascii="仿宋" w:hAnsi="仿宋" w:eastAsia="仿宋" w:cs="仿宋"/>
          <w:kern w:val="2"/>
          <w:sz w:val="20"/>
          <w:szCs w:val="20"/>
          <w:lang w:val="en-US" w:eastAsia="zh-CN" w:bidi="ar-SA"/>
          <w14:ligatures w14:val="none"/>
        </w:rPr>
        <w:t>2、常温药品运输载具（0–30℃，无特殊温控）为封闭式厢式货车，厢体完好、密封可靠。配备防雨、防晒、防尘设施。定期清洁、消毒、通风，无异味、无污染。装载与防护，药品码放整齐、稳固，避免挤压、碰撞。与厢壁、顶部留≥10cm 间隙，保证通风。特殊包装（易碎、避光）单独防护、标识清晰。</w:t>
      </w:r>
    </w:p>
    <w:p w14:paraId="22C08357">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80"/>
        <w:jc w:val="left"/>
        <w:rPr>
          <w:rFonts w:hint="eastAsia" w:ascii="仿宋" w:hAnsi="仿宋" w:eastAsia="仿宋" w:cs="仿宋"/>
          <w:kern w:val="2"/>
          <w:sz w:val="20"/>
          <w:szCs w:val="20"/>
          <w:lang w:val="en-US" w:eastAsia="zh-CN" w:bidi="ar-SA"/>
          <w14:ligatures w14:val="none"/>
        </w:rPr>
      </w:pPr>
      <w:r>
        <w:rPr>
          <w:rFonts w:hint="eastAsia" w:ascii="仿宋" w:hAnsi="仿宋" w:eastAsia="仿宋" w:cs="仿宋"/>
          <w:kern w:val="2"/>
          <w:sz w:val="20"/>
          <w:szCs w:val="20"/>
          <w:lang w:val="en-US" w:eastAsia="zh-CN" w:bidi="ar-SA"/>
          <w14:ligatures w14:val="none"/>
        </w:rPr>
        <w:t>3、冷藏药品运输载具（冷藏车、冷藏箱、保温箱）的核心要求，以GSP（药品经营质量管理规范）及GB/T 28842-2021《药品冷链物流运作规范》为核心，必须满足温控、监测、保温、应急、验证、追溯六大合规底线；</w:t>
      </w:r>
    </w:p>
    <w:p w14:paraId="4DD92BED">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80"/>
        <w:jc w:val="left"/>
        <w:rPr>
          <w:rFonts w:hint="eastAsia" w:ascii="仿宋" w:hAnsi="仿宋" w:eastAsia="仿宋" w:cs="仿宋"/>
          <w:kern w:val="2"/>
          <w:sz w:val="20"/>
          <w:szCs w:val="20"/>
          <w:lang w:val="en-US" w:eastAsia="zh-CN" w:bidi="ar-SA"/>
          <w14:ligatures w14:val="none"/>
        </w:rPr>
      </w:pPr>
      <w:r>
        <w:rPr>
          <w:rFonts w:hint="eastAsia" w:ascii="仿宋" w:hAnsi="仿宋" w:eastAsia="仿宋" w:cs="仿宋"/>
          <w:kern w:val="2"/>
          <w:sz w:val="20"/>
          <w:szCs w:val="20"/>
          <w:lang w:val="en-US" w:eastAsia="zh-CN" w:bidi="ar-SA"/>
          <w14:ligatures w14:val="none"/>
        </w:rPr>
        <w:t>4、特殊管理药品运输载具（麻、精、毒、放）车辆要求为专用封闭式防盗厢体，加厚钢板、防撬门锁、电子密码锁。配备防盗报警、视频监控、远程锁车功能。驾驶室与货厢隔离防护，保障押运安全。双人双锁、双人押运、全程监控；</w:t>
      </w:r>
    </w:p>
    <w:p w14:paraId="7F22F989">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80"/>
        <w:jc w:val="left"/>
        <w:rPr>
          <w:rFonts w:hint="eastAsia" w:ascii="仿宋" w:hAnsi="仿宋" w:eastAsia="仿宋" w:cs="仿宋"/>
          <w:kern w:val="2"/>
          <w:sz w:val="20"/>
          <w:szCs w:val="20"/>
          <w:lang w:val="en-US" w:eastAsia="zh-CN" w:bidi="ar-SA"/>
          <w14:ligatures w14:val="none"/>
        </w:rPr>
      </w:pPr>
      <w:r>
        <w:rPr>
          <w:rFonts w:hint="eastAsia" w:ascii="仿宋" w:hAnsi="仿宋" w:eastAsia="仿宋" w:cs="仿宋"/>
          <w:kern w:val="2"/>
          <w:sz w:val="20"/>
          <w:szCs w:val="20"/>
          <w:lang w:val="en-US" w:eastAsia="zh-CN" w:bidi="ar-SA"/>
          <w14:ligatures w14:val="none"/>
        </w:rPr>
        <w:t>5、每次送货时需随货附带该批次的药品合格证明及产品注册证。</w:t>
      </w:r>
    </w:p>
    <w:p w14:paraId="6361CE13">
      <w:pPr>
        <w:pStyle w:val="13"/>
        <w:spacing w:line="360" w:lineRule="auto"/>
        <w:rPr>
          <w:rFonts w:hint="eastAsia" w:ascii="仿宋" w:hAnsi="仿宋" w:eastAsia="仿宋" w:cs="仿宋"/>
          <w:b/>
          <w:sz w:val="20"/>
          <w:szCs w:val="20"/>
        </w:rPr>
      </w:pPr>
      <w:r>
        <w:rPr>
          <w:rFonts w:hint="eastAsia" w:ascii="仿宋" w:hAnsi="仿宋" w:eastAsia="仿宋" w:cs="仿宋"/>
          <w:b/>
          <w:sz w:val="20"/>
          <w:szCs w:val="20"/>
        </w:rPr>
        <w:t>九、双方的权利和义务</w:t>
      </w:r>
    </w:p>
    <w:p w14:paraId="3A2B9DDF">
      <w:pPr>
        <w:pStyle w:val="13"/>
        <w:spacing w:line="360" w:lineRule="auto"/>
        <w:ind w:firstLine="402" w:firstLineChars="200"/>
        <w:rPr>
          <w:rFonts w:hint="eastAsia" w:ascii="仿宋" w:hAnsi="仿宋" w:eastAsia="仿宋" w:cs="仿宋"/>
          <w:b/>
          <w:sz w:val="20"/>
          <w:szCs w:val="20"/>
        </w:rPr>
      </w:pPr>
      <w:r>
        <w:rPr>
          <w:rFonts w:hint="eastAsia" w:ascii="仿宋" w:hAnsi="仿宋" w:eastAsia="仿宋" w:cs="仿宋"/>
          <w:b/>
          <w:sz w:val="20"/>
          <w:szCs w:val="20"/>
        </w:rPr>
        <w:t>（一）甲方的权利和义务</w:t>
      </w:r>
    </w:p>
    <w:p w14:paraId="36544E3A">
      <w:pPr>
        <w:pStyle w:val="13"/>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1、产品性能必须与其标示的技术指标相符合，甲方有权在产品的有效保证期内依据技术指标对该产品进行技术验收，其主要的技术参数达不到标准时，甲方有权无条件退货或依据有关法律索赔。</w:t>
      </w:r>
    </w:p>
    <w:p w14:paraId="5B49D538">
      <w:pPr>
        <w:pStyle w:val="13"/>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2、</w:t>
      </w:r>
      <w:r>
        <w:rPr>
          <w:rFonts w:hint="eastAsia" w:ascii="仿宋" w:hAnsi="仿宋" w:eastAsia="仿宋" w:cs="仿宋"/>
          <w:bCs/>
          <w:sz w:val="20"/>
          <w:szCs w:val="20"/>
          <w:u w:val="none"/>
        </w:rPr>
        <w:t>提供热线及专属客户经理电话全年7*24小时的不间断服务，响应时间不超过</w:t>
      </w:r>
      <w:r>
        <w:rPr>
          <w:rFonts w:hint="eastAsia" w:ascii="仿宋" w:hAnsi="仿宋" w:eastAsia="仿宋" w:cs="仿宋"/>
          <w:bCs/>
          <w:sz w:val="20"/>
          <w:szCs w:val="20"/>
          <w:u w:val="none"/>
          <w:lang w:val="en-US" w:eastAsia="zh-CN"/>
        </w:rPr>
        <w:t>半</w:t>
      </w:r>
      <w:r>
        <w:rPr>
          <w:rFonts w:hint="eastAsia" w:ascii="仿宋" w:hAnsi="仿宋" w:eastAsia="仿宋" w:cs="仿宋"/>
          <w:bCs/>
          <w:sz w:val="20"/>
          <w:szCs w:val="20"/>
          <w:u w:val="none"/>
        </w:rPr>
        <w:t>小时，   严格按采购人下达的采购计划完成配送，若存在特殊紧急产品(含临时采购药品)需要供货的，须在3小时内完成配送，一般药品配送时间原则上不超过48小时，最长不超过72小时，如遇不可抗力因素(冰雪、洪水灾害等)应协助采购人做好药品借调服务。供应商不得以任何借口(如无货，采购量少等)不执行采购人药品采购计划。对于不符合合同和质量要求的药品，供应方应及时更换 。否则甲方有权指定第三方</w:t>
      </w:r>
      <w:r>
        <w:rPr>
          <w:rFonts w:hint="eastAsia" w:ascii="仿宋" w:hAnsi="仿宋" w:eastAsia="仿宋" w:cs="仿宋"/>
          <w:bCs/>
          <w:sz w:val="20"/>
          <w:szCs w:val="20"/>
          <w:u w:val="none"/>
          <w:lang w:val="en-US" w:eastAsia="zh-CN"/>
        </w:rPr>
        <w:t>配送</w:t>
      </w:r>
      <w:r>
        <w:rPr>
          <w:rFonts w:hint="eastAsia" w:ascii="仿宋" w:hAnsi="仿宋" w:eastAsia="仿宋" w:cs="仿宋"/>
          <w:bCs/>
          <w:sz w:val="20"/>
          <w:szCs w:val="20"/>
          <w:u w:val="none"/>
        </w:rPr>
        <w:t xml:space="preserve">，维修费用由乙方承担。   </w:t>
      </w:r>
    </w:p>
    <w:p w14:paraId="212F36E8">
      <w:pPr>
        <w:pStyle w:val="13"/>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lang w:val="en-US" w:eastAsia="zh-CN"/>
        </w:rPr>
        <w:t>3</w:t>
      </w:r>
      <w:r>
        <w:rPr>
          <w:rFonts w:hint="eastAsia" w:ascii="仿宋" w:hAnsi="仿宋" w:eastAsia="仿宋" w:cs="仿宋"/>
          <w:bCs/>
          <w:sz w:val="20"/>
          <w:szCs w:val="20"/>
        </w:rPr>
        <w:t>、甲方保证按合同规定及时付款。</w:t>
      </w:r>
    </w:p>
    <w:p w14:paraId="2B5A2784">
      <w:pPr>
        <w:pStyle w:val="13"/>
        <w:spacing w:line="360" w:lineRule="auto"/>
        <w:ind w:firstLine="402" w:firstLineChars="200"/>
        <w:rPr>
          <w:rFonts w:hint="eastAsia" w:ascii="仿宋" w:hAnsi="仿宋" w:eastAsia="仿宋" w:cs="仿宋"/>
          <w:b/>
          <w:sz w:val="20"/>
          <w:szCs w:val="20"/>
        </w:rPr>
      </w:pPr>
      <w:r>
        <w:rPr>
          <w:rFonts w:hint="eastAsia" w:ascii="仿宋" w:hAnsi="仿宋" w:eastAsia="仿宋" w:cs="仿宋"/>
          <w:b/>
          <w:sz w:val="20"/>
          <w:szCs w:val="20"/>
        </w:rPr>
        <w:t>（二）乙方的权利和义务</w:t>
      </w:r>
    </w:p>
    <w:p w14:paraId="3CAAC680">
      <w:pPr>
        <w:pStyle w:val="13"/>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1、乙方提供给甲方的产品必须是设计科学、技术成熟、工艺精良，原厂生产的未曾使用过的、全新的合格产品。</w:t>
      </w:r>
    </w:p>
    <w:p w14:paraId="7E8DE447">
      <w:pPr>
        <w:pStyle w:val="13"/>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2、设计技术专利、外型专利、应用软件专利等均应符合我国的有关法律及行业标准，凡因以上问题与第三方发生的任何纠纷均与甲方无关。</w:t>
      </w:r>
    </w:p>
    <w:p w14:paraId="247B7872">
      <w:pPr>
        <w:pStyle w:val="13"/>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3、安全可靠。在正常使用下不应对操作者造成任何人身伤害，如因产品质量或标示不明确而对操作者造成损失的，甲方将保留依法索赔的权利。</w:t>
      </w:r>
    </w:p>
    <w:p w14:paraId="2FC8829C">
      <w:pPr>
        <w:pStyle w:val="13"/>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4、有强制性安全标准的产品，乙方应提供该产品的制造许可证证明。</w:t>
      </w:r>
    </w:p>
    <w:p w14:paraId="3A47624E">
      <w:pPr>
        <w:pStyle w:val="13"/>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5. 乙方有义务对本合同项目甲方需要的关键设备提供有关咨询。</w:t>
      </w:r>
    </w:p>
    <w:p w14:paraId="5F9316B0">
      <w:pPr>
        <w:spacing w:line="360" w:lineRule="auto"/>
        <w:rPr>
          <w:rFonts w:hint="eastAsia" w:ascii="仿宋" w:hAnsi="仿宋" w:eastAsia="仿宋" w:cs="仿宋"/>
          <w:b/>
          <w:sz w:val="20"/>
          <w:szCs w:val="20"/>
        </w:rPr>
      </w:pPr>
      <w:r>
        <w:rPr>
          <w:rFonts w:hint="eastAsia" w:ascii="仿宋" w:hAnsi="仿宋" w:eastAsia="仿宋" w:cs="仿宋"/>
          <w:b/>
          <w:sz w:val="20"/>
          <w:szCs w:val="20"/>
        </w:rPr>
        <w:t>十、技术培训：</w:t>
      </w:r>
    </w:p>
    <w:p w14:paraId="28DA3B4D">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应包括产品使用操作等培训内容。乙方需按甲方要求的时间为甲方培训技术人员若干名，培训服务以受培训人员熟练掌握相应技能为原则。在产品投入使用初期进行必要的跟踪指导，保障产品的稳定运行。供应的产品需在培训基地培训的，乙方应按要求履行，培训产生的交通费、食宿费、培训费等均由乙方承担。</w:t>
      </w:r>
    </w:p>
    <w:p w14:paraId="5721B8E3">
      <w:pPr>
        <w:spacing w:line="360" w:lineRule="auto"/>
        <w:rPr>
          <w:rFonts w:hint="eastAsia" w:ascii="仿宋" w:hAnsi="仿宋" w:eastAsia="仿宋" w:cs="仿宋"/>
          <w:b/>
          <w:kern w:val="0"/>
          <w:sz w:val="20"/>
          <w:szCs w:val="20"/>
        </w:rPr>
      </w:pPr>
      <w:r>
        <w:rPr>
          <w:rFonts w:hint="eastAsia" w:ascii="仿宋" w:hAnsi="仿宋" w:eastAsia="仿宋" w:cs="仿宋"/>
          <w:b/>
          <w:sz w:val="20"/>
          <w:szCs w:val="20"/>
        </w:rPr>
        <w:t>十一、</w:t>
      </w:r>
      <w:r>
        <w:rPr>
          <w:rFonts w:hint="eastAsia" w:ascii="仿宋" w:hAnsi="仿宋" w:eastAsia="仿宋" w:cs="仿宋"/>
          <w:b/>
          <w:kern w:val="0"/>
          <w:sz w:val="20"/>
          <w:szCs w:val="20"/>
        </w:rPr>
        <w:t>技术资料要求：</w:t>
      </w:r>
    </w:p>
    <w:p w14:paraId="43BEB3FB">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乙方应向甲方提供全套中文技术资料一套，其费用包括在合同总价款中：</w:t>
      </w:r>
    </w:p>
    <w:p w14:paraId="060B8405">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1、完整的产品操作使用手册、说明书和维护、修理技术文件、图纸、保修卡等；</w:t>
      </w:r>
    </w:p>
    <w:p w14:paraId="02D47382">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2、制造厂的检验、测试报告、产品检验合格证书，质量保证书等文件验收时需提供；</w:t>
      </w:r>
    </w:p>
    <w:p w14:paraId="2B6004D7">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3、必须的其它技术资料；</w:t>
      </w:r>
    </w:p>
    <w:p w14:paraId="1DA671F2">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4、产品验收标准；</w:t>
      </w:r>
    </w:p>
    <w:p w14:paraId="156E001F">
      <w:pPr>
        <w:spacing w:line="360" w:lineRule="auto"/>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rPr>
        <w:t>5、技术说明书；</w:t>
      </w:r>
    </w:p>
    <w:p w14:paraId="472F95FF">
      <w:pPr>
        <w:spacing w:line="360" w:lineRule="auto"/>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6</w:t>
      </w:r>
      <w:r>
        <w:rPr>
          <w:rFonts w:hint="eastAsia" w:ascii="仿宋" w:hAnsi="仿宋" w:eastAsia="仿宋" w:cs="仿宋"/>
          <w:kern w:val="0"/>
          <w:sz w:val="20"/>
          <w:szCs w:val="20"/>
        </w:rPr>
        <w:t>、项目完工后提供验收报告；</w:t>
      </w:r>
    </w:p>
    <w:p w14:paraId="079A2C4F">
      <w:pPr>
        <w:spacing w:line="360" w:lineRule="auto"/>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7</w:t>
      </w:r>
      <w:r>
        <w:rPr>
          <w:rFonts w:hint="eastAsia" w:ascii="仿宋" w:hAnsi="仿宋" w:eastAsia="仿宋" w:cs="仿宋"/>
          <w:kern w:val="0"/>
          <w:sz w:val="20"/>
          <w:szCs w:val="20"/>
        </w:rPr>
        <w:t>、合同中要求的其他文件资料。</w:t>
      </w:r>
    </w:p>
    <w:p w14:paraId="40A28FEA">
      <w:pPr>
        <w:spacing w:line="360" w:lineRule="auto"/>
        <w:rPr>
          <w:rFonts w:hint="eastAsia" w:ascii="仿宋" w:hAnsi="仿宋" w:eastAsia="仿宋" w:cs="仿宋"/>
          <w:sz w:val="20"/>
          <w:szCs w:val="20"/>
        </w:rPr>
      </w:pPr>
      <w:r>
        <w:rPr>
          <w:rFonts w:hint="eastAsia" w:ascii="仿宋" w:hAnsi="仿宋" w:eastAsia="仿宋" w:cs="仿宋"/>
          <w:b/>
          <w:sz w:val="20"/>
          <w:szCs w:val="20"/>
        </w:rPr>
        <w:t>十二、验收:</w:t>
      </w:r>
    </w:p>
    <w:p w14:paraId="3777ED35">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由甲方和乙方共同对项目进行验收。其内容包括确认产品的产地、规格、型号，对其产品技术指标、性能参数、样式、颜色，以及质量是否达到现行国家有关验收规范“合格”标准、是否按照甲方要求安装到位、是否按照甲方要求进行调试和提供相关培训、是否在规定时间内安装完毕、所有产品的配套包装是否完好无损等进行逐项检查。</w:t>
      </w:r>
    </w:p>
    <w:p w14:paraId="0ED3E4F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1、所验产品的指标、性能参数通过验收达不到</w:t>
      </w:r>
      <w:r>
        <w:rPr>
          <w:rFonts w:hint="eastAsia" w:ascii="仿宋" w:hAnsi="仿宋" w:eastAsia="仿宋" w:cs="仿宋"/>
          <w:sz w:val="20"/>
          <w:szCs w:val="20"/>
          <w:lang w:eastAsia="zh-CN"/>
        </w:rPr>
        <w:t>竞争性谈判文件</w:t>
      </w:r>
      <w:r>
        <w:rPr>
          <w:rFonts w:hint="eastAsia" w:ascii="仿宋" w:hAnsi="仿宋" w:eastAsia="仿宋" w:cs="仿宋"/>
          <w:sz w:val="20"/>
          <w:szCs w:val="20"/>
        </w:rPr>
        <w:t>要求和响应文件承诺的，或在使用中发现设计缺陷等，将视为产品验收不合格，乙方应无条件更换或退货。</w:t>
      </w:r>
    </w:p>
    <w:p w14:paraId="7204BCD6">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2、若发现乙方有弄虚作假的，在投标阶段故意或随意夸大产品技术性能，乙方应无条件退货，并赔偿甲方相应的损失。</w:t>
      </w:r>
    </w:p>
    <w:p w14:paraId="3ACD5268">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3、验收标准：按</w:t>
      </w:r>
      <w:r>
        <w:rPr>
          <w:rFonts w:hint="eastAsia" w:ascii="仿宋" w:hAnsi="仿宋" w:eastAsia="仿宋" w:cs="仿宋"/>
          <w:sz w:val="20"/>
          <w:szCs w:val="20"/>
          <w:lang w:eastAsia="zh-CN"/>
        </w:rPr>
        <w:t>竞争性谈判文件</w:t>
      </w:r>
      <w:r>
        <w:rPr>
          <w:rFonts w:hint="eastAsia" w:ascii="仿宋" w:hAnsi="仿宋" w:eastAsia="仿宋" w:cs="仿宋"/>
          <w:sz w:val="20"/>
          <w:szCs w:val="20"/>
        </w:rPr>
        <w:t>、响应文件及澄清函等技术指标进行验收。各项指标均应符合验收标准及要求。</w:t>
      </w:r>
    </w:p>
    <w:p w14:paraId="71DF3293">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4、验收合格后，填写验收单，双方签字盖章后生效。</w:t>
      </w:r>
    </w:p>
    <w:p w14:paraId="1AA42698">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5、验收依据：</w:t>
      </w:r>
    </w:p>
    <w:p w14:paraId="26694BFE">
      <w:pPr>
        <w:tabs>
          <w:tab w:val="left" w:pos="498"/>
        </w:tabs>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1）合同文本；</w:t>
      </w:r>
    </w:p>
    <w:p w14:paraId="309520A6">
      <w:pPr>
        <w:tabs>
          <w:tab w:val="left" w:pos="498"/>
        </w:tabs>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2）响应文件及澄清函、</w:t>
      </w:r>
      <w:r>
        <w:rPr>
          <w:rFonts w:hint="eastAsia" w:ascii="仿宋" w:hAnsi="仿宋" w:eastAsia="仿宋" w:cs="仿宋"/>
          <w:sz w:val="20"/>
          <w:szCs w:val="20"/>
          <w:lang w:eastAsia="zh-CN"/>
        </w:rPr>
        <w:t>竞争性谈判文件</w:t>
      </w:r>
      <w:r>
        <w:rPr>
          <w:rFonts w:hint="eastAsia" w:ascii="仿宋" w:hAnsi="仿宋" w:eastAsia="仿宋" w:cs="仿宋"/>
          <w:sz w:val="20"/>
          <w:szCs w:val="20"/>
        </w:rPr>
        <w:t>；</w:t>
      </w:r>
    </w:p>
    <w:p w14:paraId="64123DD2">
      <w:pPr>
        <w:tabs>
          <w:tab w:val="left" w:pos="498"/>
        </w:tabs>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3）国家和行业制定的相应的标准和规范；</w:t>
      </w:r>
    </w:p>
    <w:p w14:paraId="2ADA8000">
      <w:pPr>
        <w:tabs>
          <w:tab w:val="left" w:pos="498"/>
        </w:tabs>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4)产品验收清单（注明各部件的品名、数量、规格型号和原产地或生产厂家）。</w:t>
      </w:r>
    </w:p>
    <w:p w14:paraId="1B6D4A42">
      <w:pPr>
        <w:spacing w:line="360" w:lineRule="auto"/>
        <w:rPr>
          <w:rFonts w:hint="eastAsia" w:ascii="仿宋" w:hAnsi="仿宋" w:eastAsia="仿宋" w:cs="仿宋"/>
          <w:b/>
          <w:sz w:val="20"/>
          <w:szCs w:val="20"/>
        </w:rPr>
      </w:pPr>
      <w:r>
        <w:rPr>
          <w:rFonts w:hint="eastAsia" w:ascii="仿宋" w:hAnsi="仿宋" w:eastAsia="仿宋" w:cs="仿宋"/>
          <w:b/>
          <w:sz w:val="20"/>
          <w:szCs w:val="20"/>
        </w:rPr>
        <w:t>十三、保密</w:t>
      </w:r>
    </w:p>
    <w:p w14:paraId="4AC679AD">
      <w:pPr>
        <w:tabs>
          <w:tab w:val="left" w:pos="1080"/>
        </w:tabs>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须严格保密，对工作中了解到的甲方的技术、机密等进行保密，不得向他人泄漏。本合同的解除或终止不免除乙方应承担的保密义务。</w:t>
      </w:r>
    </w:p>
    <w:p w14:paraId="3B36C86D">
      <w:pPr>
        <w:spacing w:line="360" w:lineRule="auto"/>
        <w:rPr>
          <w:rFonts w:hint="eastAsia" w:ascii="仿宋" w:hAnsi="仿宋" w:eastAsia="仿宋" w:cs="仿宋"/>
          <w:b/>
          <w:sz w:val="20"/>
          <w:szCs w:val="20"/>
        </w:rPr>
      </w:pPr>
      <w:r>
        <w:rPr>
          <w:rFonts w:hint="eastAsia" w:ascii="仿宋" w:hAnsi="仿宋" w:eastAsia="仿宋" w:cs="仿宋"/>
          <w:b/>
          <w:sz w:val="20"/>
          <w:szCs w:val="20"/>
        </w:rPr>
        <w:t>十四、知识产权</w:t>
      </w:r>
    </w:p>
    <w:p w14:paraId="3FB3CAA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14:paraId="6F712B79">
      <w:pPr>
        <w:spacing w:line="360" w:lineRule="auto"/>
        <w:jc w:val="left"/>
        <w:rPr>
          <w:rFonts w:hint="eastAsia" w:ascii="仿宋" w:hAnsi="仿宋" w:eastAsia="仿宋" w:cs="仿宋"/>
          <w:b/>
          <w:sz w:val="20"/>
          <w:szCs w:val="20"/>
        </w:rPr>
      </w:pPr>
      <w:r>
        <w:rPr>
          <w:rFonts w:hint="eastAsia" w:ascii="仿宋" w:hAnsi="仿宋" w:eastAsia="仿宋" w:cs="仿宋"/>
          <w:b/>
          <w:sz w:val="20"/>
          <w:szCs w:val="20"/>
        </w:rPr>
        <w:t>十五、通知与送达</w:t>
      </w:r>
    </w:p>
    <w:p w14:paraId="639DA882">
      <w:pPr>
        <w:tabs>
          <w:tab w:val="left" w:pos="480"/>
        </w:tabs>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1、甲乙双方应当在3天内将与合同有关的通知、批准、证明、证书、指示、指令、要求、请求、同意、意见、确定和决定等书面函件送达对方当事人。</w:t>
      </w:r>
    </w:p>
    <w:p w14:paraId="32565E44">
      <w:pPr>
        <w:tabs>
          <w:tab w:val="left" w:pos="480"/>
        </w:tabs>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2、甲乙双方的送达接收人和送达地点以合同中明确的联系人，联系地址为准。双方确保合同中的联系方式真实有效。任何一方合同当事人指定的接收人或送达地点发生变动的，应提前3天以书面形式通知对方。</w:t>
      </w:r>
    </w:p>
    <w:p w14:paraId="366B24C8">
      <w:pPr>
        <w:tabs>
          <w:tab w:val="left" w:pos="480"/>
        </w:tabs>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3、甲乙双方应当及时签收另一方送达至送达地点和指定接收人的来往信函。拒不签收的，由此增加的费用和（或）延误的交货期由拒绝接收一方承担。</w:t>
      </w:r>
    </w:p>
    <w:p w14:paraId="476ECA79">
      <w:pPr>
        <w:spacing w:line="360" w:lineRule="auto"/>
        <w:rPr>
          <w:rFonts w:hint="eastAsia" w:ascii="仿宋" w:hAnsi="仿宋" w:eastAsia="仿宋" w:cs="仿宋"/>
          <w:sz w:val="20"/>
          <w:szCs w:val="20"/>
        </w:rPr>
      </w:pPr>
      <w:r>
        <w:rPr>
          <w:rFonts w:hint="eastAsia" w:ascii="仿宋" w:hAnsi="仿宋" w:eastAsia="仿宋" w:cs="仿宋"/>
          <w:b/>
          <w:sz w:val="20"/>
          <w:szCs w:val="20"/>
        </w:rPr>
        <w:t>十六、合同争议的解决：</w:t>
      </w:r>
      <w:r>
        <w:rPr>
          <w:rFonts w:hint="eastAsia" w:ascii="仿宋" w:hAnsi="仿宋" w:eastAsia="仿宋" w:cs="仿宋"/>
          <w:sz w:val="20"/>
          <w:szCs w:val="20"/>
        </w:rPr>
        <w:t>合同执行中发生争议的，当事人双方应协商解决，协商达不成一致时，可向当地行政仲裁机关申请仲裁或者向人民法院提请诉讼。</w:t>
      </w:r>
    </w:p>
    <w:p w14:paraId="005A582E">
      <w:pPr>
        <w:spacing w:line="360" w:lineRule="auto"/>
        <w:rPr>
          <w:rFonts w:hint="eastAsia" w:ascii="仿宋" w:hAnsi="仿宋" w:eastAsia="仿宋" w:cs="仿宋"/>
          <w:sz w:val="20"/>
          <w:szCs w:val="20"/>
        </w:rPr>
      </w:pPr>
      <w:r>
        <w:rPr>
          <w:rFonts w:hint="eastAsia" w:ascii="仿宋" w:hAnsi="仿宋" w:eastAsia="仿宋" w:cs="仿宋"/>
          <w:b/>
          <w:sz w:val="20"/>
          <w:szCs w:val="20"/>
        </w:rPr>
        <w:t>十七、</w:t>
      </w:r>
      <w:r>
        <w:rPr>
          <w:rFonts w:hint="eastAsia" w:ascii="仿宋" w:hAnsi="仿宋" w:eastAsia="仿宋" w:cs="仿宋"/>
          <w:sz w:val="20"/>
          <w:szCs w:val="20"/>
        </w:rPr>
        <w:t xml:space="preserve">不可抗力情况下的免责约定，双方约定不可抗力情况包括：五级以上地震、大风、大雨、大雪。  </w:t>
      </w:r>
    </w:p>
    <w:p w14:paraId="24F5967C">
      <w:pPr>
        <w:spacing w:line="360" w:lineRule="auto"/>
        <w:rPr>
          <w:rFonts w:hint="eastAsia" w:ascii="仿宋" w:hAnsi="仿宋" w:eastAsia="仿宋" w:cs="仿宋"/>
          <w:sz w:val="20"/>
          <w:szCs w:val="20"/>
        </w:rPr>
      </w:pPr>
      <w:r>
        <w:rPr>
          <w:rFonts w:hint="eastAsia" w:ascii="仿宋" w:hAnsi="仿宋" w:eastAsia="仿宋" w:cs="仿宋"/>
          <w:b/>
          <w:sz w:val="20"/>
          <w:szCs w:val="20"/>
        </w:rPr>
        <w:t>十八、违约责任：</w:t>
      </w:r>
      <w:r>
        <w:rPr>
          <w:rFonts w:hint="eastAsia" w:ascii="仿宋" w:hAnsi="仿宋" w:eastAsia="仿宋" w:cs="仿宋"/>
          <w:sz w:val="20"/>
          <w:szCs w:val="20"/>
        </w:rPr>
        <w:t>依据《中华人民共和国民法典》、《中华人民共和国政府采购法》的相关条款和本合同约定，乙方未全面履行合同义务或者发生违约，采购单位会同采购代理机构有权终止合同，依法向成交乙方进行经济索赔，并报请政府采购监督管理机关进行相应的行政处罚。采购单位违约的，应当赔偿给成交乙方造成的经济损失。</w:t>
      </w:r>
    </w:p>
    <w:p w14:paraId="7C9AC83E">
      <w:pPr>
        <w:spacing w:line="360" w:lineRule="auto"/>
        <w:rPr>
          <w:rFonts w:hint="eastAsia" w:ascii="仿宋" w:hAnsi="仿宋" w:eastAsia="仿宋" w:cs="仿宋"/>
          <w:sz w:val="20"/>
          <w:szCs w:val="20"/>
        </w:rPr>
      </w:pPr>
      <w:r>
        <w:rPr>
          <w:rFonts w:hint="eastAsia" w:ascii="仿宋" w:hAnsi="仿宋" w:eastAsia="仿宋" w:cs="仿宋"/>
          <w:b/>
          <w:sz w:val="20"/>
          <w:szCs w:val="20"/>
        </w:rPr>
        <w:t>十九、其他（</w:t>
      </w:r>
      <w:r>
        <w:rPr>
          <w:rFonts w:hint="eastAsia" w:ascii="仿宋" w:hAnsi="仿宋" w:eastAsia="仿宋" w:cs="仿宋"/>
          <w:sz w:val="20"/>
          <w:szCs w:val="20"/>
        </w:rPr>
        <w:t>在合同中具体明确）</w:t>
      </w:r>
    </w:p>
    <w:p w14:paraId="5900FFC3">
      <w:pPr>
        <w:spacing w:line="360" w:lineRule="auto"/>
        <w:rPr>
          <w:rFonts w:hint="eastAsia" w:ascii="仿宋" w:hAnsi="仿宋" w:eastAsia="仿宋" w:cs="仿宋"/>
          <w:b/>
          <w:sz w:val="20"/>
          <w:szCs w:val="20"/>
        </w:rPr>
      </w:pPr>
      <w:r>
        <w:rPr>
          <w:rFonts w:hint="eastAsia" w:ascii="仿宋" w:hAnsi="仿宋" w:eastAsia="仿宋" w:cs="仿宋"/>
          <w:b/>
          <w:sz w:val="20"/>
          <w:szCs w:val="20"/>
        </w:rPr>
        <w:t>二十、合同订立</w:t>
      </w:r>
    </w:p>
    <w:p w14:paraId="1660C4D1">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 订立时间：</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196B4BC3">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 订立地点：</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44463668">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3. 本合同一式</w:t>
      </w:r>
      <w:r>
        <w:rPr>
          <w:rFonts w:hint="eastAsia" w:ascii="仿宋" w:hAnsi="仿宋" w:eastAsia="仿宋" w:cs="仿宋"/>
          <w:sz w:val="20"/>
          <w:szCs w:val="20"/>
          <w:u w:val="single"/>
        </w:rPr>
        <w:t>伍</w:t>
      </w:r>
      <w:r>
        <w:rPr>
          <w:rFonts w:hint="eastAsia" w:ascii="仿宋" w:hAnsi="仿宋" w:eastAsia="仿宋" w:cs="仿宋"/>
          <w:sz w:val="20"/>
          <w:szCs w:val="20"/>
        </w:rPr>
        <w:t>份，自双方签章之日起生效。甲方</w:t>
      </w:r>
      <w:r>
        <w:rPr>
          <w:rFonts w:hint="eastAsia" w:ascii="仿宋" w:hAnsi="仿宋" w:eastAsia="仿宋" w:cs="仿宋"/>
          <w:sz w:val="20"/>
          <w:szCs w:val="20"/>
          <w:u w:val="single"/>
        </w:rPr>
        <w:t>贰</w:t>
      </w:r>
      <w:r>
        <w:rPr>
          <w:rFonts w:hint="eastAsia" w:ascii="仿宋" w:hAnsi="仿宋" w:eastAsia="仿宋" w:cs="仿宋"/>
          <w:sz w:val="20"/>
          <w:szCs w:val="20"/>
        </w:rPr>
        <w:t>份，乙方</w:t>
      </w:r>
      <w:r>
        <w:rPr>
          <w:rFonts w:hint="eastAsia" w:ascii="仿宋" w:hAnsi="仿宋" w:eastAsia="仿宋" w:cs="仿宋"/>
          <w:sz w:val="20"/>
          <w:szCs w:val="20"/>
          <w:u w:val="single"/>
        </w:rPr>
        <w:t>贰</w:t>
      </w:r>
      <w:r>
        <w:rPr>
          <w:rFonts w:hint="eastAsia" w:ascii="仿宋" w:hAnsi="仿宋" w:eastAsia="仿宋" w:cs="仿宋"/>
          <w:sz w:val="20"/>
          <w:szCs w:val="20"/>
        </w:rPr>
        <w:t>份，政府采购代理机构</w:t>
      </w:r>
      <w:r>
        <w:rPr>
          <w:rFonts w:hint="eastAsia" w:ascii="仿宋" w:hAnsi="仿宋" w:eastAsia="仿宋" w:cs="仿宋"/>
          <w:sz w:val="20"/>
          <w:szCs w:val="20"/>
          <w:u w:val="single"/>
        </w:rPr>
        <w:t>壹</w:t>
      </w:r>
      <w:r>
        <w:rPr>
          <w:rFonts w:hint="eastAsia" w:ascii="仿宋" w:hAnsi="仿宋" w:eastAsia="仿宋" w:cs="仿宋"/>
          <w:sz w:val="20"/>
          <w:szCs w:val="20"/>
        </w:rPr>
        <w:t>份，具有同等法律效力。（合同的服务承诺则长期有效）。</w:t>
      </w:r>
    </w:p>
    <w:p w14:paraId="54A200F5">
      <w:pPr>
        <w:snapToGrid w:val="0"/>
        <w:spacing w:line="360" w:lineRule="auto"/>
        <w:rPr>
          <w:rFonts w:hint="eastAsia" w:ascii="仿宋" w:hAnsi="仿宋" w:eastAsia="仿宋" w:cs="仿宋"/>
          <w:sz w:val="20"/>
          <w:szCs w:val="20"/>
        </w:rPr>
      </w:pPr>
    </w:p>
    <w:p w14:paraId="660B944A">
      <w:pPr>
        <w:tabs>
          <w:tab w:val="left" w:pos="980"/>
        </w:tabs>
        <w:kinsoku w:val="0"/>
        <w:snapToGrid w:val="0"/>
        <w:spacing w:line="360" w:lineRule="auto"/>
        <w:ind w:firstLine="400" w:firstLineChars="200"/>
        <w:rPr>
          <w:rFonts w:hint="eastAsia" w:ascii="仿宋" w:hAnsi="仿宋" w:eastAsia="仿宋" w:cs="仿宋"/>
          <w:sz w:val="20"/>
          <w:szCs w:val="20"/>
        </w:rPr>
      </w:pPr>
    </w:p>
    <w:p w14:paraId="6544BA31">
      <w:pPr>
        <w:tabs>
          <w:tab w:val="left" w:pos="980"/>
        </w:tabs>
        <w:kinsoku w:val="0"/>
        <w:snapToGrid w:val="0"/>
        <w:spacing w:line="360" w:lineRule="auto"/>
        <w:ind w:firstLine="400" w:firstLineChars="200"/>
        <w:rPr>
          <w:rFonts w:hint="eastAsia" w:ascii="仿宋" w:hAnsi="仿宋" w:eastAsia="仿宋" w:cs="仿宋"/>
          <w:sz w:val="20"/>
          <w:szCs w:val="20"/>
        </w:rPr>
      </w:pPr>
    </w:p>
    <w:p w14:paraId="18A7C571">
      <w:pPr>
        <w:tabs>
          <w:tab w:val="left" w:pos="980"/>
        </w:tabs>
        <w:kinsoku w:val="0"/>
        <w:snapToGrid w:val="0"/>
        <w:spacing w:line="360" w:lineRule="auto"/>
        <w:ind w:firstLine="400" w:firstLineChars="200"/>
        <w:rPr>
          <w:rFonts w:hint="eastAsia" w:ascii="仿宋" w:hAnsi="仿宋" w:eastAsia="仿宋" w:cs="仿宋"/>
          <w:sz w:val="20"/>
          <w:szCs w:val="20"/>
        </w:rPr>
      </w:pPr>
    </w:p>
    <w:p w14:paraId="774E3925">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采购人：   （盖章）                供应商：   （盖章）    </w:t>
      </w:r>
    </w:p>
    <w:p w14:paraId="0EF32A05">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地址：                             地址：                       </w:t>
      </w:r>
    </w:p>
    <w:p w14:paraId="219FB2BF">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邮政编码：                         邮政编码：                  </w:t>
      </w:r>
    </w:p>
    <w:p w14:paraId="06991452">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法定代表人或其授权                 法定代表人或其授权</w:t>
      </w:r>
    </w:p>
    <w:p w14:paraId="39AD337B">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的代理人：（签字）                 的代理人：（签字）          </w:t>
      </w:r>
    </w:p>
    <w:p w14:paraId="449CB72C">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开户银行：                         开户银行：                  </w:t>
      </w:r>
    </w:p>
    <w:p w14:paraId="4B2BE362">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账号：                             账号：                       </w:t>
      </w:r>
    </w:p>
    <w:p w14:paraId="6DBEFC9E">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电话：                             电话：                       </w:t>
      </w:r>
    </w:p>
    <w:p w14:paraId="52EE2751">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传真：                             传真：                       </w:t>
      </w:r>
    </w:p>
    <w:p w14:paraId="15673A40">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电子邮箱：                         电子邮箱：                  </w:t>
      </w:r>
    </w:p>
    <w:p w14:paraId="34326B56">
      <w:pPr>
        <w:tabs>
          <w:tab w:val="left" w:pos="980"/>
        </w:tabs>
        <w:kinsoku w:val="0"/>
        <w:snapToGrid w:val="0"/>
        <w:spacing w:line="360" w:lineRule="auto"/>
        <w:ind w:firstLine="400" w:firstLineChars="200"/>
        <w:rPr>
          <w:rFonts w:hint="eastAsia" w:ascii="仿宋" w:hAnsi="仿宋" w:eastAsia="仿宋" w:cs="仿宋"/>
          <w:sz w:val="20"/>
          <w:szCs w:val="20"/>
        </w:rPr>
      </w:pPr>
    </w:p>
    <w:p w14:paraId="0D4CA407">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鉴证方：   （盖章）            </w:t>
      </w:r>
    </w:p>
    <w:p w14:paraId="503D5597">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地 址：                        </w:t>
      </w:r>
    </w:p>
    <w:p w14:paraId="5C0972C5">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邮政编码：                              </w:t>
      </w:r>
    </w:p>
    <w:p w14:paraId="7184E580">
      <w:pPr>
        <w:snapToGrid w:val="0"/>
        <w:spacing w:line="360" w:lineRule="auto"/>
        <w:ind w:firstLine="400" w:firstLineChars="200"/>
        <w:rPr>
          <w:rFonts w:hint="eastAsia" w:ascii="仿宋" w:hAnsi="仿宋" w:eastAsia="仿宋" w:cs="仿宋"/>
          <w:sz w:val="24"/>
        </w:rPr>
      </w:pPr>
      <w:r>
        <w:rPr>
          <w:rFonts w:hint="eastAsia" w:ascii="仿宋" w:hAnsi="仿宋" w:eastAsia="仿宋" w:cs="仿宋"/>
          <w:sz w:val="20"/>
          <w:szCs w:val="20"/>
        </w:rPr>
        <w:t xml:space="preserve">电话：  </w:t>
      </w:r>
      <w:r>
        <w:rPr>
          <w:rFonts w:hint="eastAsia" w:ascii="仿宋" w:hAnsi="仿宋" w:eastAsia="仿宋" w:cs="仿宋"/>
          <w:sz w:val="24"/>
        </w:rPr>
        <w:t xml:space="preserve">   </w:t>
      </w:r>
    </w:p>
    <w:p w14:paraId="12655BF6">
      <w:pPr>
        <w:pStyle w:val="44"/>
        <w:rPr>
          <w:rFonts w:ascii="仿宋" w:hAnsi="仿宋" w:eastAsia="仿宋" w:cs="仿宋"/>
          <w:sz w:val="24"/>
          <w:szCs w:val="24"/>
        </w:rPr>
      </w:pPr>
    </w:p>
    <w:p w14:paraId="11CDBE53">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D4591F"/>
    <w:multiLevelType w:val="singleLevel"/>
    <w:tmpl w:val="57D4591F"/>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A0C"/>
    <w:rsid w:val="003F1342"/>
    <w:rsid w:val="003F77B3"/>
    <w:rsid w:val="006D3E04"/>
    <w:rsid w:val="00890EF3"/>
    <w:rsid w:val="00AC7A0C"/>
    <w:rsid w:val="02DC3F04"/>
    <w:rsid w:val="379A16BD"/>
    <w:rsid w:val="5052092F"/>
    <w:rsid w:val="58A61E60"/>
    <w:rsid w:val="5D497478"/>
    <w:rsid w:val="63421168"/>
    <w:rsid w:val="65314B5F"/>
    <w:rsid w:val="6667518D"/>
    <w:rsid w:val="79FE105C"/>
    <w:rsid w:val="7CDB5E82"/>
    <w:rsid w:val="7F84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3">
    <w:name w:val="heading 1"/>
    <w:basedOn w:val="1"/>
    <w:next w:val="1"/>
    <w:link w:val="21"/>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4">
    <w:name w:val="heading 2"/>
    <w:basedOn w:val="1"/>
    <w:next w:val="1"/>
    <w:link w:val="22"/>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5">
    <w:name w:val="heading 3"/>
    <w:basedOn w:val="1"/>
    <w:next w:val="1"/>
    <w:link w:val="23"/>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6">
    <w:name w:val="heading 4"/>
    <w:basedOn w:val="1"/>
    <w:next w:val="1"/>
    <w:link w:val="24"/>
    <w:semiHidden/>
    <w:unhideWhenUsed/>
    <w:qFormat/>
    <w:uiPriority w:val="9"/>
    <w:pPr>
      <w:keepNext/>
      <w:keepLines/>
      <w:spacing w:before="80" w:after="40" w:line="278" w:lineRule="auto"/>
      <w:jc w:val="left"/>
      <w:outlineLvl w:val="3"/>
    </w:pPr>
    <w:rPr>
      <w:rFonts w:cstheme="majorBidi"/>
      <w:color w:val="2F5597" w:themeColor="accent1" w:themeShade="BF"/>
      <w:sz w:val="28"/>
      <w:szCs w:val="28"/>
      <w14:ligatures w14:val="standardContextual"/>
    </w:rPr>
  </w:style>
  <w:style w:type="paragraph" w:styleId="7">
    <w:name w:val="heading 5"/>
    <w:basedOn w:val="1"/>
    <w:next w:val="1"/>
    <w:link w:val="25"/>
    <w:semiHidden/>
    <w:unhideWhenUsed/>
    <w:qFormat/>
    <w:uiPriority w:val="9"/>
    <w:pPr>
      <w:keepNext/>
      <w:keepLines/>
      <w:spacing w:before="80" w:after="40" w:line="278" w:lineRule="auto"/>
      <w:jc w:val="left"/>
      <w:outlineLvl w:val="4"/>
    </w:pPr>
    <w:rPr>
      <w:rFonts w:cstheme="majorBidi"/>
      <w:color w:val="2F5597" w:themeColor="accent1" w:themeShade="BF"/>
      <w:sz w:val="24"/>
      <w14:ligatures w14:val="standardContextual"/>
    </w:rPr>
  </w:style>
  <w:style w:type="paragraph" w:styleId="8">
    <w:name w:val="heading 6"/>
    <w:basedOn w:val="1"/>
    <w:next w:val="1"/>
    <w:link w:val="26"/>
    <w:semiHidden/>
    <w:unhideWhenUsed/>
    <w:qFormat/>
    <w:uiPriority w:val="9"/>
    <w:pPr>
      <w:keepNext/>
      <w:keepLines/>
      <w:spacing w:before="40" w:line="278" w:lineRule="auto"/>
      <w:jc w:val="left"/>
      <w:outlineLvl w:val="5"/>
    </w:pPr>
    <w:rPr>
      <w:rFonts w:cstheme="majorBidi"/>
      <w:b/>
      <w:bCs/>
      <w:color w:val="2F5597" w:themeColor="accent1" w:themeShade="BF"/>
      <w:sz w:val="22"/>
      <w14:ligatures w14:val="standardContextual"/>
    </w:rPr>
  </w:style>
  <w:style w:type="paragraph" w:styleId="9">
    <w:name w:val="heading 7"/>
    <w:basedOn w:val="1"/>
    <w:next w:val="1"/>
    <w:link w:val="27"/>
    <w:semiHidden/>
    <w:unhideWhenUsed/>
    <w:qFormat/>
    <w:uiPriority w:val="9"/>
    <w:pPr>
      <w:keepNext/>
      <w:keepLines/>
      <w:spacing w:before="40" w:line="278" w:lineRule="auto"/>
      <w:jc w:val="left"/>
      <w:outlineLvl w:val="6"/>
    </w:pPr>
    <w:rPr>
      <w:rFonts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8"/>
    <w:basedOn w:val="1"/>
    <w:next w:val="1"/>
    <w:link w:val="28"/>
    <w:semiHidden/>
    <w:unhideWhenUsed/>
    <w:qFormat/>
    <w:uiPriority w:val="9"/>
    <w:pPr>
      <w:keepNext/>
      <w:keepLines/>
      <w:spacing w:line="278" w:lineRule="auto"/>
      <w:jc w:val="left"/>
      <w:outlineLvl w:val="7"/>
    </w:pPr>
    <w:rPr>
      <w:rFonts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1">
    <w:name w:val="heading 9"/>
    <w:basedOn w:val="1"/>
    <w:next w:val="1"/>
    <w:link w:val="29"/>
    <w:semiHidden/>
    <w:unhideWhenUsed/>
    <w:qFormat/>
    <w:uiPriority w:val="9"/>
    <w:pPr>
      <w:keepNext/>
      <w:keepLines/>
      <w:spacing w:line="278" w:lineRule="auto"/>
      <w:jc w:val="left"/>
      <w:outlineLvl w:val="8"/>
    </w:pPr>
    <w:rPr>
      <w:rFonts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20">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paragraph" w:styleId="12">
    <w:name w:val="Body Text"/>
    <w:basedOn w:val="1"/>
    <w:next w:val="1"/>
    <w:link w:val="41"/>
    <w:qFormat/>
    <w:uiPriority w:val="0"/>
    <w:pPr>
      <w:spacing w:after="120"/>
    </w:pPr>
    <w:rPr>
      <w:rFonts w:ascii="Times New Roman"/>
    </w:rPr>
  </w:style>
  <w:style w:type="paragraph" w:styleId="13">
    <w:name w:val="Plain Text"/>
    <w:basedOn w:val="1"/>
    <w:link w:val="42"/>
    <w:qFormat/>
    <w:uiPriority w:val="0"/>
    <w:rPr>
      <w:rFonts w:hAnsi="Courier New"/>
    </w:rPr>
  </w:style>
  <w:style w:type="paragraph" w:styleId="14">
    <w:name w:val="Body Text Indent 2"/>
    <w:basedOn w:val="1"/>
    <w:link w:val="43"/>
    <w:qFormat/>
    <w:uiPriority w:val="99"/>
    <w:pPr>
      <w:tabs>
        <w:tab w:val="left" w:pos="5625"/>
      </w:tabs>
      <w:ind w:left="1138" w:leftChars="542"/>
    </w:pPr>
    <w:rPr>
      <w:rFonts w:ascii="Times New Roman"/>
    </w:rPr>
  </w:style>
  <w:style w:type="paragraph" w:styleId="15">
    <w:name w:val="footer"/>
    <w:basedOn w:val="1"/>
    <w:link w:val="40"/>
    <w:unhideWhenUsed/>
    <w:qFormat/>
    <w:uiPriority w:val="99"/>
    <w:pPr>
      <w:tabs>
        <w:tab w:val="center" w:pos="4153"/>
        <w:tab w:val="right" w:pos="8306"/>
      </w:tabs>
      <w:snapToGrid w:val="0"/>
      <w:spacing w:after="160"/>
      <w:jc w:val="left"/>
    </w:pPr>
    <w:rPr>
      <w:sz w:val="18"/>
      <w:szCs w:val="18"/>
      <w14:ligatures w14:val="standardContextual"/>
    </w:rPr>
  </w:style>
  <w:style w:type="paragraph" w:styleId="16">
    <w:name w:val="header"/>
    <w:basedOn w:val="1"/>
    <w:link w:val="39"/>
    <w:unhideWhenUsed/>
    <w:qFormat/>
    <w:uiPriority w:val="99"/>
    <w:pPr>
      <w:tabs>
        <w:tab w:val="center" w:pos="4153"/>
        <w:tab w:val="right" w:pos="8306"/>
      </w:tabs>
      <w:snapToGrid w:val="0"/>
      <w:spacing w:after="160"/>
      <w:jc w:val="center"/>
    </w:pPr>
    <w:rPr>
      <w:sz w:val="18"/>
      <w:szCs w:val="18"/>
      <w14:ligatures w14:val="standardContextual"/>
    </w:rPr>
  </w:style>
  <w:style w:type="paragraph" w:styleId="17">
    <w:name w:val="Subtitle"/>
    <w:basedOn w:val="1"/>
    <w:next w:val="1"/>
    <w:link w:val="31"/>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21">
    <w:name w:val="标题 1 字符"/>
    <w:basedOn w:val="20"/>
    <w:link w:val="3"/>
    <w:uiPriority w:val="9"/>
    <w:rPr>
      <w:rFonts w:asciiTheme="majorHAnsi" w:hAnsiTheme="majorHAnsi" w:eastAsiaTheme="majorEastAsia" w:cstheme="majorBidi"/>
      <w:color w:val="2F5597" w:themeColor="accent1" w:themeShade="BF"/>
      <w:sz w:val="48"/>
      <w:szCs w:val="48"/>
    </w:rPr>
  </w:style>
  <w:style w:type="character" w:customStyle="1" w:styleId="22">
    <w:name w:val="标题 2 字符"/>
    <w:basedOn w:val="20"/>
    <w:link w:val="4"/>
    <w:semiHidden/>
    <w:uiPriority w:val="9"/>
    <w:rPr>
      <w:rFonts w:asciiTheme="majorHAnsi" w:hAnsiTheme="majorHAnsi" w:eastAsiaTheme="majorEastAsia" w:cstheme="majorBidi"/>
      <w:color w:val="2F5597" w:themeColor="accent1" w:themeShade="BF"/>
      <w:sz w:val="40"/>
      <w:szCs w:val="40"/>
    </w:rPr>
  </w:style>
  <w:style w:type="character" w:customStyle="1" w:styleId="23">
    <w:name w:val="标题 3 字符"/>
    <w:basedOn w:val="20"/>
    <w:link w:val="5"/>
    <w:semiHidden/>
    <w:uiPriority w:val="9"/>
    <w:rPr>
      <w:rFonts w:asciiTheme="majorHAnsi" w:hAnsiTheme="majorHAnsi" w:eastAsiaTheme="majorEastAsia" w:cstheme="majorBidi"/>
      <w:color w:val="2F5597" w:themeColor="accent1" w:themeShade="BF"/>
      <w:sz w:val="32"/>
      <w:szCs w:val="32"/>
    </w:rPr>
  </w:style>
  <w:style w:type="character" w:customStyle="1" w:styleId="24">
    <w:name w:val="标题 4 字符"/>
    <w:basedOn w:val="20"/>
    <w:link w:val="6"/>
    <w:semiHidden/>
    <w:qFormat/>
    <w:uiPriority w:val="9"/>
    <w:rPr>
      <w:rFonts w:cstheme="majorBidi"/>
      <w:color w:val="2F5597" w:themeColor="accent1" w:themeShade="BF"/>
      <w:sz w:val="28"/>
      <w:szCs w:val="28"/>
    </w:rPr>
  </w:style>
  <w:style w:type="character" w:customStyle="1" w:styleId="25">
    <w:name w:val="标题 5 字符"/>
    <w:basedOn w:val="20"/>
    <w:link w:val="7"/>
    <w:semiHidden/>
    <w:uiPriority w:val="9"/>
    <w:rPr>
      <w:rFonts w:cstheme="majorBidi"/>
      <w:color w:val="2F5597" w:themeColor="accent1" w:themeShade="BF"/>
      <w:sz w:val="24"/>
    </w:rPr>
  </w:style>
  <w:style w:type="character" w:customStyle="1" w:styleId="26">
    <w:name w:val="标题 6 字符"/>
    <w:basedOn w:val="20"/>
    <w:link w:val="8"/>
    <w:semiHidden/>
    <w:qFormat/>
    <w:uiPriority w:val="9"/>
    <w:rPr>
      <w:rFonts w:cstheme="majorBidi"/>
      <w:b/>
      <w:bCs/>
      <w:color w:val="2F5597" w:themeColor="accent1" w:themeShade="BF"/>
    </w:rPr>
  </w:style>
  <w:style w:type="character" w:customStyle="1" w:styleId="27">
    <w:name w:val="标题 7 字符"/>
    <w:basedOn w:val="20"/>
    <w:link w:val="9"/>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20"/>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20"/>
    <w:link w:val="11"/>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20"/>
    <w:link w:val="2"/>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20"/>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line="278" w:lineRule="auto"/>
      <w:jc w:val="center"/>
    </w:pPr>
    <w:rPr>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3">
    <w:name w:val="引用 字符"/>
    <w:basedOn w:val="20"/>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spacing w:after="160" w:line="278" w:lineRule="auto"/>
      <w:ind w:left="720"/>
      <w:contextualSpacing/>
      <w:jc w:val="left"/>
    </w:pPr>
    <w:rPr>
      <w:sz w:val="22"/>
      <w14:ligatures w14:val="standardContextual"/>
    </w:rPr>
  </w:style>
  <w:style w:type="character" w:customStyle="1" w:styleId="35">
    <w:name w:val="Intense Emphasis"/>
    <w:basedOn w:val="20"/>
    <w:qFormat/>
    <w:uiPriority w:val="21"/>
    <w:rPr>
      <w:i/>
      <w:iCs/>
      <w:color w:val="2F5597" w:themeColor="accent1" w:themeShade="BF"/>
    </w:rPr>
  </w:style>
  <w:style w:type="paragraph" w:styleId="36">
    <w:name w:val="Intense Quote"/>
    <w:basedOn w:val="1"/>
    <w:next w:val="1"/>
    <w:link w:val="37"/>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i/>
      <w:iCs/>
      <w:color w:val="2F5597" w:themeColor="accent1" w:themeShade="BF"/>
      <w:sz w:val="22"/>
      <w14:ligatures w14:val="standardContextual"/>
    </w:rPr>
  </w:style>
  <w:style w:type="character" w:customStyle="1" w:styleId="37">
    <w:name w:val="明显引用 字符"/>
    <w:basedOn w:val="20"/>
    <w:link w:val="36"/>
    <w:qFormat/>
    <w:uiPriority w:val="30"/>
    <w:rPr>
      <w:i/>
      <w:iCs/>
      <w:color w:val="2F5597" w:themeColor="accent1" w:themeShade="BF"/>
    </w:rPr>
  </w:style>
  <w:style w:type="character" w:customStyle="1" w:styleId="38">
    <w:name w:val="Intense Reference"/>
    <w:basedOn w:val="20"/>
    <w:qFormat/>
    <w:uiPriority w:val="32"/>
    <w:rPr>
      <w:b/>
      <w:bCs/>
      <w:smallCaps/>
      <w:color w:val="2F5597" w:themeColor="accent1" w:themeShade="BF"/>
      <w:spacing w:val="5"/>
    </w:rPr>
  </w:style>
  <w:style w:type="character" w:customStyle="1" w:styleId="39">
    <w:name w:val="页眉 字符"/>
    <w:basedOn w:val="20"/>
    <w:link w:val="16"/>
    <w:qFormat/>
    <w:uiPriority w:val="99"/>
    <w:rPr>
      <w:sz w:val="18"/>
      <w:szCs w:val="18"/>
    </w:rPr>
  </w:style>
  <w:style w:type="character" w:customStyle="1" w:styleId="40">
    <w:name w:val="页脚 字符"/>
    <w:basedOn w:val="20"/>
    <w:link w:val="15"/>
    <w:qFormat/>
    <w:uiPriority w:val="99"/>
    <w:rPr>
      <w:sz w:val="18"/>
      <w:szCs w:val="18"/>
    </w:rPr>
  </w:style>
  <w:style w:type="character" w:customStyle="1" w:styleId="41">
    <w:name w:val="正文文本 字符"/>
    <w:basedOn w:val="20"/>
    <w:link w:val="12"/>
    <w:qFormat/>
    <w:uiPriority w:val="0"/>
    <w:rPr>
      <w:rFonts w:ascii="Times New Roman"/>
      <w:sz w:val="21"/>
      <w14:ligatures w14:val="none"/>
    </w:rPr>
  </w:style>
  <w:style w:type="character" w:customStyle="1" w:styleId="42">
    <w:name w:val="纯文本 字符"/>
    <w:basedOn w:val="20"/>
    <w:link w:val="13"/>
    <w:qFormat/>
    <w:uiPriority w:val="0"/>
    <w:rPr>
      <w:rFonts w:hAnsi="Courier New"/>
      <w:sz w:val="21"/>
      <w14:ligatures w14:val="none"/>
    </w:rPr>
  </w:style>
  <w:style w:type="character" w:customStyle="1" w:styleId="43">
    <w:name w:val="正文文本缩进 2 字符"/>
    <w:basedOn w:val="20"/>
    <w:link w:val="14"/>
    <w:qFormat/>
    <w:uiPriority w:val="99"/>
    <w:rPr>
      <w:rFonts w:ascii="Times New Roman"/>
      <w:sz w:val="21"/>
      <w14:ligatures w14:val="none"/>
    </w:rPr>
  </w:style>
  <w:style w:type="paragraph" w:customStyle="1" w:styleId="44">
    <w:name w:val="null3"/>
    <w:hidden/>
    <w:qFormat/>
    <w:uiPriority w:val="0"/>
    <w:pPr>
      <w:spacing w:after="0" w:line="240" w:lineRule="auto"/>
    </w:pPr>
    <w:rPr>
      <w:rFonts w:hint="eastAsia" w:asciiTheme="minorHAnsi" w:hAnsiTheme="minorHAnsi" w:eastAsiaTheme="minorEastAsia" w:cstheme="minorBidi"/>
      <w:kern w:val="0"/>
      <w:sz w:val="20"/>
      <w:szCs w:val="20"/>
      <w:lang w:val="en-US" w:eastAsia="zh-Hans" w:bidi="ar-SA"/>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3369</Words>
  <Characters>3440</Characters>
  <Lines>74</Lines>
  <Paragraphs>166</Paragraphs>
  <TotalTime>24</TotalTime>
  <ScaleCrop>false</ScaleCrop>
  <LinksUpToDate>false</LinksUpToDate>
  <CharactersWithSpaces>4245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2025-09-16T09:49:00Z</dcterms:created>
  <dc:creator>Payne Woo</dc:creator>
  <cp:lastModifiedBy>余白</cp:lastModifiedBy>
  <dcterms:modified xsi:type="dcterms:W3CDTF">2026-05-18T09:31:46Z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E8FEDF4178CC4603A2668FCDCCFBD306_13</vt:lpwstr>
  </property>
  <property fmtid="{D5CDD505-2E9C-101B-9397-08002B2CF9AE}" pid="4" name="KSOTemplateDocerSaveRecord">
    <vt:lpwstr>eyJoZGlkIjoiNjRmMzhiZjkzZWI0YTdkODBlZGI5MzIzMDQ4ZDFmYmMiLCJ1c2VySWQiOiIzNzYxMDc1OTkifQ==</vt:lpwstr>
  </property>
</Properties>
</file>