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版本号：ZJS-2026-01220260621002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西乡县骆家坝镇2026年度西乡县骆家坝镇松树村集体经济组织茶叶加工设备购置项目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ZJS-2026-012</w:t>
      </w:r>
      <w:r>
        <w:br/>
      </w:r>
      <w:r>
        <w:br/>
      </w:r>
      <w:r>
        <w:br/>
      </w:r>
    </w:p>
    <w:p>
      <w:pPr>
        <w:pStyle w:val="null3"/>
        <w:jc w:val="center"/>
        <w:outlineLvl w:val="2"/>
      </w:pPr>
      <w:r>
        <w:rPr>
          <w:rFonts w:ascii="仿宋_GB2312" w:hAnsi="仿宋_GB2312" w:cs="仿宋_GB2312" w:eastAsia="仿宋_GB2312"/>
          <w:sz w:val="28"/>
          <w:b/>
        </w:rPr>
        <w:t>西乡县骆家坝镇人民政府</w:t>
      </w:r>
    </w:p>
    <w:p>
      <w:pPr>
        <w:pStyle w:val="null3"/>
        <w:jc w:val="center"/>
        <w:outlineLvl w:val="2"/>
      </w:pPr>
      <w:r>
        <w:rPr>
          <w:rFonts w:ascii="仿宋_GB2312" w:hAnsi="仿宋_GB2312" w:cs="仿宋_GB2312" w:eastAsia="仿宋_GB2312"/>
          <w:sz w:val="28"/>
          <w:b/>
        </w:rPr>
        <w:t>中戟盛项目管理有限公司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中戟盛项目管理有限公司</w:t>
      </w:r>
      <w:r>
        <w:rPr>
          <w:rFonts w:ascii="仿宋_GB2312" w:hAnsi="仿宋_GB2312" w:cs="仿宋_GB2312" w:eastAsia="仿宋_GB2312"/>
        </w:rPr>
        <w:t>（以下简称“代理机构”）受</w:t>
      </w:r>
      <w:r>
        <w:rPr>
          <w:rFonts w:ascii="仿宋_GB2312" w:hAnsi="仿宋_GB2312" w:cs="仿宋_GB2312" w:eastAsia="仿宋_GB2312"/>
        </w:rPr>
        <w:t>西乡县骆家坝镇人民政府</w:t>
      </w:r>
      <w:r>
        <w:rPr>
          <w:rFonts w:ascii="仿宋_GB2312" w:hAnsi="仿宋_GB2312" w:cs="仿宋_GB2312" w:eastAsia="仿宋_GB2312"/>
        </w:rPr>
        <w:t>委托，拟对</w:t>
      </w:r>
      <w:r>
        <w:rPr>
          <w:rFonts w:ascii="仿宋_GB2312" w:hAnsi="仿宋_GB2312" w:cs="仿宋_GB2312" w:eastAsia="仿宋_GB2312"/>
        </w:rPr>
        <w:t>西乡县骆家坝镇2026年度西乡县骆家坝镇松树村集体经济组织茶叶加工设备购置项目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ZJS-2026-012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西乡县骆家坝镇2026年度西乡县骆家坝镇松树村集体经济组织茶叶加工设备购置项目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西乡县骆家坝镇松树村集体经济组织茶叶加工设备购置一批，详见磋商文件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采购包1（西乡县骆家坝镇2026年度西乡县骆家坝镇松树村集体经济组织茶叶加工设备购置项目）：属于专门面向中小企业采购。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5、非联合体投标声明：本项目不接受联合体投标，供应商需提供非联合体书面声明。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西乡县骆家坝镇人民政府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西乡县骆家坝镇骆镇新街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谯先生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13892693500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中戟盛项目管理有限公司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西乡县城南街道办西牟路永昌木门对面三楼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0916-6476411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开户名称：中戟盛项目管理有限公司</w:t>
            </w:r>
          </w:p>
          <w:p>
            <w:pPr>
              <w:pStyle w:val="null3"/>
            </w:pPr>
            <w:r>
              <w:rPr>
                <w:rFonts w:ascii="仿宋_GB2312" w:hAnsi="仿宋_GB2312" w:cs="仿宋_GB2312" w:eastAsia="仿宋_GB2312"/>
              </w:rPr>
              <w:t>开户银行：中国工商银行股份有限公司西安徐家湾支行</w:t>
            </w:r>
          </w:p>
          <w:p>
            <w:pPr>
              <w:pStyle w:val="null3"/>
            </w:pPr>
            <w:r>
              <w:rPr>
                <w:rFonts w:ascii="仿宋_GB2312" w:hAnsi="仿宋_GB2312" w:cs="仿宋_GB2312" w:eastAsia="仿宋_GB2312"/>
              </w:rPr>
              <w:t>银行账号：3700022609200245577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西乡县骆家坝镇人民政府</w:t>
      </w:r>
      <w:r>
        <w:rPr>
          <w:rFonts w:ascii="仿宋_GB2312" w:hAnsi="仿宋_GB2312" w:cs="仿宋_GB2312" w:eastAsia="仿宋_GB2312"/>
        </w:rPr>
        <w:t>和</w:t>
      </w:r>
      <w:r>
        <w:rPr>
          <w:rFonts w:ascii="仿宋_GB2312" w:hAnsi="仿宋_GB2312" w:cs="仿宋_GB2312" w:eastAsia="仿宋_GB2312"/>
        </w:rPr>
        <w:t>中戟盛项目管理有限公司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西乡县骆家坝镇人民政府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中戟盛项目管理有限公司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西乡县骆家坝镇人民政府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中戟盛项目管理有限公司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质量符合国家现行行业合格标准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联系电话：18292666395</w:t>
      </w:r>
    </w:p>
    <w:p>
      <w:pPr>
        <w:pStyle w:val="null3"/>
      </w:pPr>
      <w:r>
        <w:rPr>
          <w:rFonts w:ascii="仿宋_GB2312" w:hAnsi="仿宋_GB2312" w:cs="仿宋_GB2312" w:eastAsia="仿宋_GB2312"/>
        </w:rPr>
        <w:t>地址：西乡县城南街道办西牟路永昌木门对面三楼</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西乡县骆家坝镇松树村集体经济组织茶叶加工设备购置一批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267,000.00</w:t>
      </w:r>
    </w:p>
    <w:p>
      <w:pPr>
        <w:pStyle w:val="null3"/>
      </w:pPr>
      <w:r>
        <w:rPr>
          <w:rFonts w:ascii="仿宋_GB2312" w:hAnsi="仿宋_GB2312" w:cs="仿宋_GB2312" w:eastAsia="仿宋_GB2312"/>
        </w:rPr>
        <w:t>采购包最高限价（元）: 267,000.00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2026年度西乡县骆家坝镇松树村集体经济组织茶叶加工设备购置项目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267,000.00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标的名称：2026年度西乡县骆家坝镇松树村集体经济组织茶叶加工设备购置项目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热风组合杀青机：1套</w:t>
            </w:r>
            <w:r>
              <w:br/>
            </w:r>
            <w:r>
              <w:rPr>
                <w:rFonts w:ascii="仿宋_GB2312" w:hAnsi="仿宋_GB2312" w:cs="仿宋_GB2312" w:eastAsia="仿宋_GB2312"/>
              </w:rPr>
              <w:t xml:space="preserve"> 茶叶输送机</w:t>
            </w:r>
            <w:r>
              <w:br/>
            </w:r>
            <w:r>
              <w:rPr>
                <w:rFonts w:ascii="仿宋_GB2312" w:hAnsi="仿宋_GB2312" w:cs="仿宋_GB2312" w:eastAsia="仿宋_GB2312"/>
              </w:rPr>
              <w:t xml:space="preserve"> 1.输送能力：≥500 kg/h；</w:t>
            </w:r>
            <w:r>
              <w:br/>
            </w:r>
            <w:r>
              <w:rPr>
                <w:rFonts w:ascii="仿宋_GB2312" w:hAnsi="仿宋_GB2312" w:cs="仿宋_GB2312" w:eastAsia="仿宋_GB2312"/>
              </w:rPr>
              <w:t xml:space="preserve"> 2.输送速度范围：0-0.25（m/s）；</w:t>
            </w:r>
            <w:r>
              <w:br/>
            </w:r>
            <w:r>
              <w:rPr>
                <w:rFonts w:ascii="仿宋_GB2312" w:hAnsi="仿宋_GB2312" w:cs="仿宋_GB2312" w:eastAsia="仿宋_GB2312"/>
              </w:rPr>
              <w:t xml:space="preserve"> 3.输送带宽度：≥640 mm；</w:t>
            </w:r>
            <w:r>
              <w:br/>
            </w:r>
            <w:r>
              <w:rPr>
                <w:rFonts w:ascii="仿宋_GB2312" w:hAnsi="仿宋_GB2312" w:cs="仿宋_GB2312" w:eastAsia="仿宋_GB2312"/>
              </w:rPr>
              <w:t xml:space="preserve"> 4.机架材质：SUS304不锈钢或同等耐腐蚀性能的食品级材料。</w:t>
            </w:r>
            <w:r>
              <w:br/>
            </w:r>
            <w:r>
              <w:rPr>
                <w:rFonts w:ascii="仿宋_GB2312" w:hAnsi="仿宋_GB2312" w:cs="仿宋_GB2312" w:eastAsia="仿宋_GB2312"/>
              </w:rPr>
              <w:t xml:space="preserve"> 5.▲输送带材质：不锈钢或食品级PU或PVC；</w:t>
            </w:r>
            <w:r>
              <w:br/>
            </w:r>
            <w:r>
              <w:rPr>
                <w:rFonts w:ascii="仿宋_GB2312" w:hAnsi="仿宋_GB2312" w:cs="仿宋_GB2312" w:eastAsia="仿宋_GB2312"/>
              </w:rPr>
              <w:t xml:space="preserve"> 6.电机功率：≥1.5kW；</w:t>
            </w:r>
            <w:r>
              <w:br/>
            </w:r>
            <w:r>
              <w:rPr>
                <w:rFonts w:ascii="仿宋_GB2312" w:hAnsi="仿宋_GB2312" w:cs="仿宋_GB2312" w:eastAsia="仿宋_GB2312"/>
              </w:rPr>
              <w:t xml:space="preserve"> 7.倾斜角度：30°-50°可调或固定于该区间内。</w:t>
            </w:r>
            <w:r>
              <w:br/>
            </w:r>
            <w:r>
              <w:rPr>
                <w:rFonts w:ascii="仿宋_GB2312" w:hAnsi="仿宋_GB2312" w:cs="仿宋_GB2312" w:eastAsia="仿宋_GB2312"/>
              </w:rPr>
              <w:t xml:space="preserve"> 茶叶高热风杀青机（滚筒式）</w:t>
            </w:r>
            <w:r>
              <w:br/>
            </w:r>
            <w:r>
              <w:rPr>
                <w:rFonts w:ascii="仿宋_GB2312" w:hAnsi="仿宋_GB2312" w:cs="仿宋_GB2312" w:eastAsia="仿宋_GB2312"/>
              </w:rPr>
              <w:t xml:space="preserve"> 1.碳钢机架，</w:t>
            </w:r>
            <w:r>
              <w:br/>
            </w:r>
            <w:r>
              <w:rPr>
                <w:rFonts w:ascii="仿宋_GB2312" w:hAnsi="仿宋_GB2312" w:cs="仿宋_GB2312" w:eastAsia="仿宋_GB2312"/>
              </w:rPr>
              <w:t xml:space="preserve"> 2.不锈钢滚筒；</w:t>
            </w:r>
            <w:r>
              <w:br/>
            </w:r>
            <w:r>
              <w:rPr>
                <w:rFonts w:ascii="仿宋_GB2312" w:hAnsi="仿宋_GB2312" w:cs="仿宋_GB2312" w:eastAsia="仿宋_GB2312"/>
              </w:rPr>
              <w:t xml:space="preserve"> 3.▲滚筒直径：≥110cm</w:t>
            </w:r>
            <w:r>
              <w:br/>
            </w:r>
            <w:r>
              <w:rPr>
                <w:rFonts w:ascii="仿宋_GB2312" w:hAnsi="仿宋_GB2312" w:cs="仿宋_GB2312" w:eastAsia="仿宋_GB2312"/>
              </w:rPr>
              <w:t xml:space="preserve"> 4.台时产量：≥500kg/h</w:t>
            </w:r>
            <w:r>
              <w:br/>
            </w:r>
            <w:r>
              <w:rPr>
                <w:rFonts w:ascii="仿宋_GB2312" w:hAnsi="仿宋_GB2312" w:cs="仿宋_GB2312" w:eastAsia="仿宋_GB2312"/>
              </w:rPr>
              <w:t xml:space="preserve"> 5.配套功率：≥5.2kW</w:t>
            </w:r>
            <w:r>
              <w:br/>
            </w:r>
            <w:r>
              <w:rPr>
                <w:rFonts w:ascii="仿宋_GB2312" w:hAnsi="仿宋_GB2312" w:cs="仿宋_GB2312" w:eastAsia="仿宋_GB2312"/>
              </w:rPr>
              <w:t xml:space="preserve"> 6.滚筒长度：≥540cm</w:t>
            </w:r>
            <w:r>
              <w:br/>
            </w:r>
            <w:r>
              <w:rPr>
                <w:rFonts w:ascii="仿宋_GB2312" w:hAnsi="仿宋_GB2312" w:cs="仿宋_GB2312" w:eastAsia="仿宋_GB2312"/>
              </w:rPr>
              <w:t xml:space="preserve"> 7.控温精度：设定值±5℃</w:t>
            </w:r>
            <w:r>
              <w:br/>
            </w:r>
            <w:r>
              <w:rPr>
                <w:rFonts w:ascii="仿宋_GB2312" w:hAnsi="仿宋_GB2312" w:cs="仿宋_GB2312" w:eastAsia="仿宋_GB2312"/>
              </w:rPr>
              <w:t xml:space="preserve"> 冷却输送机</w:t>
            </w:r>
            <w:r>
              <w:br/>
            </w:r>
            <w:r>
              <w:rPr>
                <w:rFonts w:ascii="仿宋_GB2312" w:hAnsi="仿宋_GB2312" w:cs="仿宋_GB2312" w:eastAsia="仿宋_GB2312"/>
              </w:rPr>
              <w:t xml:space="preserve"> 1.链条链板式，碳钢机架；</w:t>
            </w:r>
            <w:r>
              <w:br/>
            </w:r>
            <w:r>
              <w:rPr>
                <w:rFonts w:ascii="仿宋_GB2312" w:hAnsi="仿宋_GB2312" w:cs="仿宋_GB2312" w:eastAsia="仿宋_GB2312"/>
              </w:rPr>
              <w:t xml:space="preserve"> 2.配套功率：≥1.5kW；</w:t>
            </w:r>
            <w:r>
              <w:br/>
            </w:r>
            <w:r>
              <w:rPr>
                <w:rFonts w:ascii="仿宋_GB2312" w:hAnsi="仿宋_GB2312" w:cs="仿宋_GB2312" w:eastAsia="仿宋_GB2312"/>
              </w:rPr>
              <w:t xml:space="preserve"> 3.输送能力：≥500kg/h；</w:t>
            </w:r>
            <w:r>
              <w:br/>
            </w:r>
            <w:r>
              <w:rPr>
                <w:rFonts w:ascii="仿宋_GB2312" w:hAnsi="仿宋_GB2312" w:cs="仿宋_GB2312" w:eastAsia="仿宋_GB2312"/>
              </w:rPr>
              <w:t xml:space="preserve"> 4.输送带宽度：≥600 mm；</w:t>
            </w:r>
            <w:r>
              <w:br/>
            </w:r>
            <w:r>
              <w:rPr>
                <w:rFonts w:ascii="仿宋_GB2312" w:hAnsi="仿宋_GB2312" w:cs="仿宋_GB2312" w:eastAsia="仿宋_GB2312"/>
              </w:rPr>
              <w:t xml:space="preserve"> 5.▲输送带材质为不锈钢材质；</w:t>
            </w:r>
            <w:r>
              <w:br/>
            </w:r>
            <w:r>
              <w:rPr>
                <w:rFonts w:ascii="仿宋_GB2312" w:hAnsi="仿宋_GB2312" w:cs="仿宋_GB2312" w:eastAsia="仿宋_GB2312"/>
              </w:rPr>
              <w:t xml:space="preserve"> 6.输送速度范围：0-0.25(m/s);</w:t>
            </w:r>
            <w:r>
              <w:br/>
            </w:r>
            <w:r>
              <w:rPr>
                <w:rFonts w:ascii="仿宋_GB2312" w:hAnsi="仿宋_GB2312" w:cs="仿宋_GB2312" w:eastAsia="仿宋_GB2312"/>
              </w:rPr>
              <w:t xml:space="preserve"> 7.冷却方式： 轴流风机强制冷却，风机数量≥4台，单台功率≥0.25kW。</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揉捻机：2台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．材质：铸铁机架，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．不锈钢揉桶、不锈钢揉盘；</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．★揉桶直径：≥</w:t>
            </w:r>
            <w:r>
              <w:rPr>
                <w:rFonts w:ascii="仿宋_GB2312" w:hAnsi="仿宋_GB2312" w:cs="仿宋_GB2312" w:eastAsia="仿宋_GB2312"/>
                <w:sz w:val="21"/>
              </w:rPr>
              <w:t>650mm</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★配套功率：≥</w:t>
            </w:r>
            <w:r>
              <w:rPr>
                <w:rFonts w:ascii="仿宋_GB2312" w:hAnsi="仿宋_GB2312" w:cs="仿宋_GB2312" w:eastAsia="仿宋_GB2312"/>
                <w:sz w:val="21"/>
              </w:rPr>
              <w:t>4kW</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转速控制：无级变速，转速范围</w:t>
            </w:r>
            <w:r>
              <w:rPr>
                <w:rFonts w:ascii="仿宋_GB2312" w:hAnsi="仿宋_GB2312" w:cs="仿宋_GB2312" w:eastAsia="仿宋_GB2312"/>
                <w:sz w:val="21"/>
              </w:rPr>
              <w:t>40-60 r/min</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茗茶仙毫理条机</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电热式，电源：</w:t>
            </w:r>
            <w:r>
              <w:rPr>
                <w:rFonts w:ascii="仿宋_GB2312" w:hAnsi="仿宋_GB2312" w:cs="仿宋_GB2312" w:eastAsia="仿宋_GB2312"/>
                <w:sz w:val="21"/>
              </w:rPr>
              <w:t>380V/50Hz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不锈钢锅体；</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单槽有效长度：</w:t>
            </w:r>
            <w:r>
              <w:rPr>
                <w:rFonts w:ascii="仿宋_GB2312" w:hAnsi="仿宋_GB2312" w:cs="仿宋_GB2312" w:eastAsia="仿宋_GB2312"/>
                <w:sz w:val="21"/>
              </w:rPr>
              <w:t>≥800mm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槽锅数量：</w:t>
            </w:r>
            <w:r>
              <w:rPr>
                <w:rFonts w:ascii="仿宋_GB2312" w:hAnsi="仿宋_GB2312" w:cs="仿宋_GB2312" w:eastAsia="仿宋_GB2312"/>
                <w:sz w:val="21"/>
              </w:rPr>
              <w:t>≥14</w:t>
            </w:r>
            <w:r>
              <w:rPr>
                <w:rFonts w:ascii="仿宋_GB2312" w:hAnsi="仿宋_GB2312" w:cs="仿宋_GB2312" w:eastAsia="仿宋_GB2312"/>
                <w:sz w:val="21"/>
              </w:rPr>
              <w:t>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理条槽尺寸：</w:t>
            </w:r>
            <w:r>
              <w:rPr>
                <w:rFonts w:ascii="仿宋_GB2312" w:hAnsi="仿宋_GB2312" w:cs="仿宋_GB2312" w:eastAsia="仿宋_GB2312"/>
                <w:sz w:val="21"/>
              </w:rPr>
              <w:t>≥2500x1250x900mm</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温控范围：</w:t>
            </w:r>
            <w:r>
              <w:rPr>
                <w:rFonts w:ascii="仿宋_GB2312" w:hAnsi="仿宋_GB2312" w:cs="仿宋_GB2312" w:eastAsia="仿宋_GB2312"/>
                <w:sz w:val="21"/>
              </w:rPr>
              <w:t>100℃-150℃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整机功率：</w:t>
            </w:r>
            <w:r>
              <w:rPr>
                <w:rFonts w:ascii="仿宋_GB2312" w:hAnsi="仿宋_GB2312" w:cs="仿宋_GB2312" w:eastAsia="仿宋_GB2312"/>
                <w:sz w:val="21"/>
              </w:rPr>
              <w:t>≥24kW</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进度款，支付质量保证金及货物完成安装后，达到付款条件起7个工作日内，支付合同总金额的20.0%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自验收合格起2年，具体按合同约定执行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1、成交供应商需在货物安装完成前提交3%的质量保证金； 2、成交供应商在采购结果发布后3个工作日内向代理机构提交纸质版响应文件以便于存档，响应文件正本1份，副本1份，电子版文件1份(以U盘为载体，PDF格式)。线下递交地点：西乡县城南街道办西牟路永昌木门对面三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技术响应方案.docx 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供应商需截止开标日期提近三年（2023年6月至今）类似业绩：每提供一项得2分，最高得6分（提供类似业绩的中标通知书和合同）；注：资料不全、超出时限、非同类茶叶设备业绩，均不予计分。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合法供货渠道证明</w:t>
            </w:r>
          </w:p>
        </w:tc>
        <w:tc>
          <w:tcPr>
            <w:tcW w:type="dxa" w:w="2492"/>
          </w:tcPr>
          <w:p>
            <w:pPr>
              <w:pStyle w:val="null3"/>
            </w:pPr>
            <w:r>
              <w:rPr>
                <w:rFonts w:ascii="仿宋_GB2312" w:hAnsi="仿宋_GB2312" w:cs="仿宋_GB2312" w:eastAsia="仿宋_GB2312"/>
              </w:rPr>
              <w:t>1.制造商投标：提供自产产品情况说明，每覆盖1台本次采购设备得1.5分，覆盖全部6台设备得满分9分； 2.代理商投标：提供原厂授权书、代理协议、正规销售协议等合法来源文件，每份有效文件得1.5分，最多6份，满分9分； 3.未提供任何渠道证明文件，本项得0分。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产品技术参数响应</w:t>
            </w:r>
          </w:p>
        </w:tc>
        <w:tc>
          <w:tcPr>
            <w:tcW w:type="dxa" w:w="2492"/>
          </w:tcPr>
          <w:p>
            <w:pPr>
              <w:pStyle w:val="null3"/>
            </w:pPr>
            <w:r>
              <w:rPr>
                <w:rFonts w:ascii="仿宋_GB2312" w:hAnsi="仿宋_GB2312" w:cs="仿宋_GB2312" w:eastAsia="仿宋_GB2312"/>
              </w:rPr>
              <w:t>所投产品技术参数和配置完全满足磋商文件要求的，得24分；“★”项参数必须全部满足，否则为无效投标件。带“▲”号为重要指标技术参数，偏离在2项以内（含2项），每项扣2分，偏离超过3项，重要指标技术参数评分得0分；不带符号的为一般技术参数，负偏离一项扣1分，扣完为止。需提供相关证明材料（包括但不限于第三方检测报告或技术白皮书或产品彩页或说明书或官网功能截图等内容），未提供佐证材料视为负偏离。若参数指标有具体要求的按该参数注明要求执行。</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整机免费质保期承诺</w:t>
            </w:r>
          </w:p>
        </w:tc>
        <w:tc>
          <w:tcPr>
            <w:tcW w:type="dxa" w:w="2492"/>
          </w:tcPr>
          <w:p>
            <w:pPr>
              <w:pStyle w:val="null3"/>
            </w:pPr>
            <w:r>
              <w:rPr>
                <w:rFonts w:ascii="仿宋_GB2312" w:hAnsi="仿宋_GB2312" w:cs="仿宋_GB2312" w:eastAsia="仿宋_GB2312"/>
              </w:rPr>
              <w:t>书面承诺整机免费质保满足磋商文件，得2分，承诺每增加一年质保期得1分，本项最多得3分；提供加盖供应商公章的正式质保承诺书，质保范围覆盖整机所有硬件、电控系统及安装调试服务；</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根据项目实际需求，提供完整详细的项目实施方案。内容包含：①项目总进度计划②供货组织安排③运输方案④安装调试方案⑤物力调配及保障措施⑥应急保障方案。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①项目总进度计划：每完全满足一个评审标准得0.5分，满分1.5分； ②供货组织安排:每完全满足一个评审标准得0.5分，满分1.5分； ③运输方案:每完全满足一个评审标准得0.5分，满分1.5分； ④安装调试方案:每完全满足一个评审标准得0.5分，满分1.5分； ⑤物力调配及保障措施：每完全满足一个评审标准得0.5分，满分1.5分； ⑥应急保障方案：每完全满足一个评审标准得0.5分，满分1.5分。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（一）评审内容要求 投标人须结合本项目茶叶加工设备采购实际需求，编制完整售后服务及操作人员培训方案，方案必须涵盖以下两大板块全部内容： 1.售后服务内容及措施：①售后响应时效及服务保障措施（含专职售后服务团队人员配置明细）；②设备故障排查、维修及应急补救措施；③全寿命周期备品备件保障措施（含保修期内、保修期外零配件供应方案）；④设备突发故障、现场生产应急处置方案。 2.专项培训方案：①针对性设备操作、日常维护保养培训内容；②现场培训具体时间、场次及流程安排；③培训考核方式与培训成果落地保障措施。 （二）赋分标准（满分6分） 1.售后服务内容及措施（满分4分）：共4项评审要点，每项内容完整响应、描述详实且贴合本项目设备需求，得1分；缺任意一项或内容笼统无针对性，该项不得分，累计最高4分。 评分要点：响应时效及团队配置（1分）、故障处理补救措施（1分）、全周期备品备件保障（1分）、突发应急响应措施（1分）。 2.专项培训方案（满分2分）：共3项评审要点，每项内容完整响应、安排清晰合理，得0.5分，满分2分；缺任意一项或方案无针对性，对应项不得分。 评分要点：完整培训内容（0.5分）、清晰培训时间安排（0.5分）、完善培训成果保障措施（0.5分）；补充现场实操考核保障（0.5分）。 备注：未单独编制专项售后及培训方案，本项直接得0分。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设备安装、调试及交货期方案</w:t>
            </w:r>
          </w:p>
        </w:tc>
        <w:tc>
          <w:tcPr>
            <w:tcW w:type="dxa" w:w="2492"/>
          </w:tcPr>
          <w:p>
            <w:pPr>
              <w:pStyle w:val="null3"/>
            </w:pPr>
            <w:r>
              <w:rPr>
                <w:rFonts w:ascii="仿宋_GB2312" w:hAnsi="仿宋_GB2312" w:cs="仿宋_GB2312" w:eastAsia="仿宋_GB2312"/>
              </w:rPr>
              <w:t>依据投标人提供的专项实施方案进行评审，考核进场施工、交货期管控、设备安装、整机调试相关内容，具体评分标准如下： 1、5分：方案内容完整详实，包含完整进场施工流程、细化至每日节点的工期进度计划表、符合国家食品机械安装验收标准、整机分步调试检测细则；承诺提供项目驻场技术指导，全程配合采购人完成设备试生产调试，方案内容详实、可直接实施。 2、4分：安装调试流程、工期进度计划完整规范，方案贴合本项目茶叶加工设备实际需求，但未承诺项目现场驻场技术指导服务。 3、3分：仅提供基础安装调试文字说明，工期计划内容简略，缺少标准化安装验收流程及分步调试细则。 4、1-2分：方案内容存在明显缺失，关键进场施工、安装调试核心流程不完善，方案针对性不足。 5、0分：未提供本项目专项安装、调试及工期实施方案。</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（一）评审内容要求 投标人须结合本茶叶加工设备采购项目实际工作特点，提供专项项目团队配备方案，方案必须完整包含以下两项内容：①项目组织机构搭建及日常运行保障措施；②项目管理人员、技术人员、安装人员、售后人员明确岗位职责及分工细则。 （二）评分标准 1、3分：项目组织架构搭建完整完善，各岗位人员职责分工清晰、权责明确；单独配置茶叶专用设备安装调试专职技术人员，团队配置完全贴合本项目设备供货、安装、调试全流程服务需求，方案完整有效。 2、2分：项目组织架构齐全，各岗位人员分工基本清晰，可正常满足本项目常规供货、设备安装、售后维保全流程基础服务需求，未单独配备茶叶专用设备专职安装调试人员。 3、1分：项目组织架构存在缺失，岗位人员分工混乱，无对应设备专项服务技术人员，团队配置无法完全匹配项目服务要求。 4、0分：未提供本项目专项项目团队配备方案。</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