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版本号：HBZB2026-03120260702001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考试考务费网上收费第三方支付专业技术服务项目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HBZB2026-031</w:t>
      </w:r>
      <w:r>
        <w:br/>
      </w:r>
      <w:r>
        <w:br/>
      </w:r>
      <w:r>
        <w:br/>
      </w:r>
    </w:p>
    <w:p>
      <w:pPr>
        <w:pStyle w:val="null3"/>
        <w:jc w:val="center"/>
        <w:outlineLvl w:val="2"/>
      </w:pPr>
      <w:r>
        <w:rPr>
          <w:rFonts w:ascii="仿宋_GB2312" w:hAnsi="仿宋_GB2312" w:cs="仿宋_GB2312" w:eastAsia="仿宋_GB2312"/>
          <w:sz w:val="28"/>
          <w:b/>
        </w:rPr>
        <w:t>省人事考试中心</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省人事考试中心</w:t>
      </w:r>
      <w:r>
        <w:rPr>
          <w:rFonts w:ascii="仿宋_GB2312" w:hAnsi="仿宋_GB2312" w:cs="仿宋_GB2312" w:eastAsia="仿宋_GB2312"/>
        </w:rPr>
        <w:t>委托，拟对</w:t>
      </w:r>
      <w:r>
        <w:rPr>
          <w:rFonts w:ascii="仿宋_GB2312" w:hAnsi="仿宋_GB2312" w:cs="仿宋_GB2312" w:eastAsia="仿宋_GB2312"/>
        </w:rPr>
        <w:t>考试考务费网上收费第三方支付专业技术服务项目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考试考务费网上收费第三方支付专业技术服务项目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陕西省人事考试中心考试考务费网上收费第三方支付专业技术服务项目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2、资质要求：供应商具有中国人民银行颁发的《支付业务许可证》且许可证在有效期内；</w:t>
      </w:r>
    </w:p>
    <w:p>
      <w:pPr>
        <w:pStyle w:val="null3"/>
      </w:pPr>
      <w:r>
        <w:rPr>
          <w:rFonts w:ascii="仿宋_GB2312" w:hAnsi="仿宋_GB2312" w:cs="仿宋_GB2312" w:eastAsia="仿宋_GB2312"/>
        </w:rPr>
        <w:t>3、法定代表人委托授权书/法定代表人身份证明：提供法定代表人授权书（附法定代表人身份证复印件）及被授权代理人身份证复印件（法定代表人直接参加只需提供法定代表人身份证复印件）;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4、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5、税收缴纳证明：提供截止至开标时间前六个月内任意一个月的纳税证明或完税证明，纳税证明或完税证明上应有代收机构或税务机关的公章，依法免税的单位应提供相关证明材料；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6、社会保障资金缴纳证明：提供截止至开标时间前六个月内任意一个月的社保缴费凭据或社保机构开具的社会保险参保缴费情况证明，依法不需要缴纳社会保障资金的单位应提供相关证明材料；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9、专业技术能力证明：提供具有履行合同所必需的设备和专业技术能力的书面声明；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省人事考试中心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曹军军、任向梅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参照《国家计委关于印发〈招标代理服务收费管理暂行办法〉的通知》（计价格[2002]1980号）和《关于招标代理服务收费有关问题的通知》（发改办价格[2003]857号）规定标准收取。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转账事由：HBZB2026-031项目代理服务费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省人事考试中心</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省人事考试中心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省人事考试中心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联系人：曹军军、任向梅</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陕西省人事考试中心考试考务费网上收费第三方支付专业技术服务项目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陕西省人事考试中心考试考务费网上收费第三方支付专业技术服务项目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标的名称：陕西省人事考试中心考试考务费网上收费第三方支付专业技术服务项目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left"/>
            </w:pPr>
            <w:r>
              <w:rPr>
                <w:rFonts w:ascii="仿宋_GB2312" w:hAnsi="仿宋_GB2312" w:cs="仿宋_GB2312" w:eastAsia="仿宋_GB2312"/>
                <w:sz w:val="28"/>
                <w:b/>
                <w:color w:val="000000"/>
              </w:rPr>
              <w:t>一、项目总体需求</w:t>
            </w:r>
          </w:p>
          <w:p>
            <w:pPr>
              <w:pStyle w:val="null3"/>
              <w:ind w:firstLine="556"/>
              <w:jc w:val="left"/>
            </w:pPr>
            <w:r>
              <w:rPr>
                <w:rFonts w:ascii="仿宋_GB2312" w:hAnsi="仿宋_GB2312" w:cs="仿宋_GB2312" w:eastAsia="仿宋_GB2312"/>
                <w:sz w:val="28"/>
                <w:color w:val="000000"/>
              </w:rPr>
              <w:t>服务商需向采购人提供服务于人事考试报名缴费的网上支付平台。该平台须与各类人事考试报名系统实现实时对接，准确传递缴费信息，并生成标准化的缴费流水账表；同时，平台应支持多维度（包括但不限于查询、下载、导出）的缴费明细对账功能，便于采购人随时开展账务核查。此外，平台必须提供完善的退款工具，确保采购人可根据需求，高效执行考生报名费的退款操作，支持原支付路径退回或符合政策要求的其他退款方式。</w:t>
            </w:r>
          </w:p>
          <w:p>
            <w:pPr>
              <w:pStyle w:val="null3"/>
              <w:spacing w:before="255" w:after="255"/>
              <w:jc w:val="left"/>
            </w:pPr>
            <w:r>
              <w:rPr>
                <w:rFonts w:ascii="仿宋_GB2312" w:hAnsi="仿宋_GB2312" w:cs="仿宋_GB2312" w:eastAsia="仿宋_GB2312"/>
                <w:sz w:val="28"/>
                <w:b/>
                <w:color w:val="000000"/>
              </w:rPr>
              <w:t>二、平台功能要求</w:t>
            </w:r>
          </w:p>
          <w:p>
            <w:pPr>
              <w:pStyle w:val="null3"/>
              <w:spacing w:before="105" w:after="105"/>
              <w:jc w:val="left"/>
            </w:pPr>
            <w:r>
              <w:rPr>
                <w:rFonts w:ascii="仿宋_GB2312" w:hAnsi="仿宋_GB2312" w:cs="仿宋_GB2312" w:eastAsia="仿宋_GB2312"/>
                <w:sz w:val="28"/>
                <w:b/>
                <w:color w:val="000000"/>
              </w:rPr>
              <w:t>1.网上支付平台功能</w:t>
            </w:r>
          </w:p>
          <w:p>
            <w:pPr>
              <w:pStyle w:val="null3"/>
              <w:ind w:firstLine="560"/>
              <w:jc w:val="left"/>
            </w:pPr>
            <w:r>
              <w:rPr>
                <w:rFonts w:ascii="仿宋_GB2312" w:hAnsi="仿宋_GB2312" w:cs="仿宋_GB2312" w:eastAsia="仿宋_GB2312"/>
                <w:sz w:val="28"/>
                <w:color w:val="000000"/>
              </w:rPr>
              <w:t>考生在考试报名平台报名后，通过服务商提供的缴费平台进行网上缴费，该缴费平台可以支持网银、快捷、扫码支付（微信、支付宝、电子社保卡）等多种支付方式。缴费成功后，服务商须确认信息，避免重复缴费与掉单等问题。且支持主流浏览器（</w:t>
            </w:r>
            <w:r>
              <w:rPr>
                <w:rFonts w:ascii="仿宋_GB2312" w:hAnsi="仿宋_GB2312" w:cs="仿宋_GB2312" w:eastAsia="仿宋_GB2312"/>
                <w:sz w:val="28"/>
                <w:color w:val="000000"/>
              </w:rPr>
              <w:t>Chrome、IE、Edge、Safari）。</w:t>
            </w:r>
          </w:p>
          <w:p>
            <w:pPr>
              <w:pStyle w:val="null3"/>
              <w:spacing w:before="105" w:after="105"/>
              <w:jc w:val="left"/>
            </w:pPr>
            <w:r>
              <w:rPr>
                <w:rFonts w:ascii="仿宋_GB2312" w:hAnsi="仿宋_GB2312" w:cs="仿宋_GB2312" w:eastAsia="仿宋_GB2312"/>
                <w:sz w:val="28"/>
                <w:b/>
                <w:color w:val="000000"/>
              </w:rPr>
              <w:t>2.缴费明细查询、对账功能</w:t>
            </w:r>
          </w:p>
          <w:p>
            <w:pPr>
              <w:pStyle w:val="null3"/>
              <w:spacing w:before="180"/>
              <w:ind w:left="45" w:right="30" w:firstLine="470"/>
              <w:jc w:val="left"/>
            </w:pPr>
            <w:r>
              <w:rPr>
                <w:rFonts w:ascii="仿宋_GB2312" w:hAnsi="仿宋_GB2312" w:cs="仿宋_GB2312" w:eastAsia="仿宋_GB2312"/>
                <w:sz w:val="28"/>
                <w:color w:val="000000"/>
              </w:rPr>
              <w:t>报名期间，采购人可在服务商提供的商户后台中根据缴费项目、缴费金额、订单等类别查询及下载缴费明细（支持</w:t>
            </w:r>
            <w:r>
              <w:rPr>
                <w:rFonts w:ascii="仿宋_GB2312" w:hAnsi="仿宋_GB2312" w:cs="仿宋_GB2312" w:eastAsia="仿宋_GB2312"/>
                <w:sz w:val="28"/>
                <w:color w:val="000000"/>
              </w:rPr>
              <w:t>excel及csv格式），用于考试报名明细查询及缴费对账，并针对地方审计需求至少支持5年以内历史数据查询能力。</w:t>
            </w:r>
          </w:p>
          <w:p>
            <w:pPr>
              <w:pStyle w:val="null3"/>
              <w:spacing w:before="105" w:after="105"/>
              <w:jc w:val="left"/>
            </w:pPr>
            <w:r>
              <w:rPr>
                <w:rFonts w:ascii="仿宋_GB2312" w:hAnsi="仿宋_GB2312" w:cs="仿宋_GB2312" w:eastAsia="仿宋_GB2312"/>
                <w:sz w:val="28"/>
                <w:b/>
                <w:color w:val="000000"/>
              </w:rPr>
              <w:t>3.退款及结算功能</w:t>
            </w:r>
          </w:p>
          <w:p>
            <w:pPr>
              <w:pStyle w:val="null3"/>
              <w:spacing w:before="180"/>
              <w:ind w:left="45" w:right="30" w:firstLine="480"/>
              <w:jc w:val="left"/>
            </w:pPr>
            <w:r>
              <w:rPr>
                <w:rFonts w:ascii="仿宋_GB2312" w:hAnsi="仿宋_GB2312" w:cs="仿宋_GB2312" w:eastAsia="仿宋_GB2312"/>
                <w:sz w:val="28"/>
                <w:color w:val="000000"/>
              </w:rPr>
              <w:t>服务商应为采购人定制符合需求的退款产品，并为采购人提供标准化退款接口，支持采购人单个订单退款及批量订单退款功能需求，确保资金原路或通过其他途径退还至考生账户，同时支持全额退款及部分金额退款，并提供异常退款订单处理机制，保证用户退款全流程顺畅。</w:t>
            </w:r>
          </w:p>
          <w:p>
            <w:pPr>
              <w:pStyle w:val="null3"/>
              <w:spacing w:before="180"/>
              <w:ind w:left="45" w:right="30" w:firstLine="480"/>
              <w:jc w:val="left"/>
            </w:pPr>
            <w:r>
              <w:rPr>
                <w:rFonts w:ascii="仿宋_GB2312" w:hAnsi="仿宋_GB2312" w:cs="仿宋_GB2312" w:eastAsia="仿宋_GB2312"/>
                <w:sz w:val="28"/>
                <w:color w:val="000000"/>
              </w:rPr>
              <w:t>服务商为采购人提供结算功能，支持采购人自定义结算模式（支持自助结算至绑定银行账户或自动结算至绑定银行账户）</w:t>
            </w:r>
          </w:p>
          <w:p>
            <w:pPr>
              <w:pStyle w:val="null3"/>
              <w:spacing w:before="105" w:after="105"/>
              <w:jc w:val="left"/>
            </w:pPr>
            <w:r>
              <w:rPr>
                <w:rFonts w:ascii="仿宋_GB2312" w:hAnsi="仿宋_GB2312" w:cs="仿宋_GB2312" w:eastAsia="仿宋_GB2312"/>
                <w:sz w:val="28"/>
                <w:b/>
                <w:color w:val="000000"/>
              </w:rPr>
              <w:t>4.分成配置功能</w:t>
            </w:r>
          </w:p>
          <w:p>
            <w:pPr>
              <w:pStyle w:val="null3"/>
              <w:ind w:firstLine="560"/>
              <w:jc w:val="left"/>
            </w:pPr>
            <w:r>
              <w:rPr>
                <w:rFonts w:ascii="仿宋_GB2312" w:hAnsi="仿宋_GB2312" w:cs="仿宋_GB2312" w:eastAsia="仿宋_GB2312"/>
                <w:sz w:val="28"/>
                <w:color w:val="000000"/>
              </w:rPr>
              <w:t>服务商应为采购人提供灵活的分成规则配置功能，支持采购人按需设置</w:t>
            </w:r>
            <w:r>
              <w:rPr>
                <w:rFonts w:ascii="仿宋_GB2312" w:hAnsi="仿宋_GB2312" w:cs="仿宋_GB2312" w:eastAsia="仿宋_GB2312"/>
                <w:sz w:val="28"/>
              </w:rPr>
              <w:t>“分成金额”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“考区”、“考试科目”等方式；支持规则实时生效，可精准设定生效时间、作用范围及启用/停用状态；同步生成对应分账明细账单，为采购人提供账务查询，确保财务数据精准流转。</w:t>
            </w:r>
          </w:p>
          <w:p>
            <w:pPr>
              <w:pStyle w:val="null3"/>
              <w:jc w:val="left"/>
            </w:pPr>
            <w:r>
              <w:rPr>
                <w:rFonts w:ascii="仿宋_GB2312" w:hAnsi="仿宋_GB2312" w:cs="仿宋_GB2312" w:eastAsia="仿宋_GB2312"/>
                <w:sz w:val="28"/>
                <w:b/>
                <w:color w:val="000000"/>
              </w:rPr>
              <w:t>5.特殊功能</w:t>
            </w:r>
          </w:p>
          <w:p>
            <w:pPr>
              <w:pStyle w:val="null3"/>
              <w:spacing w:before="105" w:after="105"/>
              <w:jc w:val="left"/>
            </w:pPr>
            <w:r>
              <w:rPr>
                <w:rFonts w:ascii="仿宋_GB2312" w:hAnsi="仿宋_GB2312" w:cs="仿宋_GB2312" w:eastAsia="仿宋_GB2312"/>
              </w:rPr>
              <w:t xml:space="preserve">   </w:t>
            </w:r>
            <w:r>
              <w:rPr>
                <w:rFonts w:ascii="仿宋_GB2312" w:hAnsi="仿宋_GB2312" w:cs="仿宋_GB2312" w:eastAsia="仿宋_GB2312"/>
                <w:sz w:val="28"/>
                <w:color w:val="000000"/>
              </w:rPr>
              <w:t>服务商应为采购人提供</w:t>
            </w:r>
            <w:r>
              <w:rPr>
                <w:rFonts w:ascii="仿宋_GB2312" w:hAnsi="仿宋_GB2312" w:cs="仿宋_GB2312" w:eastAsia="仿宋_GB2312"/>
                <w:sz w:val="28"/>
                <w:b/>
                <w:color w:val="000000"/>
              </w:rPr>
              <w:t>定制化订单创建能力</w:t>
            </w:r>
            <w:r>
              <w:rPr>
                <w:rFonts w:ascii="仿宋_GB2312" w:hAnsi="仿宋_GB2312" w:cs="仿宋_GB2312" w:eastAsia="仿宋_GB2312"/>
                <w:sz w:val="28"/>
                <w:color w:val="000000"/>
              </w:rPr>
              <w:t>，支持手动生成收款订单，并允许自定义设置不少于</w:t>
            </w:r>
            <w:r>
              <w:rPr>
                <w:rFonts w:ascii="仿宋_GB2312" w:hAnsi="仿宋_GB2312" w:cs="仿宋_GB2312" w:eastAsia="仿宋_GB2312"/>
                <w:sz w:val="28"/>
                <w:color w:val="000000"/>
              </w:rPr>
              <w:t>8 个必填字段，字段须支持多样化表单控件（如下拉列表、多选框、日期选择器），满足采购人业务逻辑变更需求，确保交易关键数据完整留存。</w:t>
            </w:r>
          </w:p>
          <w:p>
            <w:pPr>
              <w:pStyle w:val="null3"/>
              <w:spacing w:before="105" w:after="105"/>
              <w:jc w:val="left"/>
            </w:pPr>
            <w:r>
              <w:rPr>
                <w:rFonts w:ascii="仿宋_GB2312" w:hAnsi="仿宋_GB2312" w:cs="仿宋_GB2312" w:eastAsia="仿宋_GB2312"/>
                <w:sz w:val="28"/>
                <w:b/>
                <w:color w:val="000000"/>
              </w:rPr>
              <w:t>6.标准化接口</w:t>
            </w:r>
          </w:p>
          <w:p>
            <w:pPr>
              <w:pStyle w:val="null3"/>
              <w:spacing w:before="105" w:after="105"/>
              <w:ind w:firstLine="560"/>
              <w:jc w:val="left"/>
            </w:pPr>
            <w:r>
              <w:rPr>
                <w:rFonts w:ascii="仿宋_GB2312" w:hAnsi="仿宋_GB2312" w:cs="仿宋_GB2312" w:eastAsia="仿宋_GB2312"/>
                <w:sz w:val="28"/>
                <w:color w:val="000000"/>
              </w:rPr>
              <w:t>服务商应为采购人提供完备的</w:t>
            </w:r>
            <w:r>
              <w:rPr>
                <w:rFonts w:ascii="仿宋_GB2312" w:hAnsi="仿宋_GB2312" w:cs="仿宋_GB2312" w:eastAsia="仿宋_GB2312"/>
                <w:sz w:val="28"/>
                <w:color w:val="000000"/>
              </w:rPr>
              <w:t>API交互服务，覆盖支付下单、订单状态查询、退款申请、退款状态查询、分账明细获取、对账文件下载等核心业务场景；按日自动生成标准化格式FTP对账文件。</w:t>
            </w:r>
          </w:p>
          <w:p>
            <w:pPr>
              <w:pStyle w:val="null3"/>
              <w:spacing w:before="255" w:after="255"/>
              <w:jc w:val="left"/>
            </w:pPr>
            <w:r>
              <w:rPr>
                <w:rFonts w:ascii="仿宋_GB2312" w:hAnsi="仿宋_GB2312" w:cs="仿宋_GB2312" w:eastAsia="仿宋_GB2312"/>
                <w:sz w:val="28"/>
                <w:b/>
                <w:color w:val="000000"/>
              </w:rPr>
              <w:t>三、安全要求</w:t>
            </w:r>
          </w:p>
          <w:p>
            <w:pPr>
              <w:pStyle w:val="null3"/>
              <w:ind w:firstLine="556"/>
              <w:jc w:val="left"/>
            </w:pPr>
            <w:r>
              <w:rPr>
                <w:rFonts w:ascii="仿宋_GB2312" w:hAnsi="仿宋_GB2312" w:cs="仿宋_GB2312" w:eastAsia="仿宋_GB2312"/>
                <w:sz w:val="28"/>
                <w:color w:val="000000"/>
              </w:rPr>
              <w:t>服务商应为采购人提供全链条安全保障体系，包括但不限于：</w:t>
            </w:r>
          </w:p>
          <w:p>
            <w:pPr>
              <w:pStyle w:val="null3"/>
              <w:spacing w:before="105" w:after="105"/>
              <w:jc w:val="left"/>
            </w:pPr>
            <w:r>
              <w:rPr>
                <w:rFonts w:ascii="仿宋_GB2312" w:hAnsi="仿宋_GB2312" w:cs="仿宋_GB2312" w:eastAsia="仿宋_GB2312"/>
                <w:sz w:val="28"/>
                <w:b/>
                <w:color w:val="000000"/>
              </w:rPr>
              <w:t>1.资金安全保障措施</w:t>
            </w:r>
          </w:p>
          <w:p>
            <w:pPr>
              <w:pStyle w:val="null3"/>
              <w:ind w:firstLine="556"/>
              <w:jc w:val="left"/>
            </w:pPr>
            <w:r>
              <w:rPr>
                <w:rFonts w:ascii="仿宋_GB2312" w:hAnsi="仿宋_GB2312" w:cs="仿宋_GB2312" w:eastAsia="仿宋_GB2312"/>
                <w:sz w:val="28"/>
                <w:color w:val="000000"/>
              </w:rPr>
              <w:t>考生缴费资金必须全额存管于中国人民银行备付金账户，确保资金安全存放及精准划转，严禁任何形式挪用；</w:t>
            </w:r>
          </w:p>
          <w:p>
            <w:pPr>
              <w:pStyle w:val="null3"/>
              <w:spacing w:before="105" w:after="105"/>
              <w:jc w:val="left"/>
            </w:pPr>
            <w:r>
              <w:rPr>
                <w:rFonts w:ascii="仿宋_GB2312" w:hAnsi="仿宋_GB2312" w:cs="仿宋_GB2312" w:eastAsia="仿宋_GB2312"/>
                <w:sz w:val="28"/>
                <w:b/>
                <w:color w:val="000000"/>
              </w:rPr>
              <w:t>2.数据安全保障措施</w:t>
            </w:r>
          </w:p>
          <w:p>
            <w:pPr>
              <w:pStyle w:val="null3"/>
              <w:ind w:firstLine="556"/>
              <w:jc w:val="left"/>
            </w:pPr>
            <w:r>
              <w:rPr>
                <w:rFonts w:ascii="仿宋_GB2312" w:hAnsi="仿宋_GB2312" w:cs="仿宋_GB2312" w:eastAsia="仿宋_GB2312"/>
                <w:sz w:val="28"/>
                <w:color w:val="000000"/>
              </w:rPr>
              <w:t>对采购人身份信息、支付数据等敏感资料实施严格加密保护，禁止未授权或超法律允许范围使用；</w:t>
            </w:r>
          </w:p>
          <w:p>
            <w:pPr>
              <w:pStyle w:val="null3"/>
              <w:spacing w:before="105" w:after="105"/>
              <w:jc w:val="left"/>
            </w:pPr>
            <w:r>
              <w:rPr>
                <w:rFonts w:ascii="仿宋_GB2312" w:hAnsi="仿宋_GB2312" w:cs="仿宋_GB2312" w:eastAsia="仿宋_GB2312"/>
                <w:sz w:val="28"/>
                <w:b/>
                <w:color w:val="000000"/>
              </w:rPr>
              <w:t>3.系统防护措施</w:t>
            </w:r>
          </w:p>
          <w:p>
            <w:pPr>
              <w:pStyle w:val="null3"/>
              <w:ind w:firstLine="556"/>
              <w:jc w:val="left"/>
            </w:pPr>
            <w:r>
              <w:rPr>
                <w:rFonts w:ascii="仿宋_GB2312" w:hAnsi="仿宋_GB2312" w:cs="仿宋_GB2312" w:eastAsia="仿宋_GB2312"/>
                <w:sz w:val="28"/>
                <w:color w:val="000000"/>
              </w:rPr>
              <w:t>保障采购人实时调阅缴费信息的系统权限，通过完备防护机制确保数据可靠性与</w:t>
            </w:r>
            <w:r>
              <w:rPr>
                <w:rFonts w:ascii="仿宋_GB2312" w:hAnsi="仿宋_GB2312" w:cs="仿宋_GB2312" w:eastAsia="仿宋_GB2312"/>
                <w:sz w:val="28"/>
                <w:color w:val="000000"/>
              </w:rPr>
              <w:t>系统健壮性，有效防御信息泄露及网络攻击。</w:t>
            </w:r>
          </w:p>
          <w:p>
            <w:pPr>
              <w:pStyle w:val="null3"/>
              <w:spacing w:before="255" w:after="255"/>
              <w:jc w:val="left"/>
            </w:pPr>
            <w:r>
              <w:rPr>
                <w:rFonts w:ascii="仿宋_GB2312" w:hAnsi="仿宋_GB2312" w:cs="仿宋_GB2312" w:eastAsia="仿宋_GB2312"/>
                <w:sz w:val="28"/>
                <w:b/>
                <w:color w:val="000000"/>
              </w:rPr>
              <w:t>四、其他服务要求</w:t>
            </w:r>
          </w:p>
          <w:p>
            <w:pPr>
              <w:pStyle w:val="null3"/>
              <w:ind w:firstLine="560"/>
              <w:jc w:val="left"/>
            </w:pPr>
            <w:r>
              <w:rPr>
                <w:rFonts w:ascii="仿宋_GB2312" w:hAnsi="仿宋_GB2312" w:cs="仿宋_GB2312" w:eastAsia="仿宋_GB2312"/>
                <w:sz w:val="28"/>
                <w:color w:val="000000"/>
              </w:rPr>
              <w:t>服务商应为采购人提供全周期服务保障机制，包括但不限于：</w:t>
            </w:r>
            <w:r>
              <w:br/>
            </w:r>
            <w:r>
              <w:rPr>
                <w:rFonts w:ascii="仿宋_GB2312" w:hAnsi="仿宋_GB2312" w:cs="仿宋_GB2312" w:eastAsia="仿宋_GB2312"/>
                <w:sz w:val="28"/>
                <w:b/>
                <w:color w:val="000000"/>
              </w:rPr>
              <w:t>1. 纠纷响应机制</w:t>
            </w:r>
          </w:p>
          <w:p>
            <w:pPr>
              <w:pStyle w:val="null3"/>
              <w:ind w:firstLine="560"/>
              <w:jc w:val="left"/>
            </w:pPr>
            <w:r>
              <w:rPr>
                <w:rFonts w:ascii="仿宋_GB2312" w:hAnsi="仿宋_GB2312" w:cs="仿宋_GB2312" w:eastAsia="仿宋_GB2312"/>
                <w:sz w:val="28"/>
                <w:color w:val="000000"/>
              </w:rPr>
              <w:t>及时处理涉及报名缴费的投诉或纠纷，有效化解矛盾，防止对采购人声誉造成负面影响或产生经济损失。</w:t>
            </w:r>
            <w:r>
              <w:br/>
            </w:r>
            <w:r>
              <w:rPr>
                <w:rFonts w:ascii="仿宋_GB2312" w:hAnsi="仿宋_GB2312" w:cs="仿宋_GB2312" w:eastAsia="仿宋_GB2312"/>
                <w:sz w:val="28"/>
                <w:b/>
                <w:color w:val="000000"/>
              </w:rPr>
              <w:t>2. 项目管理体系</w:t>
            </w:r>
          </w:p>
          <w:p>
            <w:pPr>
              <w:pStyle w:val="null3"/>
              <w:ind w:firstLine="560"/>
              <w:jc w:val="left"/>
            </w:pPr>
            <w:r>
              <w:rPr>
                <w:rFonts w:ascii="仿宋_GB2312" w:hAnsi="仿宋_GB2312" w:cs="仿宋_GB2312" w:eastAsia="仿宋_GB2312"/>
                <w:sz w:val="28"/>
                <w:color w:val="000000"/>
              </w:rPr>
              <w:t>设立专属项目服务团队，明确责任分工，建立并执行完善的人员管理、保密协议、廉洁自律规范及系统性风险管控机制。</w:t>
            </w:r>
            <w:r>
              <w:br/>
            </w:r>
            <w:r>
              <w:rPr>
                <w:rFonts w:ascii="仿宋_GB2312" w:hAnsi="仿宋_GB2312" w:cs="仿宋_GB2312" w:eastAsia="仿宋_GB2312"/>
                <w:sz w:val="28"/>
                <w:b/>
                <w:color w:val="000000"/>
              </w:rPr>
              <w:t>3. 高并发保障方案</w:t>
            </w:r>
          </w:p>
          <w:p>
            <w:pPr>
              <w:pStyle w:val="null3"/>
              <w:ind w:firstLine="560"/>
              <w:jc w:val="left"/>
            </w:pPr>
            <w:r>
              <w:rPr>
                <w:rFonts w:ascii="仿宋_GB2312" w:hAnsi="仿宋_GB2312" w:cs="仿宋_GB2312" w:eastAsia="仿宋_GB2312"/>
                <w:sz w:val="28"/>
                <w:color w:val="000000"/>
              </w:rPr>
              <w:t>考生集中缴费时段须保障支付通道全时畅通，通过流量调度、弹性扩容等关键技术措施防范网络拥堵与系统故障。</w:t>
            </w:r>
          </w:p>
          <w:p>
            <w:pPr>
              <w:pStyle w:val="null3"/>
              <w:ind w:firstLine="556"/>
              <w:jc w:val="left"/>
            </w:pPr>
            <w:r>
              <w:rPr>
                <w:rFonts w:ascii="仿宋_GB2312" w:hAnsi="仿宋_GB2312" w:cs="仿宋_GB2312" w:eastAsia="仿宋_GB2312"/>
                <w:sz w:val="28"/>
                <w:b/>
                <w:color w:val="000000"/>
              </w:rPr>
              <w:t>五、售后服务</w:t>
            </w:r>
          </w:p>
          <w:p>
            <w:pPr>
              <w:pStyle w:val="null3"/>
              <w:ind w:firstLine="560"/>
              <w:jc w:val="left"/>
            </w:pPr>
            <w:r>
              <w:rPr>
                <w:rFonts w:ascii="仿宋_GB2312" w:hAnsi="仿宋_GB2312" w:cs="仿宋_GB2312" w:eastAsia="仿宋_GB2312"/>
                <w:sz w:val="28"/>
                <w:color w:val="000000"/>
              </w:rPr>
              <w:t>服务商应为采购人提供全时域服务保障体系，包括但不限于：</w:t>
            </w:r>
          </w:p>
          <w:p>
            <w:pPr>
              <w:pStyle w:val="null3"/>
              <w:spacing w:before="105" w:after="105"/>
              <w:jc w:val="left"/>
            </w:pPr>
            <w:r>
              <w:rPr>
                <w:rFonts w:ascii="仿宋_GB2312" w:hAnsi="仿宋_GB2312" w:cs="仿宋_GB2312" w:eastAsia="仿宋_GB2312"/>
                <w:sz w:val="28"/>
                <w:b/>
                <w:color w:val="000000"/>
              </w:rPr>
              <w:t>1.服务范围</w:t>
            </w:r>
          </w:p>
          <w:p>
            <w:pPr>
              <w:pStyle w:val="null3"/>
              <w:ind w:firstLine="560"/>
              <w:jc w:val="left"/>
            </w:pPr>
            <w:r>
              <w:rPr>
                <w:rFonts w:ascii="仿宋_GB2312" w:hAnsi="仿宋_GB2312" w:cs="仿宋_GB2312" w:eastAsia="仿宋_GB2312"/>
                <w:sz w:val="28"/>
                <w:color w:val="000000"/>
              </w:rPr>
              <w:t>项目交付后，对缴费全流程实施主动监控与保障机制，及时响应并解决交易异常、考生咨询等操作类及技术类问题；配置专职技术支持团队（驻点</w:t>
            </w:r>
            <w:r>
              <w:rPr>
                <w:rFonts w:ascii="仿宋_GB2312" w:hAnsi="仿宋_GB2312" w:cs="仿宋_GB2312" w:eastAsia="仿宋_GB2312"/>
                <w:sz w:val="28"/>
                <w:color w:val="000000"/>
              </w:rPr>
              <w:t>/远程双模式），确保第一时间定位处置问题；如采购人要求驻场服务，须无条件配备至少1名专属工程师常驻指定地点；如因采购人业务或技术需求、要求等方面发生变化，服务商应及时配合并做好相应系统调整或完善，以达到采购人要求。</w:t>
            </w:r>
          </w:p>
          <w:p>
            <w:pPr>
              <w:pStyle w:val="null3"/>
              <w:spacing w:before="105" w:after="105"/>
              <w:jc w:val="left"/>
            </w:pPr>
            <w:r>
              <w:rPr>
                <w:rFonts w:ascii="仿宋_GB2312" w:hAnsi="仿宋_GB2312" w:cs="仿宋_GB2312" w:eastAsia="仿宋_GB2312"/>
                <w:sz w:val="28"/>
                <w:b/>
                <w:color w:val="000000"/>
              </w:rPr>
              <w:t>2.服务能力</w:t>
            </w:r>
          </w:p>
          <w:p>
            <w:pPr>
              <w:pStyle w:val="null3"/>
              <w:ind w:firstLine="560"/>
              <w:jc w:val="left"/>
            </w:pPr>
            <w:r>
              <w:rPr>
                <w:rFonts w:ascii="仿宋_GB2312" w:hAnsi="仿宋_GB2312" w:cs="仿宋_GB2312" w:eastAsia="仿宋_GB2312"/>
                <w:sz w:val="28"/>
                <w:color w:val="000000"/>
              </w:rPr>
              <w:t>所有考试报名周期内，需要具备</w:t>
            </w:r>
            <w:r>
              <w:rPr>
                <w:rFonts w:ascii="仿宋_GB2312" w:hAnsi="仿宋_GB2312" w:cs="仿宋_GB2312" w:eastAsia="仿宋_GB2312"/>
                <w:sz w:val="28"/>
                <w:color w:val="000000"/>
              </w:rPr>
              <w:t>7*24小时人工客服专线并配置专属支持团队，确保30分钟内响应关键服务请求，处置时效≤4小时。</w:t>
            </w:r>
          </w:p>
          <w:p>
            <w:pPr>
              <w:pStyle w:val="null3"/>
              <w:spacing w:before="105" w:after="105"/>
              <w:jc w:val="left"/>
            </w:pPr>
            <w:r>
              <w:rPr>
                <w:rFonts w:ascii="仿宋_GB2312" w:hAnsi="仿宋_GB2312" w:cs="仿宋_GB2312" w:eastAsia="仿宋_GB2312"/>
                <w:sz w:val="28"/>
                <w:b/>
                <w:color w:val="000000"/>
              </w:rPr>
              <w:t>3.灾备应急体系</w:t>
            </w:r>
          </w:p>
          <w:p>
            <w:pPr>
              <w:pStyle w:val="null3"/>
            </w:pPr>
            <w:r>
              <w:rPr>
                <w:rFonts w:ascii="仿宋_GB2312" w:hAnsi="仿宋_GB2312" w:cs="仿宋_GB2312" w:eastAsia="仿宋_GB2312"/>
                <w:sz w:val="28"/>
                <w:color w:val="000000"/>
              </w:rPr>
              <w:t>建立系统性应急预案，含全时运行监控（实时识别并主动上报异常）、双活灾备部署（支持故障自动切换），保障数据零丢失、服务零中断。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进度款，2026年收费工作完成后，达到付款条件起15个工作日内，支付合同总金额的60.0%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 2.本合同签订后甲乙双方不得单方终止合同，如乙方违约，应退还预付款，并赔偿给甲方实际造成的损失；如甲方违约，乙方收取的预付款不予退还。 3.如因乙方存在以下行为，甲方有权终止合同，依法向乙方进行经济索赔，并报请政府采购监督管理机关进行相应的行政处罚，乙方应全额退还已付款项，并赔偿给甲方造成的全额损失，同时，承担其他相关责任。 ① 存在弄虚作假、传递虚假信息等违法违规行为； ② 网络或媒体报道存在不规范操作行为； ③ 未全面履行合同义务或者发生违约。 4.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供应商具有中国人民银行颁发的《支付业务许可证》且许可证在有效期内；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分项报价表.docx 残疾人福利性单位声明函 保证金交纳凭证.docx 服务方案 标的清单 项目管理人员.docx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业绩.docx 商务应答表 服务方案 服务内容及服务要求应答表 项目管理人员.docx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磋商保证金符合磋商文件要求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服务商依据项目需求制定服务方案，包括但不限于对，①项目需求理解与实施目标：服务商对本项目的整体服务需求理解、项目实施目标及整体服务方案； ②网上缴费功能：服务商在本项目的考生网上缴费支付环节中，支持网银、 扫码、快捷支付、电子社保卡支付渠道；③ 对账管理（对账、数据分析）：提供定制化管理后台，支持缴费数据查询、对账及数据分析功能； ④退款功能：支持单笔及批量退款功能，并能确保资金原路退回至考生账户。支持垫资退款和部分资金退款功能；⑤分成配置功能：支持自动分账功能，并支持对向上级、单位本级、下级财政账户缴款。 ⑥特殊功能：支持自定义创建支付订单，确保可自定义生成支付链接，并支持自定义必填字段功能（至少支持自定义设置8个及以上必填字段）；⑦标准化接口：提供标准化接口，包括支付接口、退款接口、订单状态查询接口，每个接口需包含接口基本规范和接口示例；提供 FTP 对账功能，周期需精准到日。 以上7点的方案内容全面、详细，完全满足项目需求且有利于项目实施的，得14.0分。每有一项内容缺失的扣2.0分，每有一项存在缺陷扣1.0分，扣完为止。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安全要求</w:t>
            </w:r>
          </w:p>
        </w:tc>
        <w:tc>
          <w:tcPr>
            <w:tcW w:type="dxa" w:w="2492"/>
          </w:tcPr>
          <w:p>
            <w:pPr>
              <w:pStyle w:val="null3"/>
            </w:pPr>
            <w:r>
              <w:rPr>
                <w:rFonts w:ascii="仿宋_GB2312" w:hAnsi="仿宋_GB2312" w:cs="仿宋_GB2312" w:eastAsia="仿宋_GB2312"/>
              </w:rPr>
              <w:t>服务商应为采购人提供全链条安全保障体系，包括： ①资金安全保障措施 考生缴费资金必须全额存管于中国人民银行备付金账户，确保资金安全存放及精准划转，严禁任何形式挪用； ②数据安全保障措施 对采购人身份信息、支付数据等敏感资料实施严格加密保护，禁止未授权或超法律允许范围使用； ③系统防护措施 保障采购人实时调阅缴费信息的系统权限，通过完备防护机制确保数据可靠性与系统健壮性，有效防御信息泄露及网络攻击。以上3点的方案内容全面、详细，完全满足项目需求且有利于项目实施的，得9.0分。每有一项内容缺失的扣3.0分，每有一项存在缺陷扣1.5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服务商应为采购人提供全周期服务保障机制，包括： ①纠纷响应机制 及时处理涉及报名缴费的投诉或纠纷，有效化解矛盾，防止对采购人声誉造成负面影响或产生经济损失。 ②项目管理体系 设立专属项目服务团队，明确责任分工，建立并执行完善的人员管理、保密协议、廉洁自律规范及系统性风险管控机制。 ③高并发保障方案 考生集中缴费时段须保障支付通道全时畅通，通过流量调度、弹性扩容等关键技术措施防范网络拥堵与系统故障。以上3点的方案内容全面、详细，完全满足项目需求且有利于项目实施的，得9.0分。每有一项内容缺失的扣3.0分，每有一项存在缺陷扣1.5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售后服务要求</w:t>
            </w:r>
          </w:p>
        </w:tc>
        <w:tc>
          <w:tcPr>
            <w:tcW w:type="dxa" w:w="2492"/>
          </w:tcPr>
          <w:p>
            <w:pPr>
              <w:pStyle w:val="null3"/>
            </w:pPr>
            <w:r>
              <w:rPr>
                <w:rFonts w:ascii="仿宋_GB2312" w:hAnsi="仿宋_GB2312" w:cs="仿宋_GB2312" w:eastAsia="仿宋_GB2312"/>
              </w:rPr>
              <w:t>服务商应为采购人提供全时域服务保障体系，包括： ①服务范围 项目交付后，对缴费全流程实施主动监控与保障机制，及时响应并解决交易异常、考生咨询等操作类及技术类问题；配置专职技术支持团队（驻点/远程双模式），确保第一时间定位处置问题；如采购人要求驻场服务，须无条件配备至少1名专属工程师常驻指定地点； ②服务能力 所有考试报名周期内，需要具备7*24小时人工客服专线并配置专属支持团队，确保30分钟内响应关键服务请求，处置时效≤4小时。 ③灾备应急体系 建立系统性应急预案，含全时运行监控（实时识别并主动上报异常）、双活灾备部署（支持故障自动切换），保障数据零丢失、服务零中断。 ④政策变动改造响应能力 服务商需具备财政直缴改造能力及成功案例，针对财政收缴政策变动快速配合采购人按照当地财政政策要求进行收缴系统的快速改造。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项目负责人:具有项目管理专业认证证书或与本项目相关高级职称，得3.0分。 项目管理人员(除项目负责人):具有计算机软件资格考试网络工程师证书或信息安全专业证书或数据安全工程师证书或计算机技术与软件专业技术资格证书或系统集成项目管理工程师证书或与本项目相关中级及以上职称。每提供1人证书得1.0分，最多得6.0分。 注:相同人员不重复计分，须同时提供以上人员相关证书。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项目管理人员.docx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1.供应商具备IS09001质量管理体系认证证书，得2.0分。 2.供应商具备IS027001信息安全管理体系认证证书，得2.0分。 3.供应商具备IS020000信息技术服务管理体系认证证书，得2.0分。 （提供证书复印件加盖供应商公章）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1.服务商承诺能够在合同签订后10个自然日内实现与人力资源和社会保障部人事考试中心网报平台 (全国专业技术人员资格考试服务平台、全国人事考试服务平台) 、陕西省人事考试中心网报平台的数据连通和数据交互，提供人事考试网上报名系统接口要求的考生考务费网上缴纳业务的，得3分； 2.服务商承诺严格遵守《保密法》有关规定，承诺在服务过程中对获取的考生相关信息负有保密义务，未经采购人书面同意，不得以任何方式向任何第三方泄漏保密信息的，得2分。 注：以上承诺须单独出具承诺书，附于响应文件中并加盖服务商电子公章，未按要求提供不得分。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 年 1 月 1 日至本项目开标前）的同类项目业绩（省级及以上级别执收单位人事考试类项目），一个年度提供1项得5分;最高20分;未提供的，不得分。 注：响应文件中附合同或中标 (成交) 通知书扫描件并加盖服务商电子公章，未按要求 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