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版本号：SDZC2026-12320260818001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钬激光治疗机采购项目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SDZC2026-123</w:t>
      </w:r>
      <w:r>
        <w:br/>
      </w:r>
      <w:r>
        <w:br/>
      </w:r>
      <w:r>
        <w:br/>
      </w:r>
    </w:p>
    <w:p>
      <w:pPr>
        <w:pStyle w:val="null3"/>
        <w:jc w:val="center"/>
        <w:outlineLvl w:val="2"/>
      </w:pPr>
      <w:r>
        <w:rPr>
          <w:rFonts w:ascii="仿宋_GB2312" w:hAnsi="仿宋_GB2312" w:cs="仿宋_GB2312" w:eastAsia="仿宋_GB2312"/>
          <w:sz w:val="28"/>
          <w:b/>
        </w:rPr>
        <w:t>蒲城县中医医院</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蒲城县中医医院</w:t>
      </w:r>
      <w:r>
        <w:rPr>
          <w:rFonts w:ascii="仿宋_GB2312" w:hAnsi="仿宋_GB2312" w:cs="仿宋_GB2312" w:eastAsia="仿宋_GB2312"/>
        </w:rPr>
        <w:t>委托，拟对</w:t>
      </w:r>
      <w:r>
        <w:rPr>
          <w:rFonts w:ascii="仿宋_GB2312" w:hAnsi="仿宋_GB2312" w:cs="仿宋_GB2312" w:eastAsia="仿宋_GB2312"/>
        </w:rPr>
        <w:t>钬激光治疗机采购项目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钬激光治疗机采购项目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钬激光治疗机一套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8、投标保证金交纳凭证或担保函：投标保证金交纳凭证或担保函：（投标保证交纳金凭证为银行凭证及基本账户证明资料，担保函为政府采购信用担保机构出具）</w:t>
      </w:r>
    </w:p>
    <w:p>
      <w:pPr>
        <w:pStyle w:val="null3"/>
      </w:pPr>
      <w:r>
        <w:rPr>
          <w:rFonts w:ascii="仿宋_GB2312" w:hAnsi="仿宋_GB2312" w:cs="仿宋_GB2312" w:eastAsia="仿宋_GB2312"/>
        </w:rPr>
        <w:t>9、投标人资质：投标人须提供医疗器械经营许可证或备案凭证、所投产品生产厂家的医疗器械生产许可证及医疗器械产品注册证（或备案凭证）；</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代理机构在投标截止日当天在“信用中国”网站和中国政府采购网站进行查询，截图留档；如网站无投标人信息的，投标人须提供相关证明资料或书面声明且附在投标文件中）。</w:t>
      </w:r>
    </w:p>
    <w:p>
      <w:pPr>
        <w:pStyle w:val="null3"/>
      </w:pPr>
      <w:r>
        <w:rPr>
          <w:rFonts w:ascii="仿宋_GB2312" w:hAnsi="仿宋_GB2312" w:cs="仿宋_GB2312" w:eastAsia="仿宋_GB2312"/>
        </w:rPr>
        <w:t>11、控股关系查询：单位负责人为同一人或者存在直接控股、管理关系的不同供应商，不得参加同一合同项下的政府采购活动。(此项由代理机构在投标截止日当天在“国家企业信用信息公示系统”网站进行查询，截图留档；如网站无供应商信息的，投标人须提供相关证明资料或书面声明且附在投标文件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蒲城县东大街5号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连文莉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0913-7831125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蒲城县中医医院</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因本项目产生的新知识产权归采购方所有，投标人应保证在本项目使用的任何产品和服务的任何一部分，不会产生因第三方提出的侵犯其专利权、商标权、著作权或其它知识产权而引起的法律和经济纠纷，由此引起的纠纷，由投标人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货物技术参数、功能性能完全符合招标文件及合同约定，商务条款、交付要求、售后服务全部履约，资料齐全、运行正常、无质量缺陷。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钬激光治疗机一套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钬激光治疗机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标的名称：钬激光治疗机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1.用于泌尿系结石的碎石，输尿管狭窄、息肉、膀胱肿瘤等。</w:t>
            </w:r>
          </w:p>
          <w:p>
            <w:pPr>
              <w:pStyle w:val="null3"/>
            </w:pPr>
            <w:r>
              <w:rPr>
                <w:rFonts w:ascii="仿宋_GB2312" w:hAnsi="仿宋_GB2312" w:cs="仿宋_GB2312" w:eastAsia="仿宋_GB2312"/>
              </w:rPr>
              <w:t>2.▲设备终端输出最大平均输出功率：≥90W。</w:t>
            </w:r>
          </w:p>
          <w:p>
            <w:pPr>
              <w:pStyle w:val="null3"/>
            </w:pPr>
            <w:r>
              <w:rPr>
                <w:rFonts w:ascii="仿宋_GB2312" w:hAnsi="仿宋_GB2312" w:cs="仿宋_GB2312" w:eastAsia="仿宋_GB2312"/>
              </w:rPr>
              <w:t>3.最小弯曲半径：200μm光纤≤6mm，272μm光纤≤7mm。</w:t>
            </w:r>
          </w:p>
          <w:p>
            <w:pPr>
              <w:pStyle w:val="null3"/>
            </w:pPr>
            <w:r>
              <w:rPr>
                <w:rFonts w:ascii="仿宋_GB2312" w:hAnsi="仿宋_GB2312" w:cs="仿宋_GB2312" w:eastAsia="仿宋_GB2312"/>
              </w:rPr>
              <w:t>4.内径为200μm的软光纤做软镜手术，功率≥30W。</w:t>
            </w:r>
          </w:p>
          <w:p>
            <w:pPr>
              <w:pStyle w:val="null3"/>
            </w:pPr>
            <w:r>
              <w:rPr>
                <w:rFonts w:ascii="仿宋_GB2312" w:hAnsi="仿宋_GB2312" w:cs="仿宋_GB2312" w:eastAsia="仿宋_GB2312"/>
              </w:rPr>
              <w:t>5.内径为272μm的软光纤做软镜手术，功率≥30W。</w:t>
            </w:r>
          </w:p>
          <w:p>
            <w:pPr>
              <w:pStyle w:val="null3"/>
            </w:pPr>
            <w:r>
              <w:rPr>
                <w:rFonts w:ascii="仿宋_GB2312" w:hAnsi="仿宋_GB2312" w:cs="仿宋_GB2312" w:eastAsia="仿宋_GB2312"/>
              </w:rPr>
              <w:t>6.指示光：波长532nm±20 nm，功率≤5mW，可调。</w:t>
            </w:r>
          </w:p>
          <w:p>
            <w:pPr>
              <w:pStyle w:val="null3"/>
            </w:pPr>
            <w:r>
              <w:rPr>
                <w:rFonts w:ascii="仿宋_GB2312" w:hAnsi="仿宋_GB2312" w:cs="仿宋_GB2312" w:eastAsia="仿宋_GB2312"/>
              </w:rPr>
              <w:t>7.▲脉宽可调，靶向碎石：宽窄脉宽间距≥550μs。</w:t>
            </w:r>
          </w:p>
          <w:p>
            <w:pPr>
              <w:pStyle w:val="null3"/>
            </w:pPr>
            <w:r>
              <w:rPr>
                <w:rFonts w:ascii="仿宋_GB2312" w:hAnsi="仿宋_GB2312" w:cs="仿宋_GB2312" w:eastAsia="仿宋_GB2312"/>
              </w:rPr>
              <w:t>8.▲窄脉宽：≤350μs。</w:t>
            </w:r>
          </w:p>
          <w:p>
            <w:pPr>
              <w:pStyle w:val="null3"/>
            </w:pPr>
            <w:r>
              <w:rPr>
                <w:rFonts w:ascii="仿宋_GB2312" w:hAnsi="仿宋_GB2312" w:cs="仿宋_GB2312" w:eastAsia="仿宋_GB2312"/>
              </w:rPr>
              <w:t>9.▲宽脉宽：≥590μs。</w:t>
            </w:r>
          </w:p>
          <w:p>
            <w:pPr>
              <w:pStyle w:val="null3"/>
            </w:pPr>
            <w:r>
              <w:rPr>
                <w:rFonts w:ascii="仿宋_GB2312" w:hAnsi="仿宋_GB2312" w:cs="仿宋_GB2312" w:eastAsia="仿宋_GB2312"/>
              </w:rPr>
              <w:t>10.光纤与设备主机同品牌，芯径至少包含但不限于200μm、272μm、365μm、550μm、800μm和1000μm中的4种。</w:t>
            </w:r>
          </w:p>
          <w:p>
            <w:pPr>
              <w:pStyle w:val="null3"/>
            </w:pPr>
            <w:r>
              <w:rPr>
                <w:rFonts w:ascii="仿宋_GB2312" w:hAnsi="仿宋_GB2312" w:cs="仿宋_GB2312" w:eastAsia="仿宋_GB2312"/>
              </w:rPr>
              <w:t>11.▲传输系统：光纤传输，一次性使用无菌激光光纤和可重复使用激光光纤2种选择。</w:t>
            </w:r>
          </w:p>
          <w:p>
            <w:pPr>
              <w:pStyle w:val="null3"/>
            </w:pPr>
            <w:r>
              <w:rPr>
                <w:rFonts w:ascii="仿宋_GB2312" w:hAnsi="仿宋_GB2312" w:cs="仿宋_GB2312" w:eastAsia="仿宋_GB2312"/>
              </w:rPr>
              <w:t>12.抗干扰加长脚踏连接线，长度≥5米。</w:t>
            </w:r>
          </w:p>
          <w:p>
            <w:pPr>
              <w:pStyle w:val="null3"/>
            </w:pPr>
            <w:r>
              <w:rPr>
                <w:rFonts w:ascii="仿宋_GB2312" w:hAnsi="仿宋_GB2312" w:cs="仿宋_GB2312" w:eastAsia="仿宋_GB2312"/>
              </w:rPr>
              <w:t>13.网电源连接方式：可插拔，电源线长度≥5米。</w:t>
            </w:r>
          </w:p>
          <w:p>
            <w:pPr>
              <w:pStyle w:val="null3"/>
            </w:pPr>
            <w:r>
              <w:rPr>
                <w:rFonts w:ascii="仿宋_GB2312" w:hAnsi="仿宋_GB2312" w:cs="仿宋_GB2312" w:eastAsia="仿宋_GB2312"/>
              </w:rPr>
              <w:t>14.激光治疗机：连续工作≥8小时。</w:t>
            </w:r>
          </w:p>
          <w:p>
            <w:pPr>
              <w:pStyle w:val="null3"/>
            </w:pPr>
            <w:r>
              <w:rPr>
                <w:rFonts w:ascii="仿宋_GB2312" w:hAnsi="仿宋_GB2312" w:cs="仿宋_GB2312" w:eastAsia="仿宋_GB2312"/>
              </w:rPr>
              <w:t>15.具有控制能量稳定功能，激光能量输出不稳定度：≤±0.3%。</w:t>
            </w:r>
          </w:p>
          <w:p>
            <w:pPr>
              <w:pStyle w:val="null3"/>
            </w:pPr>
            <w:r>
              <w:rPr>
                <w:rFonts w:ascii="仿宋_GB2312" w:hAnsi="仿宋_GB2312" w:cs="仿宋_GB2312" w:eastAsia="仿宋_GB2312"/>
              </w:rPr>
              <w:t>16.具有控制能量稳定功能，激光输出功率的复现性：≤±0.8%。</w:t>
            </w:r>
          </w:p>
          <w:p>
            <w:pPr>
              <w:pStyle w:val="null3"/>
            </w:pPr>
            <w:r>
              <w:rPr>
                <w:rFonts w:ascii="仿宋_GB2312" w:hAnsi="仿宋_GB2312" w:cs="仿宋_GB2312" w:eastAsia="仿宋_GB2312"/>
              </w:rPr>
              <w:t>17.光纤末端单脉冲能量：≥4.5J。</w:t>
            </w:r>
          </w:p>
          <w:p>
            <w:pPr>
              <w:pStyle w:val="null3"/>
            </w:pPr>
            <w:r>
              <w:rPr>
                <w:rFonts w:ascii="仿宋_GB2312" w:hAnsi="仿宋_GB2312" w:cs="仿宋_GB2312" w:eastAsia="仿宋_GB2312"/>
              </w:rPr>
              <w:t>18.脉冲重复频率：≥40Hz可调。</w:t>
            </w:r>
          </w:p>
          <w:p>
            <w:pPr>
              <w:pStyle w:val="null3"/>
            </w:pPr>
            <w:r>
              <w:rPr>
                <w:rFonts w:ascii="仿宋_GB2312" w:hAnsi="仿宋_GB2312" w:cs="仿宋_GB2312" w:eastAsia="仿宋_GB2312"/>
              </w:rPr>
              <w:t>19.工作激光输出波长：2100nm ±100nm。</w:t>
            </w:r>
          </w:p>
          <w:p>
            <w:pPr>
              <w:pStyle w:val="null3"/>
            </w:pPr>
            <w:r>
              <w:rPr>
                <w:rFonts w:ascii="仿宋_GB2312" w:hAnsi="仿宋_GB2312" w:cs="仿宋_GB2312" w:eastAsia="仿宋_GB2312"/>
              </w:rPr>
              <w:t>20.激光耦合效率≥80%。</w:t>
            </w:r>
          </w:p>
          <w:p>
            <w:pPr>
              <w:pStyle w:val="null3"/>
            </w:pPr>
            <w:r>
              <w:rPr>
                <w:rFonts w:ascii="仿宋_GB2312" w:hAnsi="仿宋_GB2312" w:cs="仿宋_GB2312" w:eastAsia="仿宋_GB2312"/>
              </w:rPr>
              <w:t>21.控制方式：全触摸彩色控制屏。</w:t>
            </w:r>
          </w:p>
          <w:p>
            <w:pPr>
              <w:pStyle w:val="null3"/>
            </w:pPr>
            <w:r>
              <w:rPr>
                <w:rFonts w:ascii="仿宋_GB2312" w:hAnsi="仿宋_GB2312" w:cs="仿宋_GB2312" w:eastAsia="仿宋_GB2312"/>
              </w:rPr>
              <w:t>22.专家数据库：嵌入式微电脑内置专家数据库。</w:t>
            </w:r>
          </w:p>
          <w:p>
            <w:pPr>
              <w:pStyle w:val="null3"/>
            </w:pPr>
            <w:r>
              <w:rPr>
                <w:rFonts w:ascii="仿宋_GB2312" w:hAnsi="仿宋_GB2312" w:cs="仿宋_GB2312" w:eastAsia="仿宋_GB2312"/>
              </w:rPr>
              <w:t>23.冷却系统：水冷或风冷。</w:t>
            </w:r>
          </w:p>
          <w:p>
            <w:pPr>
              <w:pStyle w:val="null3"/>
            </w:pPr>
            <w:r>
              <w:rPr>
                <w:rFonts w:ascii="仿宋_GB2312" w:hAnsi="仿宋_GB2312" w:cs="仿宋_GB2312" w:eastAsia="仿宋_GB2312"/>
              </w:rPr>
              <w:t>24.噪声≤70dB。</w:t>
            </w:r>
          </w:p>
          <w:p>
            <w:pPr>
              <w:pStyle w:val="null3"/>
            </w:pPr>
            <w:r>
              <w:rPr>
                <w:rFonts w:ascii="仿宋_GB2312" w:hAnsi="仿宋_GB2312" w:cs="仿宋_GB2312" w:eastAsia="仿宋_GB2312"/>
              </w:rPr>
              <w:t>25.密封腔体设计：具有防震、防潮、防尘、防电磁波干扰。</w:t>
            </w:r>
          </w:p>
          <w:p>
            <w:pPr>
              <w:pStyle w:val="null3"/>
            </w:pPr>
            <w:r>
              <w:rPr>
                <w:rFonts w:ascii="仿宋_GB2312" w:hAnsi="仿宋_GB2312" w:cs="仿宋_GB2312" w:eastAsia="仿宋_GB2312"/>
              </w:rPr>
              <w:t>26.具有精确的能量反馈系统：自动监测能量，自动实时能量控制和补偿。</w:t>
            </w:r>
          </w:p>
          <w:p>
            <w:pPr>
              <w:pStyle w:val="null3"/>
            </w:pPr>
            <w:r>
              <w:rPr>
                <w:rFonts w:ascii="仿宋_GB2312" w:hAnsi="仿宋_GB2312" w:cs="仿宋_GB2312" w:eastAsia="仿宋_GB2312"/>
              </w:rPr>
              <w:t>钬激光治疗机配置清单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品名</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钬激光治疗机主机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脚踏开关</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钬激光治疗机附件光纤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根</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钬激光治疗机附件光纤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根</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光纤剥离器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把</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光纤切割笔</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把</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手持光纤端面检验仪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个</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激光防护镜</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副</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使用说明书（电子版）</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份</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保修卡</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份</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合格证</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份</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蒲城县中医医院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进度款，项目终验合格，达到付款条件起30个工作日内，支付合同总金额的40.0%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进度款，终验合格一年后，达到付款条件起30个工作日内，支付合同总金额的30.0%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进度款，终验合格三年后，达到付款条件起30个工作日内，支付合同总金额的30.0%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1.按合同约定规格质量完成货物供货，由采购人现场核对数量、外观及资料。所有设备安装完毕，正常使用5个日历日后，由采购人组织相关人员进行终验（最终验收），合格后签发《终验合格单》。 2.验收依据 2.1合同文本及合同补充文件（条款）； 2.2采购文件； 2.3投标文件； 2.4合同货物清单； 2.5生产厂家的企业资质等。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1.质保期为验收合格之日起不少于三年。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1、中标人在领取中标通知书时提供一正两副纸质投标文件。纸质投标文件采用书籍（胶装）方式装订成册，与电子投标文件一致的签字、盖章的完整版本（正本为红章，副本不作要求）2、退还保证金： 2.1在投标截止时间前撤回已提交投标文件的投标人的投标保证金，将在招标代理机构收到投标人书面撤回通知之日起5个工作日内退还。2.2所有未中标人的投标保证金，将在中标通知书发出后5个工作日内退还。2.3中标人的投标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投标人须提供医疗器械经营许可证或备案凭证、所投产品生产厂家的医疗器械生产许可证及医疗器械产品注册证（或备案凭证）；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代理机构在投标截止日当天在“信用中国”网站和中国政府采购网站进行查询，截图留档；如网站无投标人信息的，投标人须提供相关证明资料或书面声明且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代理机构在投标截止日当天在“国家企业信用信息公示系统”网站进行查询，截图留档；如网站无供应商信息的，投标人须提供相关证明资料或书面声明且附在投标文件中）。</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开标一览表 中小企业声明函 分项报价.docx 商务条款响应偏离表.docx 技术规格响应偏离表.docx 选配件报价表.docx 投标函 残疾人福利性单位声明函 拒绝政府采购领域商业贿赂承诺书.docx 标的清单 关于符合本国产品标准的声明函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中小企业声明函 分项报价.docx 商务条款响应偏离表.docx 技术规格响应偏离表.docx 投标函 残疾人福利性单位声明函 拒绝政府采购领域商业贿赂承诺书.docx 标的清单 关于符合本国产品标准的声明函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标产品中为节能产品政府采购清单中优先采购的节能产品的计1分，为环境标志产品政府采购清单中的产品的计1分，产品同时为节能产品政府采购清单中优先采购的节能产品和环境标志产品政府采购清单中的产品的得2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31分；技术指标中标注“▲”号每有一条负偏离扣2分,其他参数每有一条负偏离扣1分，基本分扣完为止。标注“▲”号参数需提供佐证材料，包括但不限于功能截图、检测报告、官网截图、产品说明书、技术白皮书等任意一种证明材料。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能提供所投产品钬激光治疗机的合法来源渠道证明文件（包括但不限于产品制造商授权、销售协议、代理协议、原厂授权等任意一种）的计7分，未提供的不计分。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投标人需提供2023年1月至今类似项目业绩。每份计2分，本项最多计10分。 注：投标文件中须附有完整合同（以合同签订时间为准）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针对本项目有具体实施方案，包含但不限于：①备货、供货进度；②保证措施；③项目验收方案等。 评审标准：内容全面详细、阐述条理清晰、逻辑清晰、具有针对性、合理可行计3分。每有一项缺项扣1分，每有一处内容存在缺陷扣0.5分，扣完为止，未提供相关内容本项不计分。 备注：缺陷是指内容不合理、与服务内容有较大偏差的、内容仅有粗略表述不具体、内容表述前后不一致、出现明显错误、套用其他项目方案或与项目需求不匹配及其他不利于项目实施等任意一种情形。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包含但不限于：①质量管理制度；②产品设计、生产、检验等质量管控能力；③产品使用寿命及效果；④质量保证期限及质量保证范围及质量保证承诺及措施。 评审标准：内容全面详细、阐述条理清晰、逻辑清晰、具有针对性、合理可行计4分。每有一项缺项扣1分，每有一处内容存在缺陷扣0.5分，扣完为止，未提供相关内容本项不计分。 备注：缺陷是指内容不合理、与服务内容有较大偏差的、内容仅有粗略表述不具体、内容表述前后不一致、出现明显错误、套用其他项目方案或与项目需求不匹配及其他不利于项目实施等任意一种情形。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包含但不限于：①资金筹措及仓储设施；②运输工具；③人员素质及管理水平。 评审标准：内容全面详细、阐述条理清晰、逻辑清晰、具有针对性、合理可行计3分。每有一项缺项扣1分，每有一处内容存在缺陷扣0.5分，扣完为止，未提供相关内容本项不计分。 备注：缺陷是指内容不合理、与服务内容有较大偏差的、内容仅有粗略表述不具体、内容表述前后不一致、出现明显错误、套用其他项目方案或与项目需求不匹配及其他不利于项目实施等任意一种情形。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安装调试及安全保障</w:t>
            </w:r>
          </w:p>
        </w:tc>
        <w:tc>
          <w:tcPr>
            <w:tcW w:type="dxa" w:w="2492"/>
          </w:tcPr>
          <w:p>
            <w:pPr>
              <w:pStyle w:val="null3"/>
            </w:pPr>
            <w:r>
              <w:rPr>
                <w:rFonts w:ascii="仿宋_GB2312" w:hAnsi="仿宋_GB2312" w:cs="仿宋_GB2312" w:eastAsia="仿宋_GB2312"/>
              </w:rPr>
              <w:t>包含但不限于：①安装、调试、检测方案；②安全保障措施。 评审标准：内容全面详细、阐述条理清晰、逻辑清晰、具有针对性、合理可行计2分。每有一项缺项扣1分，每有一处内容存在缺陷扣0.5分，扣完为止，未提供相关内容本项不计分。 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安装调试及安全保障.docx</w:t>
            </w:r>
          </w:p>
        </w:tc>
      </w:tr>
      <w:tr>
        <w:tc>
          <w:tcPr>
            <w:tcW w:type="dxa" w:w="831"/>
            <w:vMerge/>
          </w:tcPr>
          <w:p/>
        </w:tc>
        <w:tc>
          <w:tcPr>
            <w:tcW w:type="dxa" w:w="1661"/>
          </w:tcPr>
          <w:p>
            <w:pPr>
              <w:pStyle w:val="null3"/>
            </w:pPr>
            <w:r>
              <w:rPr>
                <w:rFonts w:ascii="仿宋_GB2312" w:hAnsi="仿宋_GB2312" w:cs="仿宋_GB2312" w:eastAsia="仿宋_GB2312"/>
              </w:rPr>
              <w:t>项目团队人员安排</w:t>
            </w:r>
          </w:p>
        </w:tc>
        <w:tc>
          <w:tcPr>
            <w:tcW w:type="dxa" w:w="2492"/>
          </w:tcPr>
          <w:p>
            <w:pPr>
              <w:pStyle w:val="null3"/>
            </w:pPr>
            <w:r>
              <w:rPr>
                <w:rFonts w:ascii="仿宋_GB2312" w:hAnsi="仿宋_GB2312" w:cs="仿宋_GB2312" w:eastAsia="仿宋_GB2312"/>
              </w:rPr>
              <w:t>包含但不限于：①具体的项目团队人员及安排；②岗位责任制度等。 评审标准：内容全面详细、阐述条理清晰、逻辑清晰、具有针对性、合理可行计2分。每有一项缺项扣1分，每有一处内容存在缺陷扣0.5分，扣完为止，未提供相关内容本项不计分。 备注：缺陷是指内容不合理、与服务内容有较大偏差的、内容仅有粗略表述不具体、内容表述前后不一致、出现明显错误、套用其他项目方案或与项目需求不匹配及其他不利于项目实施等任意一种情形。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项目团队人员安排.docx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包含但不限于：①售后服务承诺及措施；②售后服务网点的设定；③售后人员配置、培训计划；④培训内容及培训方式；⑤设备日常维护方案及措施；⑥项目交付用户后出现故障响应时间及措施。 评审标准：内容全面详细、阐述条理清晰、逻辑清晰、具有针对性、合理可行计6分。每有一项缺项扣1分，每有一处内容存在缺陷扣0.5分，扣完为止，未提供相关内容本项不计分。 注：缺陷是指内容不合理、与服务内容有较大偏差的、内容仅有粗略表述不具体、内容表述前后不一致、出现明显错误、套用其他项目方案或与项目需求不匹配及其他不利于项目实施等任意一种情形。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详见附件：安装调试及安全保障.docx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详见附件：项目团队人员安排.docx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货物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