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版本号：CGZC-2026-03220260604001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安全隐患排查治理咨询服务项目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CGZC-2026-032</w:t>
      </w:r>
      <w:r>
        <w:br/>
      </w:r>
      <w:r>
        <w:br/>
      </w:r>
      <w:r>
        <w:br/>
      </w:r>
    </w:p>
    <w:p>
      <w:pPr>
        <w:pStyle w:val="null3"/>
        <w:jc w:val="center"/>
        <w:outlineLvl w:val="2"/>
      </w:pPr>
      <w:r>
        <w:rPr>
          <w:rFonts w:ascii="仿宋_GB2312" w:hAnsi="仿宋_GB2312" w:cs="仿宋_GB2312" w:eastAsia="仿宋_GB2312"/>
          <w:sz w:val="28"/>
          <w:b/>
        </w:rPr>
        <w:t>西安浐灞国际港应急管理局</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西安浐灞国际港应急管理局</w:t>
      </w:r>
      <w:r>
        <w:rPr>
          <w:rFonts w:ascii="仿宋_GB2312" w:hAnsi="仿宋_GB2312" w:cs="仿宋_GB2312" w:eastAsia="仿宋_GB2312"/>
        </w:rPr>
        <w:t>委托，拟对</w:t>
      </w:r>
      <w:r>
        <w:rPr>
          <w:rFonts w:ascii="仿宋_GB2312" w:hAnsi="仿宋_GB2312" w:cs="仿宋_GB2312" w:eastAsia="仿宋_GB2312"/>
        </w:rPr>
        <w:t>安全隐患排查治理咨询服务项目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安全隐患排查治理咨询服务项目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协助采购人对建筑工地、校园安全、特种设备、消防设施、城镇燃气、园林绿化、危险化学品、工矿商贸等进行隐患排查，对重点企业进行安全教育培训、应急预案专项培训、双预防机制建设培训，对管委会各行业主管部门进行培训及其它类的培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029-83332050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马重霄</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029-83332439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国家发展和改革委员会办公厅颁发的《关于招标代理服务收费有关问题的通知》（发改办价格〔2003〕857号）的有关规定执行。 招标代理服务费交纳信息： 银行户名：陕西蒿天项目管理有限公司 开户银行：中国建设银行股份有限公司西安锦园新世纪支行 账号：61050175390000000337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西安浐灞国际港应急管理局</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符合现行国家、行业标准，符合采购人要求。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协助采购人对建筑工地、校园安全、特种设备、消防设施、城镇燃气、园林绿化、危险化学品、工矿商贸等进行隐患排查，对重点企业进行安全教育培训、应急预案专项培训、双预防机制建设培训，对管委会各行业主管部门进行培训及其它类的培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安全隐患排查治理咨询服务项目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标的名称：安全隐患排查治理咨询服务项目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一、项目要求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2.服务期：自合同签订之日起一年内。</w:t>
            </w:r>
          </w:p>
          <w:p>
            <w:pPr>
              <w:pStyle w:val="null3"/>
            </w:pPr>
            <w:r>
              <w:rPr>
                <w:rFonts w:ascii="仿宋_GB2312" w:hAnsi="仿宋_GB2312" w:cs="仿宋_GB2312" w:eastAsia="仿宋_GB2312"/>
              </w:rPr>
              <w:t>3.成交供应商不得将项目转包或分包给第三方。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二、服务内容</w:t>
            </w:r>
          </w:p>
          <w:p>
            <w:pPr>
              <w:pStyle w:val="null3"/>
            </w:pPr>
            <w:r>
              <w:rPr>
                <w:rFonts w:ascii="仿宋_GB2312" w:hAnsi="仿宋_GB2312" w:cs="仿宋_GB2312" w:eastAsia="仿宋_GB2312"/>
              </w:rPr>
              <w:t>组建专业团队并邀请相关服务内容的中、省、市应急管理专家库内专家，定期对辖区内建筑工地、校园安全、特种设备、消防设施、城镇燃气、园林绿化、危化、工矿商贸等重点领域开展隐患排查治理，同时安排专人协助采购人开展安全生产各级各类培训，包括但不限于：应急安全培训、防灾减灾培训、重点监管企业安全教育培训、应急预案专项培训、双预防机制建设培训等。</w:t>
            </w:r>
          </w:p>
          <w:p>
            <w:pPr>
              <w:pStyle w:val="null3"/>
            </w:pPr>
            <w:r>
              <w:rPr>
                <w:rFonts w:ascii="仿宋_GB2312" w:hAnsi="仿宋_GB2312" w:cs="仿宋_GB2312" w:eastAsia="仿宋_GB2312"/>
              </w:rPr>
              <w:t>1.隐患排查类：隐患排查治理每个月大于等于50次，全年不少于600次；</w:t>
            </w:r>
          </w:p>
          <w:p>
            <w:pPr>
              <w:pStyle w:val="null3"/>
            </w:pPr>
            <w:r>
              <w:rPr>
                <w:rFonts w:ascii="仿宋_GB2312" w:hAnsi="仿宋_GB2312" w:cs="仿宋_GB2312" w:eastAsia="仿宋_GB2312"/>
              </w:rPr>
              <w:t>2.培训类：重点企业安全教育培训3次，应急预案专项培训、双预防机制建设培训4次以上，管委会各行业主管部门培训至少1次，全年培训不少于8次。</w:t>
            </w:r>
          </w:p>
          <w:p>
            <w:pPr>
              <w:pStyle w:val="null3"/>
            </w:pPr>
            <w:r>
              <w:rPr>
                <w:rFonts w:ascii="仿宋_GB2312" w:hAnsi="仿宋_GB2312" w:cs="仿宋_GB2312" w:eastAsia="仿宋_GB2312"/>
              </w:rPr>
              <w:t>3.其他类：按甲方需求及时提供相关专项工作，包括但不限于：突发事件处置、现场勘察、出具评估报告及专家意见、技术方案评估审查、大型活动保障等。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pPr>
            <w:r>
              <w:rPr>
                <w:rFonts w:ascii="仿宋_GB2312" w:hAnsi="仿宋_GB2312" w:cs="仿宋_GB2312" w:eastAsia="仿宋_GB2312"/>
              </w:rPr>
              <w:t>本项目需确定一名专职联络员，负责专家的派遣、调配和管理。每次咨询服务配备的专业技术人员，要具备丰富的经验，能够针对安全隐患排查治理、生产安全事故应急处置、重大隐患排查整治、专项督查检查及咨询评估等技术服务。服务完成后提供现场检查记录单、现场照片等信息。服务过半及期满后，分别提供半年、全年总结报告一份。</w:t>
            </w:r>
          </w:p>
          <w:p>
            <w:pPr>
              <w:pStyle w:val="null3"/>
            </w:pPr>
            <w:r>
              <w:rPr>
                <w:rFonts w:ascii="仿宋_GB2312" w:hAnsi="仿宋_GB2312" w:cs="仿宋_GB2312" w:eastAsia="仿宋_GB2312"/>
              </w:rPr>
              <w:t>专家需具有高级工程师、注册安全工程师及行业领域注册类证书，为国家、陕西省、西安市应急管理专家库成员，且具有10年以上的行业领域从业经验。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四、技术要求</w:t>
            </w:r>
          </w:p>
          <w:p>
            <w:pPr>
              <w:pStyle w:val="null3"/>
            </w:pPr>
            <w:r>
              <w:rPr>
                <w:rFonts w:ascii="仿宋_GB2312" w:hAnsi="仿宋_GB2312" w:cs="仿宋_GB2312" w:eastAsia="仿宋_GB2312"/>
              </w:rPr>
              <w:t>隐患排查治理及相关培训至少满足相关国家及行业标准及采购人要求，相关情况需及时汇报采购人；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五、成果交付要求</w:t>
            </w:r>
          </w:p>
          <w:p>
            <w:pPr>
              <w:pStyle w:val="null3"/>
            </w:pPr>
            <w:r>
              <w:rPr>
                <w:rFonts w:ascii="仿宋_GB2312" w:hAnsi="仿宋_GB2312" w:cs="仿宋_GB2312" w:eastAsia="仿宋_GB2312"/>
              </w:rPr>
              <w:t>（1）原始材料：检查记录单、现场照片、半年及年度总结分析报告、各类培训评估报告、其他专项评估报告或意见。</w:t>
            </w:r>
          </w:p>
          <w:p>
            <w:pPr>
              <w:pStyle w:val="null3"/>
            </w:pPr>
            <w:r>
              <w:rPr>
                <w:rFonts w:ascii="仿宋_GB2312" w:hAnsi="仿宋_GB2312" w:cs="仿宋_GB2312" w:eastAsia="仿宋_GB2312"/>
              </w:rPr>
              <w:t>（2）电子资料：所有原始资料均扫描成电子版交付。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采购包1：1.乙方满足甲方人数和服务质量要求，经甲方与成交乙方双方负责人确认，对达不到本项目要求所述条件要求的人员进行更换。 2.采购人进行验收，若认为验收不合格，供应商应重新调整且进行重新验收。 3.验收依据： ①本项目磋商文件、磋商响应文件； ②本合同及附件文本； ③合同签订时国家及行业现行的标准和技术规范。 ④供应商应向采购人提交项目实施过程中的所有资料，以便采购人日后检查工作。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预付款，合同签订后10个工作日内，支付合同暂定金额的20%作为预付款，达到付款条件起10个工作日内，支付合同总金额的20.0%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进度款，合同签订半年后据实结算已完成项目费用，达到付款条件起30个工作日内，支付合同总金额的40.0%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进度款，合同执行完毕并验收合格后，据实结算支付剩余价款，达到付款条件起30个工作日内，支付合同总金额的40.0%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违约责任：1.按《中华人民共和国民法典》中的相关条款执行。 2.乙方未按合同约定向甲方及时提供合格服务的，因未按期限服务，每逾期一次的应支付违约金1300元，因未提供合格服务的被甲方书面要求整改的，每发生一次应支付违约金1500元。合同期限内，乙方因未及时提供合格服务造成逾期被要求整改过五次的，构成根本违约、甲方有权解除合同并要求乙方支付合同总价款20%的违约金。 3.乙方因履行本合同义务造成第三人财产或人身损害的，应当自行承担损害赔偿义务。因此给甲方财产造成损失的，乙方应当予以赔偿。 4.乙方及其员工在履行本协议过程中受到第三人伤害的，应当予由乙方自行负责。 5.甲乙双方应遵守合同并执行合同中的各项规定，保证合同的正常履行。 6.如碰到不可抗力因素造成无法按照原计划提供服务的，由甲乙双方协商解决。 解决争议的方法：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1.本项目非专门面向中小企业采购，符合竞争性磋商文件规定的小微企业、监狱企业、残疾人福利企业优惠条件的供应商，价格给予10%的扣除，用扣除后的磋商报价参与评审。 2.本项目属性为服务。 3.本项目合同包1采购标的所属行业为：其他未列明行业； 4.本项目是否属于信用担保试点范围：否。 5.本项目为固定单价合同。 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11月至今已缴纳的至少一个月的纳税证明或完税证明（任意税种），依法免税的单位应提供相关证明材料；3.提供2025年11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磋商方案说明.docx 承诺书.docx 响应函 资格证明文件.docx 商务条款偏离表.docx 其他说明.docx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磋商方案说明.docx 资格证明文件.docx 其他说明.docx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磋商方案说明.docx 响应函 资格证明文件.docx 其他说明.docx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磋商方案说明.docx 资格证明文件.docx 其他说明.docx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磋商方案说明.docx 资格证明文件.docx 其他说明.docx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磋商方案说明.docx 资格证明文件.docx 其他说明.docx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业绩.docx 中小企业声明函 承诺书.docx 报价表 分项报价.docx 资格证明文件.docx 其他说明.docx 响应文件封面 磋商方案说明.docx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业绩.docx 中小企业声明函 承诺书.docx 报价表 分项报价.docx 资格证明文件.docx 其他说明.docx 响应文件封面 磋商方案说明.docx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业绩.docx 中小企业声明函 承诺书.docx 报价表 分项报价.docx 资格证明文件.docx 其他说明.docx 响应文件封面 磋商方案说明.docx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业绩.docx 中小企业声明函 承诺书.docx 报价表 分项报价.docx 资格证明文件.docx 其他说明.docx 响应文件封面 磋商方案说明.docx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磋商方案说明.docx 报价表 响应函 其他说明.docx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针对服务内容及要求提供隐患排查类服务方案，包括但不限于：①安全隐患排查治理；②生产安全事故应急处置；③重大隐患排查整治；④专项督查检查及咨询评估等。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针对服务内容及要求提供培训类服务方案，包括但不限于：①应急安全培训；②防灾减灾培训；③重点监管企业安全教育培训；④应急预案专项培训；⑤双预防机制建设培训等。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录制拍摄服务</w:t>
            </w:r>
          </w:p>
        </w:tc>
        <w:tc>
          <w:tcPr>
            <w:tcW w:type="dxa" w:w="2492"/>
          </w:tcPr>
          <w:p>
            <w:pPr>
              <w:pStyle w:val="null3"/>
            </w:pPr>
            <w:r>
              <w:rPr>
                <w:rFonts w:ascii="仿宋_GB2312" w:hAnsi="仿宋_GB2312" w:cs="仿宋_GB2312" w:eastAsia="仿宋_GB2312"/>
              </w:rPr>
              <w:t>一、针对本项目采购需求制定录制拍摄服务方案，方案严谨细致，内容具有针对性，包括但不限于：①提供影音视频制作及专业录制团队；②提供专业的录制拍摄服务。二、评审标准： 方案全面，对评审内容中的要求有详细阐述；切合本项目实际情况，步骤清晰、合理得5分，每一项评审内容缺项扣2.5分，任意一项评审内容存在一处缺陷，扣0.5分，扣完为止。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针对服务内容及要求提供工作进度安排，包括但不限于：①工作流程；②工作进度及时间安排；③工作时效保证措施等。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质量保证 方案</w:t>
            </w:r>
          </w:p>
        </w:tc>
        <w:tc>
          <w:tcPr>
            <w:tcW w:type="dxa" w:w="2492"/>
          </w:tcPr>
          <w:p>
            <w:pPr>
              <w:pStyle w:val="null3"/>
            </w:pPr>
            <w:r>
              <w:rPr>
                <w:rFonts w:ascii="仿宋_GB2312" w:hAnsi="仿宋_GB2312" w:cs="仿宋_GB2312" w:eastAsia="仿宋_GB2312"/>
              </w:rPr>
              <w:t>一、评审内容 针对本项目提供具体的质量保障方案：①服务质量保障方案；②服务质量自检及整改措施。③信息保密制度④保密方案。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针对本项目人员配备，内容包含：①人员岗位职责；②人员组成及管理制度；③相关奖惩措施等。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针对本项目提供详尽的服务承诺，包括但不限于：①服务质量目标；②有利于本项目实施的服务承诺；③合理化建议等。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资料管理</w:t>
            </w:r>
          </w:p>
        </w:tc>
        <w:tc>
          <w:tcPr>
            <w:tcW w:type="dxa" w:w="2492"/>
          </w:tcPr>
          <w:p>
            <w:pPr>
              <w:pStyle w:val="null3"/>
            </w:pPr>
            <w:r>
              <w:rPr>
                <w:rFonts w:ascii="仿宋_GB2312" w:hAnsi="仿宋_GB2312" w:cs="仿宋_GB2312" w:eastAsia="仿宋_GB2312"/>
              </w:rPr>
              <w:t>一、评审内容 供应商针对本项目提供①资料管理方案；②资料移交工作制度。 二、评审标准： 方案全面，对评审内容中的要求有详细阐述；切合本项目实际情况，步骤清晰、合理得4分，每一项评审内容缺项扣2分，任意一项评审内容存在一处缺陷，扣0.5分，扣完为止。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供应商2022年01月01日至今类似项目业绩，每提供1份得2分，最高得10分； 业绩证明（以合同/协议或中标/成交通知书为准，须在磋商响应文件中附合同/协议或中标/成交通知书的扫描件加盖单位公章。）弄虚作假者，取消其中标资格。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15分。3.磋商报价得分=（磋商基准价/最终磋商报价）×15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