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75FEBA">
      <w:pPr>
        <w:pStyle w:val="11"/>
        <w:ind w:firstLine="723"/>
        <w:jc w:val="center"/>
        <w:outlineLvl w:val="1"/>
        <w:rPr>
          <w:rFonts w:hint="default" w:asciiTheme="minorEastAsia" w:hAnsiTheme="minorEastAsia"/>
          <w:highlight w:val="none"/>
        </w:rPr>
      </w:pPr>
      <w:r>
        <w:rPr>
          <w:rFonts w:asciiTheme="minorEastAsia" w:hAnsiTheme="minorEastAsia"/>
          <w:b/>
          <w:sz w:val="36"/>
          <w:highlight w:val="none"/>
        </w:rPr>
        <w:t>第八章</w:t>
      </w:r>
      <w:r>
        <w:rPr>
          <w:rFonts w:asciiTheme="minorEastAsia" w:hAnsiTheme="minorEastAsia"/>
          <w:b/>
          <w:sz w:val="36"/>
          <w:highlight w:val="none"/>
          <w:lang w:eastAsia="zh-CN"/>
        </w:rPr>
        <w:t xml:space="preserve"> </w:t>
      </w:r>
      <w:r>
        <w:rPr>
          <w:rFonts w:asciiTheme="minorEastAsia" w:hAnsiTheme="minorEastAsia"/>
          <w:b/>
          <w:sz w:val="36"/>
          <w:highlight w:val="none"/>
        </w:rPr>
        <w:t>拟签订采购合同文本</w:t>
      </w:r>
    </w:p>
    <w:p w14:paraId="177DADEA">
      <w:pPr>
        <w:rPr>
          <w:highlight w:val="none"/>
        </w:rPr>
      </w:pPr>
    </w:p>
    <w:p w14:paraId="1E99A907">
      <w:pPr>
        <w:rPr>
          <w:highlight w:val="none"/>
        </w:rPr>
      </w:pPr>
    </w:p>
    <w:p w14:paraId="3CD36CF8">
      <w:pPr>
        <w:jc w:val="center"/>
        <w:rPr>
          <w:sz w:val="30"/>
          <w:szCs w:val="30"/>
          <w:highlight w:val="none"/>
        </w:rPr>
      </w:pPr>
      <w:r>
        <w:rPr>
          <w:rFonts w:hint="eastAsia"/>
          <w:b/>
          <w:sz w:val="52"/>
          <w:szCs w:val="52"/>
          <w:highlight w:val="none"/>
          <w:lang w:eastAsia="zh-CN"/>
        </w:rPr>
        <w:t>西安浐灞国际港安全隐患排查治理咨询服务项目</w:t>
      </w:r>
    </w:p>
    <w:p w14:paraId="04D14EA8">
      <w:pPr>
        <w:jc w:val="center"/>
        <w:rPr>
          <w:rFonts w:hint="eastAsia"/>
          <w:b/>
          <w:sz w:val="30"/>
          <w:szCs w:val="30"/>
          <w:highlight w:val="none"/>
        </w:rPr>
      </w:pPr>
    </w:p>
    <w:p w14:paraId="209A93CE">
      <w:pPr>
        <w:jc w:val="center"/>
        <w:rPr>
          <w:rFonts w:hint="eastAsia"/>
          <w:b/>
          <w:sz w:val="30"/>
          <w:szCs w:val="30"/>
          <w:highlight w:val="none"/>
        </w:rPr>
      </w:pPr>
      <w:r>
        <w:rPr>
          <w:rFonts w:hint="eastAsia"/>
          <w:b/>
          <w:sz w:val="30"/>
          <w:szCs w:val="30"/>
          <w:highlight w:val="none"/>
        </w:rPr>
        <w:t>（示范文本）</w:t>
      </w:r>
    </w:p>
    <w:p w14:paraId="4BAE6C73">
      <w:pPr>
        <w:pStyle w:val="4"/>
        <w:rPr>
          <w:highlight w:val="none"/>
        </w:rPr>
      </w:pPr>
    </w:p>
    <w:p w14:paraId="48B1C34C">
      <w:pPr>
        <w:jc w:val="center"/>
        <w:rPr>
          <w:rFonts w:hint="eastAsia"/>
          <w:b/>
          <w:sz w:val="52"/>
          <w:szCs w:val="52"/>
          <w:highlight w:val="none"/>
          <w:lang w:val="en-US" w:eastAsia="zh-CN"/>
        </w:rPr>
      </w:pPr>
      <w:r>
        <w:rPr>
          <w:rFonts w:hint="eastAsia"/>
          <w:b/>
          <w:sz w:val="52"/>
          <w:szCs w:val="52"/>
          <w:highlight w:val="none"/>
          <w:lang w:val="en-US" w:eastAsia="zh-CN"/>
        </w:rPr>
        <w:t>合 同 书</w:t>
      </w:r>
    </w:p>
    <w:p w14:paraId="6BFF7177">
      <w:pPr>
        <w:rPr>
          <w:rFonts w:hint="eastAsia" w:eastAsia="宋体"/>
          <w:sz w:val="30"/>
          <w:szCs w:val="30"/>
          <w:highlight w:val="none"/>
          <w:lang w:eastAsia="zh-CN"/>
        </w:rPr>
      </w:pPr>
    </w:p>
    <w:p w14:paraId="48F30F31">
      <w:pPr>
        <w:rPr>
          <w:rFonts w:hint="eastAsia" w:eastAsia="宋体"/>
          <w:sz w:val="30"/>
          <w:szCs w:val="30"/>
          <w:highlight w:val="none"/>
          <w:lang w:eastAsia="zh-CN"/>
        </w:rPr>
      </w:pPr>
    </w:p>
    <w:p w14:paraId="4697A7EB">
      <w:pPr>
        <w:rPr>
          <w:rFonts w:hint="eastAsia" w:eastAsia="宋体"/>
          <w:sz w:val="30"/>
          <w:szCs w:val="30"/>
          <w:highlight w:val="none"/>
          <w:lang w:eastAsia="zh-CN"/>
        </w:rPr>
      </w:pPr>
    </w:p>
    <w:p w14:paraId="24CF91F7">
      <w:pPr>
        <w:jc w:val="center"/>
        <w:rPr>
          <w:rFonts w:hint="eastAsia"/>
          <w:b/>
          <w:sz w:val="44"/>
          <w:szCs w:val="44"/>
          <w:highlight w:val="none"/>
          <w:lang w:val="en-US" w:eastAsia="zh-CN"/>
        </w:rPr>
      </w:pPr>
      <w:r>
        <w:rPr>
          <w:rFonts w:hint="eastAsia"/>
          <w:b/>
          <w:sz w:val="44"/>
          <w:szCs w:val="44"/>
          <w:highlight w:val="none"/>
          <w:lang w:val="en-US" w:eastAsia="zh-CN"/>
        </w:rPr>
        <w:t>合同编号：XXXX</w:t>
      </w:r>
    </w:p>
    <w:p w14:paraId="121B4472">
      <w:pPr>
        <w:rPr>
          <w:rFonts w:hint="default"/>
          <w:sz w:val="30"/>
          <w:szCs w:val="30"/>
          <w:highlight w:val="none"/>
          <w:lang w:val="en-US" w:eastAsia="zh-CN"/>
        </w:rPr>
      </w:pPr>
    </w:p>
    <w:p w14:paraId="22BBAB08">
      <w:pPr>
        <w:rPr>
          <w:sz w:val="30"/>
          <w:szCs w:val="30"/>
          <w:highlight w:val="none"/>
        </w:rPr>
      </w:pPr>
    </w:p>
    <w:p w14:paraId="56F5676D">
      <w:pPr>
        <w:spacing w:line="360" w:lineRule="auto"/>
        <w:ind w:left="1469" w:hanging="1469" w:hangingChars="400"/>
        <w:jc w:val="center"/>
        <w:rPr>
          <w:rFonts w:hint="eastAsia" w:ascii="宋体" w:hAnsi="宋体" w:eastAsia="宋体" w:cs="宋体"/>
          <w:b/>
          <w:color w:val="auto"/>
          <w:spacing w:val="23"/>
          <w:sz w:val="32"/>
          <w:szCs w:val="32"/>
          <w:highlight w:val="none"/>
        </w:rPr>
      </w:pPr>
      <w:r>
        <w:rPr>
          <w:rFonts w:hint="eastAsia" w:ascii="宋体" w:hAnsi="宋体" w:eastAsia="宋体" w:cs="宋体"/>
          <w:b/>
          <w:color w:val="auto"/>
          <w:spacing w:val="23"/>
          <w:sz w:val="32"/>
          <w:szCs w:val="32"/>
          <w:highlight w:val="none"/>
        </w:rPr>
        <w:t>甲方(</w:t>
      </w:r>
      <w:r>
        <w:rPr>
          <w:rFonts w:hint="eastAsia" w:ascii="宋体" w:hAnsi="宋体" w:eastAsia="宋体" w:cs="宋体"/>
          <w:b/>
          <w:color w:val="auto"/>
          <w:spacing w:val="23"/>
          <w:sz w:val="32"/>
          <w:szCs w:val="32"/>
          <w:highlight w:val="none"/>
        </w:rPr>
        <w:fldChar w:fldCharType="begin"/>
      </w:r>
      <w:r>
        <w:rPr>
          <w:rFonts w:hint="eastAsia" w:ascii="宋体" w:hAnsi="宋体" w:eastAsia="宋体" w:cs="宋体"/>
          <w:b/>
          <w:color w:val="auto"/>
          <w:spacing w:val="23"/>
          <w:sz w:val="32"/>
          <w:szCs w:val="32"/>
          <w:highlight w:val="none"/>
        </w:rPr>
        <w:instrText xml:space="preserve">HYPERLINK "http://set2.mail.qq.com/cgi-bin/mail_spam?action=check_link&amp;spam=0&amp;url=http%3A%2F%2Fwww%2Ebaidu%2Ecom%2Fs%3Fwd%3D%25E9%2587%2587%25E8%25B4%25AD%25E5%258D%2595%26hl_tag%3Dtextlink%26tn%3DSE_hldp01350_v6v6zkg6"</w:instrText>
      </w:r>
      <w:r>
        <w:rPr>
          <w:rFonts w:hint="eastAsia" w:ascii="宋体" w:hAnsi="宋体" w:eastAsia="宋体" w:cs="宋体"/>
          <w:b/>
          <w:color w:val="auto"/>
          <w:spacing w:val="23"/>
          <w:sz w:val="32"/>
          <w:szCs w:val="32"/>
          <w:highlight w:val="none"/>
        </w:rPr>
        <w:fldChar w:fldCharType="separate"/>
      </w:r>
      <w:r>
        <w:rPr>
          <w:rFonts w:hint="eastAsia" w:ascii="宋体" w:hAnsi="宋体" w:eastAsia="宋体" w:cs="宋体"/>
          <w:b/>
          <w:color w:val="auto"/>
          <w:spacing w:val="23"/>
          <w:sz w:val="32"/>
          <w:szCs w:val="32"/>
          <w:highlight w:val="none"/>
        </w:rPr>
        <w:t>采购人</w:t>
      </w:r>
      <w:r>
        <w:rPr>
          <w:rFonts w:hint="eastAsia" w:ascii="宋体" w:hAnsi="宋体" w:eastAsia="宋体" w:cs="宋体"/>
          <w:b/>
          <w:color w:val="auto"/>
          <w:spacing w:val="23"/>
          <w:sz w:val="32"/>
          <w:szCs w:val="32"/>
          <w:highlight w:val="none"/>
        </w:rPr>
        <w:fldChar w:fldCharType="end"/>
      </w:r>
      <w:r>
        <w:rPr>
          <w:rFonts w:hint="eastAsia" w:ascii="宋体" w:hAnsi="宋体" w:eastAsia="宋体" w:cs="宋体"/>
          <w:b/>
          <w:color w:val="auto"/>
          <w:spacing w:val="23"/>
          <w:sz w:val="32"/>
          <w:szCs w:val="32"/>
          <w:highlight w:val="none"/>
        </w:rPr>
        <w:t>)：</w:t>
      </w:r>
      <w:r>
        <w:rPr>
          <w:rFonts w:hint="eastAsia" w:ascii="宋体" w:hAnsi="宋体" w:eastAsia="宋体" w:cs="宋体"/>
          <w:color w:val="auto"/>
          <w:spacing w:val="23"/>
          <w:sz w:val="28"/>
          <w:szCs w:val="28"/>
          <w:highlight w:val="none"/>
          <w:u w:val="single"/>
        </w:rPr>
        <w:t></w:t>
      </w:r>
    </w:p>
    <w:p w14:paraId="1154E9BE">
      <w:pPr>
        <w:spacing w:line="360" w:lineRule="auto"/>
        <w:ind w:left="1285" w:hanging="1469" w:hangingChars="400"/>
        <w:jc w:val="center"/>
        <w:rPr>
          <w:rFonts w:hint="eastAsia" w:ascii="宋体" w:hAnsi="宋体" w:eastAsia="宋体" w:cs="宋体"/>
          <w:color w:val="auto"/>
          <w:spacing w:val="23"/>
          <w:sz w:val="28"/>
          <w:szCs w:val="28"/>
          <w:highlight w:val="none"/>
        </w:rPr>
      </w:pPr>
      <w:r>
        <w:rPr>
          <w:rFonts w:hint="eastAsia" w:ascii="宋体" w:hAnsi="宋体" w:eastAsia="宋体" w:cs="宋体"/>
          <w:b/>
          <w:color w:val="auto"/>
          <w:spacing w:val="23"/>
          <w:sz w:val="32"/>
          <w:szCs w:val="32"/>
          <w:highlight w:val="none"/>
        </w:rPr>
        <w:fldChar w:fldCharType="begin"/>
      </w:r>
      <w:r>
        <w:rPr>
          <w:rFonts w:hint="eastAsia" w:ascii="宋体" w:hAnsi="宋体" w:eastAsia="宋体" w:cs="宋体"/>
          <w:b/>
          <w:color w:val="auto"/>
          <w:spacing w:val="23"/>
          <w:sz w:val="32"/>
          <w:szCs w:val="32"/>
          <w:highlight w:val="none"/>
        </w:rPr>
        <w:instrText xml:space="preserve">HYPERLINK "http://set2.mail.qq.com/cgi-bin/mail_spam?action=check_link&amp;spam=0&amp;url=http%3A%2F%2Fwww%2Ebaidu%2Ecom%2Fs%3Fwd%3D%25E4%25B9%2599%25E6%2596%25B9%26hl_tag%3Dtextlink%26tn%3DSE_hldp01350_v6v6zkg6"</w:instrText>
      </w:r>
      <w:r>
        <w:rPr>
          <w:rFonts w:hint="eastAsia" w:ascii="宋体" w:hAnsi="宋体" w:eastAsia="宋体" w:cs="宋体"/>
          <w:b/>
          <w:color w:val="auto"/>
          <w:spacing w:val="23"/>
          <w:sz w:val="32"/>
          <w:szCs w:val="32"/>
          <w:highlight w:val="none"/>
        </w:rPr>
        <w:fldChar w:fldCharType="separate"/>
      </w:r>
      <w:r>
        <w:rPr>
          <w:rFonts w:hint="eastAsia" w:ascii="宋体" w:hAnsi="宋体" w:eastAsia="宋体" w:cs="宋体"/>
          <w:b/>
          <w:color w:val="auto"/>
          <w:spacing w:val="23"/>
          <w:sz w:val="32"/>
          <w:szCs w:val="32"/>
          <w:highlight w:val="none"/>
        </w:rPr>
        <w:t>乙方</w:t>
      </w:r>
      <w:r>
        <w:rPr>
          <w:rFonts w:hint="eastAsia" w:ascii="宋体" w:hAnsi="宋体" w:eastAsia="宋体" w:cs="宋体"/>
          <w:b/>
          <w:color w:val="auto"/>
          <w:spacing w:val="23"/>
          <w:sz w:val="32"/>
          <w:szCs w:val="32"/>
          <w:highlight w:val="none"/>
        </w:rPr>
        <w:fldChar w:fldCharType="end"/>
      </w:r>
      <w:r>
        <w:rPr>
          <w:rFonts w:hint="eastAsia" w:ascii="宋体" w:hAnsi="宋体" w:eastAsia="宋体" w:cs="宋体"/>
          <w:b/>
          <w:color w:val="auto"/>
          <w:spacing w:val="23"/>
          <w:sz w:val="32"/>
          <w:szCs w:val="32"/>
          <w:highlight w:val="none"/>
        </w:rPr>
        <w:t>(供应商)：</w:t>
      </w:r>
      <w:r>
        <w:rPr>
          <w:rFonts w:hint="eastAsia" w:ascii="宋体" w:hAnsi="宋体" w:eastAsia="宋体" w:cs="宋体"/>
          <w:color w:val="auto"/>
          <w:spacing w:val="23"/>
          <w:sz w:val="28"/>
          <w:szCs w:val="28"/>
          <w:highlight w:val="none"/>
          <w:u w:val="single"/>
        </w:rPr>
        <w:t></w:t>
      </w:r>
    </w:p>
    <w:p w14:paraId="5D79606F">
      <w:pPr>
        <w:kinsoku w:val="0"/>
        <w:spacing w:line="360" w:lineRule="auto"/>
        <w:jc w:val="center"/>
        <w:rPr>
          <w:rFonts w:hint="eastAsia" w:ascii="宋体" w:hAnsi="宋体" w:eastAsia="宋体" w:cs="宋体"/>
          <w:b/>
          <w:color w:val="auto"/>
          <w:spacing w:val="23"/>
          <w:sz w:val="32"/>
          <w:szCs w:val="32"/>
          <w:highlight w:val="none"/>
        </w:rPr>
      </w:pPr>
      <w:r>
        <w:rPr>
          <w:rFonts w:hint="eastAsia" w:ascii="宋体" w:hAnsi="宋体" w:eastAsia="宋体" w:cs="宋体"/>
          <w:b/>
          <w:color w:val="auto"/>
          <w:spacing w:val="23"/>
          <w:sz w:val="32"/>
          <w:szCs w:val="32"/>
          <w:highlight w:val="none"/>
        </w:rPr>
        <w:t>签订时间：</w:t>
      </w:r>
      <w:r>
        <w:rPr>
          <w:rFonts w:hint="eastAsia" w:ascii="宋体" w:hAnsi="宋体" w:eastAsia="宋体" w:cs="宋体"/>
          <w:color w:val="auto"/>
          <w:spacing w:val="23"/>
          <w:sz w:val="28"/>
          <w:szCs w:val="28"/>
          <w:highlight w:val="none"/>
          <w:u w:val="single"/>
        </w:rPr>
        <w:t></w:t>
      </w:r>
      <w:r>
        <w:rPr>
          <w:rFonts w:hint="eastAsia" w:ascii="宋体" w:hAnsi="宋体" w:eastAsia="宋体" w:cs="宋体"/>
          <w:b/>
          <w:color w:val="auto"/>
          <w:spacing w:val="23"/>
          <w:sz w:val="32"/>
          <w:szCs w:val="32"/>
          <w:highlight w:val="none"/>
        </w:rPr>
        <w:t>年</w:t>
      </w:r>
      <w:r>
        <w:rPr>
          <w:rFonts w:hint="eastAsia" w:ascii="宋体" w:hAnsi="宋体" w:eastAsia="宋体" w:cs="宋体"/>
          <w:color w:val="auto"/>
          <w:spacing w:val="23"/>
          <w:sz w:val="28"/>
          <w:szCs w:val="28"/>
          <w:highlight w:val="none"/>
          <w:u w:val="single"/>
        </w:rPr>
        <w:t></w:t>
      </w:r>
      <w:r>
        <w:rPr>
          <w:rFonts w:hint="eastAsia" w:ascii="宋体" w:hAnsi="宋体" w:eastAsia="宋体" w:cs="宋体"/>
          <w:b/>
          <w:color w:val="auto"/>
          <w:spacing w:val="23"/>
          <w:sz w:val="32"/>
          <w:szCs w:val="32"/>
          <w:highlight w:val="none"/>
        </w:rPr>
        <w:t>月</w:t>
      </w:r>
      <w:r>
        <w:rPr>
          <w:rFonts w:hint="eastAsia" w:ascii="宋体" w:hAnsi="宋体" w:eastAsia="宋体" w:cs="宋体"/>
          <w:color w:val="auto"/>
          <w:spacing w:val="23"/>
          <w:sz w:val="28"/>
          <w:szCs w:val="28"/>
          <w:highlight w:val="none"/>
          <w:u w:val="single"/>
        </w:rPr>
        <w:t></w:t>
      </w:r>
      <w:r>
        <w:rPr>
          <w:rFonts w:hint="eastAsia" w:ascii="宋体" w:hAnsi="宋体" w:eastAsia="宋体" w:cs="宋体"/>
          <w:b/>
          <w:color w:val="auto"/>
          <w:spacing w:val="23"/>
          <w:sz w:val="32"/>
          <w:szCs w:val="32"/>
          <w:highlight w:val="none"/>
        </w:rPr>
        <w:t>日</w:t>
      </w:r>
    </w:p>
    <w:p w14:paraId="7F925B9E">
      <w:pPr>
        <w:rPr>
          <w:sz w:val="30"/>
          <w:szCs w:val="30"/>
          <w:highlight w:val="none"/>
        </w:rPr>
      </w:pPr>
    </w:p>
    <w:p w14:paraId="3830BB03">
      <w:pPr>
        <w:rPr>
          <w:sz w:val="30"/>
          <w:szCs w:val="30"/>
          <w:highlight w:val="none"/>
        </w:rPr>
      </w:pPr>
    </w:p>
    <w:p w14:paraId="1C24774B">
      <w:pPr>
        <w:jc w:val="center"/>
        <w:rPr>
          <w:b/>
          <w:highlight w:val="none"/>
        </w:rPr>
      </w:pPr>
    </w:p>
    <w:p w14:paraId="63D66DEA">
      <w:pPr>
        <w:ind w:firstLine="960"/>
        <w:jc w:val="center"/>
        <w:rPr>
          <w:highlight w:val="none"/>
        </w:rPr>
      </w:pPr>
      <w:r>
        <w:rPr>
          <w:rFonts w:hint="eastAsia"/>
          <w:sz w:val="48"/>
          <w:szCs w:val="48"/>
          <w:highlight w:val="none"/>
        </w:rPr>
        <w:br w:type="page"/>
      </w:r>
    </w:p>
    <w:p w14:paraId="2FF0965A">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甲方（采购人）：</w:t>
      </w:r>
      <w:r>
        <w:rPr>
          <w:rFonts w:hint="eastAsia" w:ascii="宋体" w:hAnsi="宋体" w:eastAsia="宋体" w:cs="宋体"/>
          <w:sz w:val="24"/>
          <w:szCs w:val="24"/>
          <w:highlight w:val="none"/>
          <w:u w:val="single"/>
        </w:rPr>
        <w:t xml:space="preserve">                                         </w:t>
      </w:r>
    </w:p>
    <w:p w14:paraId="4304A326">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乙方（供应商）：</w:t>
      </w:r>
      <w:r>
        <w:rPr>
          <w:rFonts w:hint="eastAsia" w:ascii="宋体" w:hAnsi="宋体" w:eastAsia="宋体" w:cs="宋体"/>
          <w:sz w:val="24"/>
          <w:szCs w:val="24"/>
          <w:highlight w:val="none"/>
          <w:u w:val="single"/>
        </w:rPr>
        <w:t xml:space="preserve">                                         </w:t>
      </w:r>
    </w:p>
    <w:p w14:paraId="4F6E4EC5">
      <w:pPr>
        <w:keepNext w:val="0"/>
        <w:keepLines w:val="0"/>
        <w:pageBreakBefore w:val="0"/>
        <w:widowControl w:val="0"/>
        <w:kinsoku/>
        <w:wordWrap/>
        <w:overflowPunct/>
        <w:topLinePunct w:val="0"/>
        <w:autoSpaceDE/>
        <w:autoSpaceDN/>
        <w:bidi w:val="0"/>
        <w:adjustRightInd/>
        <w:snapToGrid/>
        <w:spacing w:line="520" w:lineRule="exact"/>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根据《中华人民共和国民法典》、《中华人民共和国政府采购法》及其它有关法律、行政法规，为明确双方在施工过程中的权利、义务，经双方协商自愿签订本合同。</w:t>
      </w:r>
    </w:p>
    <w:p w14:paraId="2F59670A">
      <w:pPr>
        <w:ind w:firstLine="482" w:firstLineChars="200"/>
        <w:rPr>
          <w:rFonts w:hint="eastAsia" w:ascii="宋体" w:hAnsi="宋体" w:eastAsia="宋体" w:cs="宋体"/>
          <w:b/>
          <w:bCs/>
          <w:sz w:val="24"/>
          <w:szCs w:val="24"/>
          <w:highlight w:val="none"/>
        </w:rPr>
      </w:pPr>
      <w:r>
        <w:rPr>
          <w:rFonts w:hint="eastAsia" w:hAnsi="宋体" w:cs="宋体"/>
          <w:b/>
          <w:bCs/>
          <w:sz w:val="24"/>
          <w:szCs w:val="24"/>
          <w:highlight w:val="none"/>
          <w:lang w:val="en-US" w:eastAsia="zh-CN"/>
        </w:rPr>
        <w:t>一</w:t>
      </w:r>
      <w:r>
        <w:rPr>
          <w:rFonts w:hint="eastAsia" w:ascii="宋体" w:hAnsi="宋体" w:eastAsia="宋体" w:cs="宋体"/>
          <w:b/>
          <w:bCs/>
          <w:sz w:val="24"/>
          <w:szCs w:val="24"/>
          <w:highlight w:val="none"/>
        </w:rPr>
        <w:t>、</w:t>
      </w:r>
      <w:r>
        <w:rPr>
          <w:rFonts w:hint="eastAsia" w:hAnsi="宋体" w:cs="宋体"/>
          <w:b/>
          <w:bCs/>
          <w:sz w:val="24"/>
          <w:szCs w:val="24"/>
          <w:highlight w:val="none"/>
          <w:lang w:val="en-US" w:eastAsia="zh-CN"/>
        </w:rPr>
        <w:t>合同组成</w:t>
      </w:r>
    </w:p>
    <w:p w14:paraId="004DF76C">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1.下述文件是构成本合同不可分割的部分:</w:t>
      </w:r>
    </w:p>
    <w:p w14:paraId="51652D7A">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（1）本合同条款及其所有附件。</w:t>
      </w:r>
    </w:p>
    <w:p w14:paraId="1E12EDF6">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（2）甲方的磋商文件及澄清文件。</w:t>
      </w:r>
    </w:p>
    <w:p w14:paraId="626CFDF4">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（3）乙方的磋商响应文件及质疑解答文件。</w:t>
      </w:r>
    </w:p>
    <w:p w14:paraId="4B500FBE">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（4）成交通知书。</w:t>
      </w:r>
    </w:p>
    <w:p w14:paraId="3B6EBE88">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（5）法定代表人授权书。</w:t>
      </w:r>
    </w:p>
    <w:p w14:paraId="23A22B49">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（6）双方与合同有关的往来信函、传真经双方法定代表人或其授权代表签字并加盖单位公章确认后视为本合同的组成部分。</w:t>
      </w:r>
    </w:p>
    <w:p w14:paraId="3D0450D7">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（7）经双方法定代表人或其授权代表签字并加盖单位公章确认的补充协议。</w:t>
      </w:r>
    </w:p>
    <w:p w14:paraId="41CF55D2">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如果乙方的磋商响应文件及质疑解答文件内容违背或低于甲方磋商文件要求或任何可能导致影响当次采购目的的情形，均应当被视为乙方自动放弃磋商响应文件及质疑解答文件中相应部分而同意以磋商文件相应内容为准。如果乙方的磋商响应文件及质疑解答文件内容高于甲方磋商文件要求，则以乙方的磋商响应文件及质疑解答文件内容为准。如果合同条款与合同附件有矛盾之处，以合同条款内容为准。如果合同附件之间有矛盾之处，以有利于甲方的附件内容为准。</w:t>
      </w:r>
    </w:p>
    <w:p w14:paraId="31F549AD">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上述合同文件应能够相互解释、相互说明。如合同文件之间出现不一致，除本合同另有约定外，第（1）款至（6）款的排列顺序就是合同文件的优先解释顺序。对于第（7）款中双方达成的补充协议与原合同（包括（1）-（6）款中所列的所有文件）存在不一致，以签订日期在后的补充协议为准。</w:t>
      </w:r>
    </w:p>
    <w:p w14:paraId="0F4FB883">
      <w:pPr>
        <w:ind w:firstLine="482" w:firstLineChars="200"/>
        <w:rPr>
          <w:rFonts w:hint="eastAsia" w:ascii="宋体" w:hAnsi="宋体" w:eastAsia="宋体" w:cs="宋体"/>
          <w:b w:val="0"/>
          <w:bCs w:val="0"/>
          <w:sz w:val="24"/>
          <w:szCs w:val="24"/>
          <w:highlight w:val="none"/>
        </w:rPr>
      </w:pPr>
      <w:r>
        <w:rPr>
          <w:rFonts w:hint="eastAsia" w:hAnsi="宋体" w:cs="宋体"/>
          <w:b/>
          <w:bCs/>
          <w:sz w:val="24"/>
          <w:szCs w:val="24"/>
          <w:highlight w:val="none"/>
          <w:lang w:val="en-US" w:eastAsia="zh-CN"/>
        </w:rPr>
        <w:t>二</w:t>
      </w:r>
      <w:r>
        <w:rPr>
          <w:rFonts w:hint="eastAsia" w:ascii="宋体" w:hAnsi="宋体" w:eastAsia="宋体" w:cs="宋体"/>
          <w:b/>
          <w:bCs/>
          <w:sz w:val="24"/>
          <w:szCs w:val="24"/>
          <w:highlight w:val="none"/>
        </w:rPr>
        <w:t>、项目概况</w:t>
      </w:r>
    </w:p>
    <w:p w14:paraId="06CD32C7">
      <w:pPr>
        <w:ind w:firstLine="480" w:firstLineChars="200"/>
        <w:rPr>
          <w:rFonts w:hint="eastAsia" w:hAnsi="宋体" w:cs="宋体"/>
          <w:sz w:val="24"/>
          <w:szCs w:val="24"/>
          <w:highlight w:val="none"/>
          <w:lang w:val="en-US" w:eastAsia="zh-CN"/>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项目内容：</w:t>
      </w:r>
      <w:r>
        <w:rPr>
          <w:rFonts w:hint="eastAsia" w:hAnsi="宋体" w:cs="宋体"/>
          <w:sz w:val="24"/>
          <w:szCs w:val="24"/>
          <w:highlight w:val="none"/>
          <w:lang w:val="en-US" w:eastAsia="zh-CN"/>
        </w:rPr>
        <w:t>本项目主要服务内容如下：</w:t>
      </w:r>
    </w:p>
    <w:p w14:paraId="4DE814F0">
      <w:pPr>
        <w:pStyle w:val="8"/>
        <w:numPr>
          <w:ilvl w:val="0"/>
          <w:numId w:val="0"/>
        </w:numPr>
        <w:ind w:left="0" w:leftChars="0" w:firstLine="560" w:firstLineChars="0"/>
        <w:jc w:val="left"/>
        <w:rPr>
          <w:rFonts w:hint="eastAsia" w:ascii="宋体" w:hAnsi="宋体" w:eastAsia="宋体" w:cs="Times New Roman"/>
          <w:kern w:val="0"/>
          <w:sz w:val="24"/>
          <w:szCs w:val="24"/>
          <w:highlight w:val="none"/>
          <w:lang w:val="en-US" w:eastAsia="zh-CN" w:bidi="ar-SA"/>
        </w:rPr>
      </w:pPr>
      <w:r>
        <w:rPr>
          <w:rFonts w:hint="eastAsia" w:ascii="宋体" w:hAnsi="宋体" w:eastAsia="宋体" w:cs="Times New Roman"/>
          <w:kern w:val="0"/>
          <w:sz w:val="24"/>
          <w:szCs w:val="24"/>
          <w:highlight w:val="none"/>
          <w:lang w:val="en-US" w:eastAsia="zh-CN" w:bidi="ar-SA"/>
        </w:rPr>
        <w:t>协助甲方对建筑工地、校园安全、特种设备、消防设施、城镇燃气、园林绿化、危险化学品、工矿商贸等进行隐患排查，对重点企业进行安全教育培训、应急预案专项培训、双预防机制建设培训，对管委会各行业主管部门进行培训及其它类的培训。</w:t>
      </w:r>
    </w:p>
    <w:p w14:paraId="12C85A0D">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highlight w:val="none"/>
        </w:rPr>
      </w:pPr>
      <w:r>
        <w:rPr>
          <w:rFonts w:hint="eastAsia" w:ascii="宋体" w:hAnsi="宋体" w:cs="宋体"/>
          <w:sz w:val="24"/>
          <w:highlight w:val="none"/>
        </w:rPr>
        <w:t>2.服务期：自合同签订之日起一年内。</w:t>
      </w:r>
    </w:p>
    <w:p w14:paraId="3A90F21A">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3.服务地点：甲方指定地点。</w:t>
      </w:r>
    </w:p>
    <w:p w14:paraId="3C70DE4F">
      <w:pPr>
        <w:pStyle w:val="4"/>
        <w:rPr>
          <w:rFonts w:hint="eastAsia" w:ascii="宋体" w:hAnsi="宋体" w:cs="宋体"/>
          <w:sz w:val="24"/>
          <w:highlight w:val="none"/>
        </w:rPr>
      </w:pPr>
      <w:r>
        <w:rPr>
          <w:rFonts w:hint="eastAsia" w:ascii="宋体" w:hAnsi="宋体" w:cs="宋体"/>
          <w:sz w:val="24"/>
          <w:highlight w:val="none"/>
        </w:rPr>
        <w:t>4.质量要求：符合国家有关现行规范、标准的要求。</w:t>
      </w:r>
    </w:p>
    <w:p w14:paraId="527B1FA2">
      <w:pPr>
        <w:ind w:firstLine="480" w:firstLineChars="200"/>
        <w:rPr>
          <w:rFonts w:hint="eastAsia" w:hAnsi="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5.成果交付要求</w:t>
      </w:r>
      <w:r>
        <w:rPr>
          <w:rFonts w:hint="eastAsia" w:hAnsi="宋体" w:cs="宋体"/>
          <w:kern w:val="2"/>
          <w:sz w:val="24"/>
          <w:szCs w:val="24"/>
          <w:highlight w:val="none"/>
          <w:lang w:val="en-US" w:eastAsia="zh-CN" w:bidi="ar-SA"/>
        </w:rPr>
        <w:t>：</w:t>
      </w:r>
    </w:p>
    <w:p w14:paraId="4775748F">
      <w:pPr>
        <w:ind w:firstLine="720" w:firstLineChars="300"/>
        <w:rPr>
          <w:rFonts w:hint="eastAsia" w:hAnsi="宋体" w:cs="宋体"/>
          <w:kern w:val="2"/>
          <w:sz w:val="24"/>
          <w:szCs w:val="24"/>
          <w:highlight w:val="none"/>
          <w:lang w:val="en-US" w:eastAsia="zh-CN" w:bidi="ar-SA"/>
        </w:rPr>
      </w:pPr>
      <w:r>
        <w:rPr>
          <w:rFonts w:hint="eastAsia" w:hAnsi="宋体" w:cs="宋体"/>
          <w:kern w:val="2"/>
          <w:sz w:val="24"/>
          <w:szCs w:val="24"/>
          <w:highlight w:val="none"/>
          <w:lang w:val="en-US" w:eastAsia="zh-CN" w:bidi="ar-SA"/>
        </w:rPr>
        <w:t>（1）原始材料：检查记录单、现场照片、半年及年度总结分析报告、各类培训评估报告、其他专项评估报告或意见。</w:t>
      </w:r>
    </w:p>
    <w:p w14:paraId="0E6E3762">
      <w:pPr>
        <w:ind w:firstLine="720" w:firstLineChars="300"/>
        <w:rPr>
          <w:rFonts w:hint="default"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（2）电子资料：所有原始资料均扫描成电子版交付。</w:t>
      </w:r>
    </w:p>
    <w:p w14:paraId="6A9C3D67">
      <w:pPr>
        <w:ind w:firstLine="480" w:firstLineChars="200"/>
        <w:rPr>
          <w:rFonts w:hint="default" w:ascii="宋体" w:hAnsi="宋体" w:eastAsia="宋体" w:cs="宋体"/>
          <w:b w:val="0"/>
          <w:bCs w:val="0"/>
          <w:sz w:val="24"/>
          <w:szCs w:val="24"/>
          <w:highlight w:val="none"/>
          <w:lang w:val="en-US" w:eastAsia="zh-CN"/>
        </w:rPr>
      </w:pPr>
      <w:r>
        <w:rPr>
          <w:rFonts w:hint="eastAsia" w:hAnsi="宋体" w:cs="宋体"/>
          <w:b w:val="0"/>
          <w:bCs w:val="0"/>
          <w:sz w:val="24"/>
          <w:szCs w:val="24"/>
          <w:highlight w:val="none"/>
          <w:lang w:val="en-US" w:eastAsia="zh-CN"/>
        </w:rPr>
        <w:t>6.服务内容及要求</w:t>
      </w:r>
    </w:p>
    <w:p w14:paraId="192B425C">
      <w:pPr>
        <w:pStyle w:val="8"/>
        <w:numPr>
          <w:ilvl w:val="0"/>
          <w:numId w:val="0"/>
        </w:numPr>
        <w:ind w:firstLine="240" w:firstLineChars="100"/>
        <w:jc w:val="left"/>
        <w:rPr>
          <w:rFonts w:hint="eastAsia" w:ascii="宋体" w:hAnsi="宋体" w:eastAsia="宋体" w:cs="Times New Roman"/>
          <w:kern w:val="0"/>
          <w:sz w:val="24"/>
          <w:szCs w:val="24"/>
          <w:highlight w:val="none"/>
          <w:lang w:val="en-US" w:eastAsia="zh-CN" w:bidi="ar-SA"/>
        </w:rPr>
      </w:pPr>
      <w:r>
        <w:rPr>
          <w:rFonts w:hint="eastAsia" w:ascii="宋体" w:hAnsi="宋体" w:eastAsia="宋体" w:cs="Times New Roman"/>
          <w:kern w:val="0"/>
          <w:sz w:val="24"/>
          <w:szCs w:val="24"/>
          <w:highlight w:val="none"/>
          <w:lang w:val="en-US" w:eastAsia="zh-CN" w:bidi="ar-SA"/>
        </w:rPr>
        <w:t>（1）组建专业团队并邀请相关服务内容的中、省、市应急管理专家库内专家，定期对辖区内建筑工地、校园安全、特种设备、消防设施、城镇燃气、园林绿化、危化、工矿商贸等重点领域开展隐患排查治理，同时安排专人协助甲方开展安全生产各级各类培训，包括但不限于：应急安全培训、防灾减灾培训、重点监管企业安全教育培训、应急预案专项培训、双预防机制建设培训等。</w:t>
      </w:r>
    </w:p>
    <w:p w14:paraId="4088B954">
      <w:pPr>
        <w:pStyle w:val="8"/>
        <w:ind w:left="0" w:leftChars="0" w:firstLine="480" w:firstLineChars="200"/>
        <w:rPr>
          <w:rFonts w:hint="eastAsia" w:ascii="宋体" w:hAnsi="宋体" w:eastAsia="宋体" w:cs="宋体"/>
          <w:bCs/>
          <w:szCs w:val="24"/>
          <w:highlight w:val="none"/>
        </w:rPr>
      </w:pPr>
      <w:r>
        <w:rPr>
          <w:rFonts w:hint="eastAsia" w:ascii="宋体" w:hAnsi="宋体" w:eastAsia="宋体" w:cs="宋体"/>
          <w:bCs/>
          <w:szCs w:val="24"/>
          <w:highlight w:val="none"/>
        </w:rPr>
        <w:t>1</w:t>
      </w:r>
      <w:r>
        <w:rPr>
          <w:rFonts w:hint="eastAsia" w:ascii="宋体" w:hAnsi="宋体" w:eastAsia="宋体" w:cs="宋体"/>
          <w:bCs/>
          <w:szCs w:val="24"/>
          <w:highlight w:val="none"/>
          <w:lang w:val="en-US" w:eastAsia="zh-CN"/>
        </w:rPr>
        <w:t>.</w:t>
      </w:r>
      <w:r>
        <w:rPr>
          <w:rFonts w:hint="eastAsia" w:ascii="宋体" w:hAnsi="宋体" w:eastAsia="宋体" w:cs="宋体"/>
          <w:bCs/>
          <w:szCs w:val="24"/>
          <w:highlight w:val="none"/>
        </w:rPr>
        <w:t>隐患排查类：隐患排查治理每个月大于等于50次，全年不少于600次；</w:t>
      </w:r>
    </w:p>
    <w:p w14:paraId="7CF8146B">
      <w:pPr>
        <w:pStyle w:val="8"/>
        <w:ind w:left="0" w:leftChars="0" w:firstLine="480" w:firstLineChars="200"/>
        <w:rPr>
          <w:rFonts w:hint="eastAsia" w:ascii="宋体" w:hAnsi="宋体" w:eastAsia="宋体" w:cs="宋体"/>
          <w:bCs/>
          <w:szCs w:val="24"/>
          <w:highlight w:val="none"/>
        </w:rPr>
      </w:pPr>
      <w:r>
        <w:rPr>
          <w:rFonts w:hint="eastAsia" w:ascii="宋体" w:hAnsi="宋体" w:eastAsia="宋体" w:cs="宋体"/>
          <w:bCs/>
          <w:szCs w:val="24"/>
          <w:highlight w:val="none"/>
        </w:rPr>
        <w:t>2</w:t>
      </w:r>
      <w:r>
        <w:rPr>
          <w:rFonts w:hint="eastAsia" w:ascii="宋体" w:hAnsi="宋体" w:eastAsia="宋体" w:cs="宋体"/>
          <w:bCs/>
          <w:szCs w:val="24"/>
          <w:highlight w:val="none"/>
          <w:lang w:val="en-US" w:eastAsia="zh-CN"/>
        </w:rPr>
        <w:t>.</w:t>
      </w:r>
      <w:r>
        <w:rPr>
          <w:rFonts w:hint="eastAsia" w:ascii="宋体" w:hAnsi="宋体" w:eastAsia="宋体" w:cs="宋体"/>
          <w:bCs/>
          <w:szCs w:val="24"/>
          <w:highlight w:val="none"/>
        </w:rPr>
        <w:t>培训类：重点企业安全教育培训3次，应急预案专项培训、双预防机制建设培训4次以上，管委会各行业主管部门培训至少1次，全年培训不少于</w:t>
      </w:r>
      <w:r>
        <w:rPr>
          <w:rFonts w:hint="eastAsia" w:ascii="宋体" w:hAnsi="宋体" w:eastAsia="宋体" w:cs="宋体"/>
          <w:bCs/>
          <w:szCs w:val="24"/>
          <w:highlight w:val="none"/>
          <w:lang w:val="en-US" w:eastAsia="zh-CN"/>
        </w:rPr>
        <w:t>8</w:t>
      </w:r>
      <w:r>
        <w:rPr>
          <w:rFonts w:hint="eastAsia" w:ascii="宋体" w:hAnsi="宋体" w:eastAsia="宋体" w:cs="宋体"/>
          <w:bCs/>
          <w:szCs w:val="24"/>
          <w:highlight w:val="none"/>
        </w:rPr>
        <w:t>次。</w:t>
      </w:r>
    </w:p>
    <w:p w14:paraId="6527D5D0">
      <w:pPr>
        <w:pStyle w:val="8"/>
        <w:numPr>
          <w:ilvl w:val="0"/>
          <w:numId w:val="0"/>
        </w:numPr>
        <w:ind w:left="0" w:leftChars="0" w:firstLine="560" w:firstLineChars="0"/>
        <w:jc w:val="left"/>
        <w:rPr>
          <w:rFonts w:hint="eastAsia" w:ascii="宋体" w:hAnsi="宋体" w:eastAsia="宋体" w:cs="Times New Roman"/>
          <w:kern w:val="0"/>
          <w:sz w:val="24"/>
          <w:szCs w:val="24"/>
          <w:highlight w:val="none"/>
          <w:lang w:val="en-US" w:eastAsia="zh-CN" w:bidi="ar-SA"/>
        </w:rPr>
      </w:pPr>
      <w:r>
        <w:rPr>
          <w:rFonts w:hint="eastAsia" w:ascii="宋体" w:hAnsi="宋体" w:eastAsia="宋体" w:cs="宋体"/>
          <w:bCs/>
          <w:sz w:val="24"/>
          <w:szCs w:val="24"/>
          <w:highlight w:val="none"/>
          <w:lang w:val="en-US" w:eastAsia="zh-CN" w:bidi="ar-SA"/>
        </w:rPr>
        <w:t>3.其他</w:t>
      </w:r>
      <w:r>
        <w:rPr>
          <w:rFonts w:hint="eastAsia" w:ascii="宋体" w:hAnsi="宋体" w:eastAsia="宋体" w:cs="Times New Roman"/>
          <w:kern w:val="0"/>
          <w:sz w:val="24"/>
          <w:szCs w:val="24"/>
          <w:highlight w:val="none"/>
          <w:lang w:val="en-US" w:eastAsia="zh-CN" w:bidi="ar-SA"/>
        </w:rPr>
        <w:t>类：按甲方需求及时提供相关专项工作，包括但不限于：突发事件处置、现场勘察、出具评估报告及专家意见、技术方案评估审查、大型活动保障等。</w:t>
      </w:r>
    </w:p>
    <w:p w14:paraId="7B9D422D">
      <w:pPr>
        <w:pStyle w:val="8"/>
        <w:ind w:left="0" w:leftChars="0" w:firstLine="240" w:firstLineChars="100"/>
        <w:rPr>
          <w:rFonts w:hint="eastAsia" w:ascii="宋体" w:hAnsi="宋体" w:eastAsia="宋体" w:cs="宋体"/>
          <w:bCs/>
          <w:szCs w:val="24"/>
          <w:highlight w:val="none"/>
        </w:rPr>
      </w:pPr>
      <w:r>
        <w:rPr>
          <w:rFonts w:hint="eastAsia" w:ascii="宋体" w:hAnsi="宋体" w:eastAsia="宋体" w:cs="宋体"/>
          <w:bCs/>
          <w:szCs w:val="24"/>
          <w:highlight w:val="none"/>
          <w:lang w:eastAsia="zh-CN"/>
        </w:rPr>
        <w:t>（</w:t>
      </w:r>
      <w:r>
        <w:rPr>
          <w:rFonts w:hint="eastAsia" w:ascii="宋体" w:hAnsi="宋体" w:eastAsia="宋体" w:cs="宋体"/>
          <w:bCs/>
          <w:szCs w:val="24"/>
          <w:highlight w:val="none"/>
          <w:lang w:val="en-US" w:eastAsia="zh-CN"/>
        </w:rPr>
        <w:t>2</w:t>
      </w:r>
      <w:r>
        <w:rPr>
          <w:rFonts w:hint="eastAsia" w:ascii="宋体" w:hAnsi="宋体" w:eastAsia="宋体" w:cs="宋体"/>
          <w:bCs/>
          <w:szCs w:val="24"/>
          <w:highlight w:val="none"/>
          <w:lang w:eastAsia="zh-CN"/>
        </w:rPr>
        <w:t>）</w:t>
      </w:r>
      <w:r>
        <w:rPr>
          <w:rFonts w:hint="eastAsia" w:ascii="宋体" w:hAnsi="宋体" w:eastAsia="宋体" w:cs="宋体"/>
          <w:bCs/>
          <w:szCs w:val="24"/>
          <w:highlight w:val="none"/>
        </w:rPr>
        <w:t>本项目需确定一名专职联络员，负责专家的派遣、调配和管理。每次咨询服务配备的专业技术人员，要具备丰富的经验，能够针对安全隐患排查治理、生产安全事故应急处置、重大隐患排查整治、专项督查检查及咨询评估等技术服务。服务完成后提供现场检查记录单、现场照片等信息。服务过半及期满后，分别提供半年、全年总结报告一份。</w:t>
      </w:r>
    </w:p>
    <w:p w14:paraId="4636244C">
      <w:pPr>
        <w:ind w:firstLine="480" w:firstLineChars="200"/>
        <w:rPr>
          <w:rFonts w:hint="eastAsia" w:ascii="宋体" w:hAnsi="宋体" w:eastAsia="宋体" w:cs="宋体"/>
          <w:b w:val="0"/>
          <w:bCs/>
          <w:szCs w:val="24"/>
          <w:highlight w:val="none"/>
          <w:lang w:val="en-US" w:eastAsia="zh-CN"/>
        </w:rPr>
      </w:pPr>
      <w:r>
        <w:rPr>
          <w:rFonts w:hint="eastAsia" w:ascii="宋体" w:hAnsi="宋体" w:eastAsia="宋体" w:cs="宋体"/>
          <w:b w:val="0"/>
          <w:bCs/>
          <w:szCs w:val="24"/>
          <w:highlight w:val="none"/>
          <w:lang w:val="en-US" w:eastAsia="zh-CN"/>
        </w:rPr>
        <w:t>专家需具有高级工程师、注册安全工程师及行业领域注册类证书，为国家、陕西省、西安市应急管理专家库成员，且具有10年以上的行业领域从业经验。</w:t>
      </w:r>
    </w:p>
    <w:p w14:paraId="62DB5D2C">
      <w:pPr>
        <w:pStyle w:val="2"/>
        <w:numPr>
          <w:ilvl w:val="0"/>
          <w:numId w:val="0"/>
        </w:numPr>
        <w:ind w:left="0" w:leftChars="0" w:firstLine="240" w:firstLineChars="100"/>
        <w:rPr>
          <w:rFonts w:hint="eastAsia" w:ascii="宋体" w:hAnsi="宋体" w:cs="宋体"/>
          <w:b w:val="0"/>
          <w:bCs/>
          <w:sz w:val="24"/>
          <w:szCs w:val="24"/>
          <w:highlight w:val="none"/>
          <w:lang w:val="en-US" w:eastAsia="zh-CN"/>
        </w:rPr>
      </w:pPr>
      <w:r>
        <w:rPr>
          <w:rFonts w:hint="eastAsia" w:ascii="宋体" w:hAnsi="宋体" w:cs="宋体"/>
          <w:b w:val="0"/>
          <w:bCs/>
          <w:sz w:val="24"/>
          <w:szCs w:val="24"/>
          <w:highlight w:val="none"/>
          <w:lang w:val="en-US" w:eastAsia="zh-CN"/>
        </w:rPr>
        <w:t>7.技术要求</w:t>
      </w:r>
    </w:p>
    <w:p w14:paraId="230C94C2">
      <w:pPr>
        <w:ind w:firstLine="480" w:firstLineChars="200"/>
        <w:rPr>
          <w:rFonts w:hint="default" w:ascii="宋体" w:hAnsi="宋体" w:eastAsia="宋体" w:cs="宋体"/>
          <w:b w:val="0"/>
          <w:bCs/>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bidi="ar-SA"/>
        </w:rPr>
        <w:t>隐患排查治理及相关培训至少满足相关国家及行业标准及甲方要求，相关情况需及时汇报甲方；</w:t>
      </w:r>
    </w:p>
    <w:p w14:paraId="11E24AFD">
      <w:pPr>
        <w:ind w:firstLine="482" w:firstLineChars="200"/>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rPr>
        <w:t>三、合同</w:t>
      </w:r>
      <w:r>
        <w:rPr>
          <w:rFonts w:hint="eastAsia" w:hAnsi="宋体" w:cs="宋体"/>
          <w:b/>
          <w:bCs/>
          <w:sz w:val="24"/>
          <w:szCs w:val="24"/>
          <w:highlight w:val="none"/>
          <w:lang w:val="en-US" w:eastAsia="zh-CN"/>
        </w:rPr>
        <w:t>金额</w:t>
      </w:r>
    </w:p>
    <w:p w14:paraId="4DA96A3F">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1.合同</w:t>
      </w:r>
      <w:r>
        <w:rPr>
          <w:rFonts w:hint="eastAsia" w:hAnsi="宋体" w:cs="宋体"/>
          <w:sz w:val="24"/>
          <w:szCs w:val="24"/>
          <w:highlight w:val="none"/>
          <w:lang w:val="en-US" w:eastAsia="zh-CN"/>
        </w:rPr>
        <w:t>暂定金额</w:t>
      </w:r>
      <w:r>
        <w:rPr>
          <w:rFonts w:hint="eastAsia" w:ascii="宋体" w:hAnsi="宋体" w:eastAsia="宋体" w:cs="宋体"/>
          <w:sz w:val="24"/>
          <w:szCs w:val="24"/>
          <w:highlight w:val="none"/>
        </w:rPr>
        <w:t>人民币（大写）</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元，（小写）</w:t>
      </w:r>
      <w:r>
        <w:rPr>
          <w:rFonts w:hint="eastAsia" w:asciiTheme="minorEastAsia" w:hAnsiTheme="minorEastAsia" w:eastAsiaTheme="minorEastAsia" w:cstheme="minorEastAsia"/>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元。该总价包含乙方履行合同所需的全部费用及税金，包括但不限于专家费用、培训费用、专项工作费用等。</w:t>
      </w:r>
    </w:p>
    <w:p w14:paraId="4573B9AC">
      <w:pPr>
        <w:numPr>
          <w:ilvl w:val="0"/>
          <w:numId w:val="0"/>
        </w:num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bidi="ar-SA"/>
        </w:rPr>
        <w:t>2.</w:t>
      </w:r>
      <w:r>
        <w:rPr>
          <w:rFonts w:hint="eastAsia" w:ascii="宋体" w:hAnsi="宋体" w:eastAsia="宋体" w:cs="宋体"/>
          <w:sz w:val="24"/>
          <w:szCs w:val="24"/>
          <w:highlight w:val="none"/>
        </w:rPr>
        <w:t>付款方式：</w:t>
      </w:r>
    </w:p>
    <w:p w14:paraId="43602639">
      <w:pPr>
        <w:ind w:firstLine="480" w:firstLineChars="200"/>
        <w:rPr>
          <w:rFonts w:hint="eastAsia" w:hAnsi="宋体" w:cs="宋体"/>
          <w:sz w:val="24"/>
          <w:szCs w:val="24"/>
          <w:highlight w:val="none"/>
          <w:lang w:eastAsia="zh-CN"/>
        </w:rPr>
      </w:pPr>
      <w:r>
        <w:rPr>
          <w:rFonts w:hint="eastAsia" w:hAnsi="宋体" w:cs="宋体"/>
          <w:sz w:val="24"/>
          <w:szCs w:val="24"/>
          <w:highlight w:val="none"/>
          <w:lang w:eastAsia="zh-CN"/>
        </w:rPr>
        <w:t>（1）合同签订后10个工作日内，支付合同暂定金额的20%作为预付款；</w:t>
      </w:r>
    </w:p>
    <w:p w14:paraId="2C640326">
      <w:pPr>
        <w:ind w:firstLine="480" w:firstLineChars="200"/>
        <w:rPr>
          <w:rFonts w:hint="eastAsia" w:hAnsi="宋体" w:cs="宋体"/>
          <w:sz w:val="24"/>
          <w:szCs w:val="24"/>
          <w:highlight w:val="none"/>
          <w:lang w:eastAsia="zh-CN"/>
        </w:rPr>
      </w:pPr>
      <w:r>
        <w:rPr>
          <w:rFonts w:hint="eastAsia" w:hAnsi="宋体" w:cs="宋体"/>
          <w:sz w:val="24"/>
          <w:szCs w:val="24"/>
          <w:highlight w:val="none"/>
          <w:lang w:eastAsia="zh-CN"/>
        </w:rPr>
        <w:t>（2）合同签订半年后据实结算已完成项目费用；</w:t>
      </w:r>
    </w:p>
    <w:p w14:paraId="1D42F95A">
      <w:pPr>
        <w:ind w:firstLine="480" w:firstLineChars="200"/>
        <w:rPr>
          <w:rFonts w:hint="eastAsia" w:hAnsi="宋体" w:cs="宋体"/>
          <w:sz w:val="24"/>
          <w:szCs w:val="24"/>
          <w:highlight w:val="none"/>
          <w:lang w:eastAsia="zh-CN"/>
        </w:rPr>
      </w:pPr>
      <w:r>
        <w:rPr>
          <w:rFonts w:hint="eastAsia" w:hAnsi="宋体" w:cs="宋体"/>
          <w:sz w:val="24"/>
          <w:szCs w:val="24"/>
          <w:highlight w:val="none"/>
          <w:lang w:eastAsia="zh-CN"/>
        </w:rPr>
        <w:t>（3）合同执行完毕并验收合格后，据实结算支付剩余价款；</w:t>
      </w:r>
    </w:p>
    <w:p w14:paraId="152F73C5">
      <w:pPr>
        <w:ind w:firstLine="480" w:firstLineChars="200"/>
        <w:rPr>
          <w:rFonts w:hint="eastAsia" w:ascii="宋体" w:hAnsi="宋体" w:eastAsia="宋体" w:cs="宋体"/>
          <w:sz w:val="24"/>
          <w:szCs w:val="24"/>
          <w:highlight w:val="none"/>
        </w:rPr>
      </w:pPr>
      <w:r>
        <w:rPr>
          <w:rFonts w:hint="eastAsia" w:hAnsi="宋体" w:cs="宋体"/>
          <w:sz w:val="24"/>
          <w:szCs w:val="24"/>
          <w:highlight w:val="none"/>
          <w:lang w:eastAsia="zh-CN"/>
        </w:rPr>
        <w:t>付款依据：满足付款条件的情况下，乙方应向甲方出具书面付款通知(注明开户行及账户信息)以及符合国家财税规定的增值税发票，否则甲方有权延迟履行付款义务。如因乙方缘故(如开具增值税发票延误等)导致甲方无法按时付款，甲方不承担违约责任。</w:t>
      </w:r>
    </w:p>
    <w:p w14:paraId="215078A7">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3.乙方开户银行指定账户为：</w:t>
      </w:r>
    </w:p>
    <w:p w14:paraId="43CA2154">
      <w:pPr>
        <w:pStyle w:val="4"/>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4.甲方付款前，乙方应向甲方开具正式等额发票，否则甲方有权延迟履行付款义务。</w:t>
      </w:r>
    </w:p>
    <w:p w14:paraId="101BB5B5">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收款人：</w:t>
      </w:r>
    </w:p>
    <w:p w14:paraId="4102BD66">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开户行：</w:t>
      </w:r>
    </w:p>
    <w:p w14:paraId="72C8D330">
      <w:pPr>
        <w:ind w:firstLine="480" w:firstLineChars="200"/>
        <w:rPr>
          <w:rFonts w:hint="eastAsia" w:ascii="宋体" w:hAnsi="宋体" w:eastAsia="宋体" w:cs="宋体"/>
          <w:b w:val="0"/>
          <w:bCs w:val="0"/>
          <w:sz w:val="24"/>
          <w:szCs w:val="24"/>
          <w:highlight w:val="none"/>
        </w:rPr>
      </w:pPr>
      <w:r>
        <w:rPr>
          <w:rFonts w:hint="eastAsia" w:ascii="宋体" w:hAnsi="宋体" w:eastAsia="宋体" w:cs="宋体"/>
          <w:sz w:val="24"/>
          <w:szCs w:val="24"/>
          <w:highlight w:val="none"/>
        </w:rPr>
        <w:t>账号：</w:t>
      </w:r>
    </w:p>
    <w:p w14:paraId="324C9473">
      <w:pPr>
        <w:keepNext w:val="0"/>
        <w:keepLines w:val="0"/>
        <w:pageBreakBefore w:val="0"/>
        <w:kinsoku/>
        <w:wordWrap/>
        <w:topLinePunct w:val="0"/>
        <w:bidi w:val="0"/>
        <w:snapToGrid/>
        <w:spacing w:line="360" w:lineRule="auto"/>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lang w:val="en-US" w:eastAsia="zh-CN"/>
        </w:rPr>
        <w:t>四、</w:t>
      </w:r>
      <w:r>
        <w:rPr>
          <w:rFonts w:hint="eastAsia" w:ascii="宋体" w:hAnsi="宋体" w:eastAsia="宋体" w:cs="宋体"/>
          <w:b/>
          <w:color w:val="auto"/>
          <w:sz w:val="24"/>
          <w:highlight w:val="none"/>
        </w:rPr>
        <w:t>乙方：</w:t>
      </w:r>
      <w:r>
        <w:rPr>
          <w:rFonts w:hint="eastAsia" w:ascii="宋体" w:hAnsi="宋体" w:eastAsia="宋体" w:cs="宋体"/>
          <w:bCs/>
          <w:color w:val="auto"/>
          <w:sz w:val="24"/>
          <w:highlight w:val="none"/>
        </w:rPr>
        <w:t>本项目拟派</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为负责人，联系电话：</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，身份证号：</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w:t>
      </w:r>
    </w:p>
    <w:p w14:paraId="685548B3">
      <w:pPr>
        <w:pStyle w:val="7"/>
        <w:keepNext w:val="0"/>
        <w:keepLines w:val="0"/>
        <w:pageBreakBefore w:val="0"/>
        <w:kinsoku/>
        <w:wordWrap/>
        <w:topLinePunct w:val="0"/>
        <w:bidi w:val="0"/>
        <w:snapToGrid/>
        <w:spacing w:line="360" w:lineRule="auto"/>
        <w:textAlignment w:val="auto"/>
        <w:rPr>
          <w:rFonts w:hint="eastAsia" w:ascii="宋体" w:hAnsi="宋体" w:eastAsia="宋体" w:cs="宋体"/>
          <w:b/>
          <w:color w:val="auto"/>
          <w:sz w:val="24"/>
          <w:szCs w:val="24"/>
          <w:highlight w:val="none"/>
          <w:lang w:val="zh-CN"/>
        </w:rPr>
      </w:pPr>
      <w:r>
        <w:rPr>
          <w:rFonts w:hint="eastAsia" w:ascii="宋体" w:hAnsi="宋体" w:eastAsia="宋体" w:cs="宋体"/>
          <w:b/>
          <w:color w:val="auto"/>
          <w:sz w:val="24"/>
          <w:szCs w:val="24"/>
          <w:highlight w:val="none"/>
          <w:lang w:val="zh-CN"/>
        </w:rPr>
        <w:t>五、甲方的主要责任和权利</w:t>
      </w:r>
    </w:p>
    <w:p w14:paraId="537728F8">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1.乙方在为甲方提供服务时所形成的成果及成果的知识产权归甲方所有。</w:t>
      </w:r>
    </w:p>
    <w:p w14:paraId="1809A32B">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2.甲方有权随时了解乙方的工作进展情况，并对经费使用进行监督检查。</w:t>
      </w:r>
    </w:p>
    <w:p w14:paraId="7C6C4C9E">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3.甲方将向乙方提供为完成服务工作所需要的信息、资料和其他相关协助。</w:t>
      </w:r>
    </w:p>
    <w:p w14:paraId="5E454639">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4.甲方若认为乙方履行合同不力严重影响项目服务质量，甲方有权要求更换乙方主要人员，直至终止合同。</w:t>
      </w:r>
    </w:p>
    <w:p w14:paraId="68D8439F">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5.甲方支持乙方的工作，按合同保证乙方责任和权利的统一。</w:t>
      </w:r>
    </w:p>
    <w:p w14:paraId="4907ECBC">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6.甲方有权阐述对具体问题的意见和建议。</w:t>
      </w:r>
    </w:p>
    <w:p w14:paraId="53E13265">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7.甲方有权根据项目的具体情况，要求乙方按期到项目现场解决争议。</w:t>
      </w:r>
    </w:p>
    <w:p w14:paraId="288C54A2">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8.甲方有权对服务质量进行评估，若服务评估结果不合格，甲方有权扣除不超过10%的合同金额或终止合同。</w:t>
      </w:r>
    </w:p>
    <w:p w14:paraId="5AEF5F7B">
      <w:pPr>
        <w:keepNext w:val="0"/>
        <w:keepLines w:val="0"/>
        <w:pageBreakBefore w:val="0"/>
        <w:kinsoku/>
        <w:wordWrap/>
        <w:topLinePunct w:val="0"/>
        <w:bidi w:val="0"/>
        <w:snapToGrid/>
        <w:spacing w:line="360" w:lineRule="auto"/>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六、乙方的主要责任和权利</w:t>
      </w:r>
    </w:p>
    <w:p w14:paraId="00698738">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1.乙方必须具有履行本合同书所需的技能，必须按照相关的职业准则完成其全部职责。</w:t>
      </w:r>
    </w:p>
    <w:p w14:paraId="1C649267">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2.乙方应根据本合同的约定提交相关文件、资料。</w:t>
      </w:r>
    </w:p>
    <w:p w14:paraId="55F64C20">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.对甲方提供的基础资料、数据、信息等严格保密。</w:t>
      </w:r>
    </w:p>
    <w:p w14:paraId="4CCDE17D">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rPr>
        <w:t>.解答甲方提出的与项目有关的询问，接受甲方监督和检查，无条件按照甲方要求对成果报告进行整改和完善。</w:t>
      </w:r>
    </w:p>
    <w:p w14:paraId="6CBE3437">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5</w:t>
      </w:r>
      <w:r>
        <w:rPr>
          <w:rFonts w:hint="eastAsia" w:ascii="宋体" w:hAnsi="宋体" w:eastAsia="宋体" w:cs="宋体"/>
          <w:color w:val="auto"/>
          <w:sz w:val="24"/>
          <w:highlight w:val="none"/>
        </w:rPr>
        <w:t>.乙方应根据本合同的约定提供服务并提交工作成果，确保所提交成果的实用质量，具有可借鉴、可操作性。</w:t>
      </w:r>
    </w:p>
    <w:p w14:paraId="6F1C5953">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rPr>
        <w:t>.乙方人员服务期中发生任何安全问题均与甲方无关。</w:t>
      </w:r>
    </w:p>
    <w:p w14:paraId="3938278C">
      <w:pPr>
        <w:pStyle w:val="12"/>
        <w:keepNext w:val="0"/>
        <w:keepLines w:val="0"/>
        <w:pageBreakBefore w:val="0"/>
        <w:tabs>
          <w:tab w:val="left" w:pos="1134"/>
          <w:tab w:val="left" w:pos="1418"/>
        </w:tabs>
        <w:kinsoku/>
        <w:wordWrap/>
        <w:topLinePunct w:val="0"/>
        <w:bidi w:val="0"/>
        <w:adjustRightInd w:val="0"/>
        <w:snapToGrid/>
        <w:spacing w:line="360" w:lineRule="auto"/>
        <w:ind w:left="0" w:leftChars="0" w:firstLine="0" w:firstLineChars="0"/>
        <w:textAlignment w:val="auto"/>
        <w:rPr>
          <w:rFonts w:hint="eastAsia" w:ascii="宋体" w:hAnsi="宋体" w:eastAsia="宋体" w:cs="宋体"/>
          <w:b/>
          <w:color w:val="auto"/>
          <w:highlight w:val="none"/>
          <w:lang w:val="en-US" w:eastAsia="zh-CN"/>
        </w:rPr>
      </w:pPr>
      <w:r>
        <w:rPr>
          <w:rFonts w:hint="eastAsia" w:ascii="宋体" w:hAnsi="宋体" w:eastAsia="宋体" w:cs="宋体"/>
          <w:b/>
          <w:color w:val="auto"/>
          <w:highlight w:val="none"/>
          <w:lang w:val="en-US" w:eastAsia="zh-CN"/>
        </w:rPr>
        <w:t>七、</w:t>
      </w:r>
      <w:r>
        <w:rPr>
          <w:rFonts w:hint="eastAsia" w:ascii="宋体" w:hAnsi="宋体" w:eastAsia="宋体" w:cs="宋体"/>
          <w:b/>
          <w:color w:val="auto"/>
          <w:highlight w:val="none"/>
          <w:lang w:val="zh-CN" w:eastAsia="zh-CN"/>
        </w:rPr>
        <w:t>知识产权</w:t>
      </w:r>
    </w:p>
    <w:p w14:paraId="5FCB9E8D">
      <w:pPr>
        <w:keepNext w:val="0"/>
        <w:keepLines w:val="0"/>
        <w:pageBreakBefore w:val="0"/>
        <w:kinsoku/>
        <w:wordWrap/>
        <w:topLinePunct w:val="0"/>
        <w:bidi w:val="0"/>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乙方在为甲方提供服务时所获得或形成成果的知识产权归甲方所有，未经甲方许可，乙方不得以任何方式使用，亦不得出于任何目的向第三方披露或许可第三方使用。主要以该项目形成的成果参加各类评奖，应经甲方书面同意，与甲方共同申报。</w:t>
      </w:r>
    </w:p>
    <w:p w14:paraId="48F69755">
      <w:pPr>
        <w:keepNext w:val="0"/>
        <w:keepLines w:val="0"/>
        <w:pageBreakBefore w:val="0"/>
        <w:kinsoku/>
        <w:wordWrap/>
        <w:topLinePunct w:val="0"/>
        <w:bidi w:val="0"/>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2.若乙方在为甲方提供服务时侵犯了第三人的权利，致使甲方受到索赔或起诉，由此给甲方造成的一切损失由乙方承担，同时甲方有权解除合同，同时乙方及时消除不良影响。</w:t>
      </w:r>
    </w:p>
    <w:p w14:paraId="1174DF0B">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b/>
          <w:color w:val="auto"/>
          <w:highlight w:val="none"/>
          <w:lang w:val="en-US" w:eastAsia="zh-CN"/>
        </w:rPr>
      </w:pPr>
      <w:r>
        <w:rPr>
          <w:rFonts w:hint="eastAsia" w:ascii="宋体" w:hAnsi="宋体" w:eastAsia="宋体" w:cs="宋体"/>
          <w:color w:val="auto"/>
          <w:sz w:val="24"/>
          <w:highlight w:val="none"/>
        </w:rPr>
        <w:t>3.若未经甲方许可，乙方擅自使用或向第三方披露或许可第三方使用在为甲方提供服务时所获得的成果，甲方有权要求乙方或第三方停止侵权，并承担以此带来的所有损失，同时消除不良影响。</w:t>
      </w:r>
    </w:p>
    <w:p w14:paraId="2539D96E">
      <w:pPr>
        <w:pStyle w:val="12"/>
        <w:keepNext w:val="0"/>
        <w:keepLines w:val="0"/>
        <w:pageBreakBefore w:val="0"/>
        <w:tabs>
          <w:tab w:val="left" w:pos="1134"/>
          <w:tab w:val="left" w:pos="1418"/>
        </w:tabs>
        <w:kinsoku/>
        <w:wordWrap/>
        <w:topLinePunct w:val="0"/>
        <w:bidi w:val="0"/>
        <w:adjustRightInd w:val="0"/>
        <w:snapToGrid/>
        <w:spacing w:line="360" w:lineRule="auto"/>
        <w:ind w:left="0" w:leftChars="0" w:firstLine="0" w:firstLineChars="0"/>
        <w:textAlignment w:val="auto"/>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color w:val="auto"/>
          <w:highlight w:val="none"/>
          <w:lang w:val="en-US" w:eastAsia="zh-CN"/>
        </w:rPr>
        <w:t>八、</w:t>
      </w:r>
      <w:r>
        <w:rPr>
          <w:rFonts w:hint="eastAsia" w:ascii="宋体" w:hAnsi="宋体" w:eastAsia="宋体" w:cs="宋体"/>
          <w:b/>
          <w:bCs/>
          <w:color w:val="auto"/>
          <w:kern w:val="2"/>
          <w:sz w:val="24"/>
          <w:szCs w:val="24"/>
          <w:highlight w:val="none"/>
          <w:lang w:val="en-US" w:eastAsia="zh-CN" w:bidi="ar-SA"/>
        </w:rPr>
        <w:t>验收</w:t>
      </w:r>
    </w:p>
    <w:p w14:paraId="5ADFBCF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验收时间：项目完成后</w:t>
      </w:r>
    </w:p>
    <w:p w14:paraId="12889A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质量标准：</w:t>
      </w:r>
      <w:r>
        <w:rPr>
          <w:rFonts w:hint="eastAsia" w:ascii="宋体" w:hAnsi="宋体" w:eastAsia="宋体" w:cs="宋体"/>
          <w:color w:val="auto"/>
          <w:sz w:val="24"/>
          <w:highlight w:val="none"/>
        </w:rPr>
        <w:t>符合国家有关现行规范、标准的要求</w:t>
      </w:r>
      <w:r>
        <w:rPr>
          <w:rFonts w:hint="eastAsia" w:ascii="宋体" w:hAnsi="宋体" w:eastAsia="宋体" w:cs="宋体"/>
          <w:color w:val="auto"/>
          <w:kern w:val="2"/>
          <w:sz w:val="24"/>
          <w:szCs w:val="24"/>
          <w:highlight w:val="none"/>
          <w:lang w:val="en-US" w:eastAsia="zh-CN" w:bidi="ar-SA"/>
        </w:rPr>
        <w:t>。</w:t>
      </w:r>
    </w:p>
    <w:p w14:paraId="617D15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验收合格条件：符合国家标准和技术规格书及合同要求，符合竞争性磋商文件、</w:t>
      </w:r>
      <w:r>
        <w:rPr>
          <w:rFonts w:hint="eastAsia" w:hAnsi="宋体" w:cs="宋体"/>
          <w:color w:val="auto"/>
          <w:kern w:val="2"/>
          <w:sz w:val="24"/>
          <w:szCs w:val="24"/>
          <w:highlight w:val="none"/>
          <w:lang w:val="en-US" w:eastAsia="zh-CN" w:bidi="ar-SA"/>
        </w:rPr>
        <w:t>乙方</w:t>
      </w:r>
      <w:r>
        <w:rPr>
          <w:rFonts w:hint="eastAsia" w:ascii="宋体" w:hAnsi="宋体" w:eastAsia="宋体" w:cs="宋体"/>
          <w:color w:val="auto"/>
          <w:kern w:val="2"/>
          <w:sz w:val="24"/>
          <w:szCs w:val="24"/>
          <w:highlight w:val="none"/>
          <w:lang w:val="en-US" w:eastAsia="zh-CN" w:bidi="ar-SA"/>
        </w:rPr>
        <w:t>的磋商</w:t>
      </w:r>
      <w:r>
        <w:rPr>
          <w:rFonts w:hint="eastAsia" w:hAnsi="宋体" w:cs="宋体"/>
          <w:color w:val="auto"/>
          <w:kern w:val="2"/>
          <w:sz w:val="24"/>
          <w:szCs w:val="24"/>
          <w:highlight w:val="none"/>
          <w:lang w:val="en-US" w:eastAsia="zh-CN" w:bidi="ar-SA"/>
        </w:rPr>
        <w:t>响应</w:t>
      </w:r>
      <w:r>
        <w:rPr>
          <w:rFonts w:hint="eastAsia" w:ascii="宋体" w:hAnsi="宋体" w:eastAsia="宋体" w:cs="宋体"/>
          <w:color w:val="auto"/>
          <w:kern w:val="2"/>
          <w:sz w:val="24"/>
          <w:szCs w:val="24"/>
          <w:highlight w:val="none"/>
          <w:lang w:val="en-US" w:eastAsia="zh-CN" w:bidi="ar-SA"/>
        </w:rPr>
        <w:t>文件、澄清文件和成交通知书的要求等,乙方应严格按照上述及</w:t>
      </w:r>
      <w:r>
        <w:rPr>
          <w:rFonts w:hint="eastAsia" w:hAnsi="宋体" w:cs="宋体"/>
          <w:color w:val="auto"/>
          <w:kern w:val="2"/>
          <w:sz w:val="24"/>
          <w:szCs w:val="24"/>
          <w:highlight w:val="none"/>
          <w:lang w:val="en-US" w:eastAsia="zh-CN" w:bidi="ar-SA"/>
        </w:rPr>
        <w:t>甲方</w:t>
      </w:r>
      <w:r>
        <w:rPr>
          <w:rFonts w:hint="eastAsia" w:ascii="宋体" w:hAnsi="宋体" w:eastAsia="宋体" w:cs="宋体"/>
          <w:color w:val="auto"/>
          <w:kern w:val="2"/>
          <w:sz w:val="24"/>
          <w:szCs w:val="24"/>
          <w:highlight w:val="none"/>
          <w:lang w:val="en-US" w:eastAsia="zh-CN" w:bidi="ar-SA"/>
        </w:rPr>
        <w:t>要求实施项目服务，甲方有权对乙方服务质量进行评估，当乙方出现较为严重的服务质量问题时，从乙方服务费中扣除合同总价的10%。</w:t>
      </w:r>
    </w:p>
    <w:p w14:paraId="4C9D7474">
      <w:pPr>
        <w:pStyle w:val="7"/>
        <w:keepNext w:val="0"/>
        <w:keepLines w:val="0"/>
        <w:pageBreakBefore w:val="0"/>
        <w:kinsoku/>
        <w:wordWrap/>
        <w:topLinePunct w:val="0"/>
        <w:bidi w:val="0"/>
        <w:snapToGrid/>
        <w:spacing w:line="360" w:lineRule="auto"/>
        <w:ind w:left="0" w:leftChars="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注：乙方应保证交付的成果文件已参照已有的相关规划，并遵循中华人民共和国及地方的有关法律规范，并符合本项目</w:t>
      </w:r>
      <w:r>
        <w:rPr>
          <w:rFonts w:hint="eastAsia" w:ascii="宋体" w:hAnsi="宋体" w:eastAsia="宋体" w:cs="宋体"/>
          <w:color w:val="auto"/>
          <w:sz w:val="24"/>
          <w:szCs w:val="24"/>
          <w:highlight w:val="none"/>
          <w:lang w:eastAsia="zh-CN"/>
        </w:rPr>
        <w:t>服务</w:t>
      </w:r>
      <w:r>
        <w:rPr>
          <w:rFonts w:hint="eastAsia" w:ascii="宋体" w:hAnsi="宋体" w:eastAsia="宋体" w:cs="宋体"/>
          <w:color w:val="auto"/>
          <w:sz w:val="24"/>
          <w:szCs w:val="24"/>
          <w:highlight w:val="none"/>
        </w:rPr>
        <w:t>要求。</w:t>
      </w:r>
    </w:p>
    <w:p w14:paraId="1B31A59E">
      <w:pPr>
        <w:pStyle w:val="12"/>
        <w:keepNext w:val="0"/>
        <w:keepLines w:val="0"/>
        <w:pageBreakBefore w:val="0"/>
        <w:tabs>
          <w:tab w:val="left" w:pos="1134"/>
          <w:tab w:val="left" w:pos="1418"/>
        </w:tabs>
        <w:kinsoku/>
        <w:wordWrap/>
        <w:topLinePunct w:val="0"/>
        <w:bidi w:val="0"/>
        <w:adjustRightInd w:val="0"/>
        <w:snapToGrid/>
        <w:spacing w:line="360" w:lineRule="auto"/>
        <w:ind w:left="0" w:leftChars="0" w:firstLine="0" w:firstLineChars="0"/>
        <w:textAlignment w:val="auto"/>
        <w:rPr>
          <w:rFonts w:hint="eastAsia" w:ascii="宋体" w:hAnsi="宋体" w:eastAsia="宋体" w:cs="宋体"/>
          <w:b/>
          <w:color w:val="auto"/>
          <w:highlight w:val="none"/>
          <w:lang w:val="zh-CN" w:eastAsia="zh-CN"/>
        </w:rPr>
      </w:pPr>
      <w:r>
        <w:rPr>
          <w:rFonts w:hint="eastAsia" w:ascii="宋体" w:hAnsi="宋体" w:eastAsia="宋体" w:cs="宋体"/>
          <w:b/>
          <w:color w:val="auto"/>
          <w:highlight w:val="none"/>
          <w:lang w:val="en-US" w:eastAsia="zh-CN"/>
        </w:rPr>
        <w:t>九</w:t>
      </w:r>
      <w:r>
        <w:rPr>
          <w:rFonts w:hint="eastAsia" w:ascii="宋体" w:hAnsi="宋体" w:eastAsia="宋体" w:cs="宋体"/>
          <w:b/>
          <w:color w:val="auto"/>
          <w:highlight w:val="none"/>
          <w:lang w:val="zh-CN" w:eastAsia="zh-CN"/>
        </w:rPr>
        <w:t>、保密</w:t>
      </w:r>
    </w:p>
    <w:p w14:paraId="72839FE3">
      <w:pPr>
        <w:keepNext w:val="0"/>
        <w:keepLines w:val="0"/>
        <w:pageBreakBefore w:val="0"/>
        <w:kinsoku/>
        <w:wordWrap/>
        <w:topLinePunct w:val="0"/>
        <w:bidi w:val="0"/>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1.在本合同的履行期内，乙方获得与本项目相关的信息（包括获得的资料及成果等），应当采取适当有效的方式保护，不得未经授权使用、传播或公开。</w:t>
      </w:r>
    </w:p>
    <w:p w14:paraId="71835AB3">
      <w:pPr>
        <w:keepNext w:val="0"/>
        <w:keepLines w:val="0"/>
        <w:pageBreakBefore w:val="0"/>
        <w:kinsoku/>
        <w:wordWrap/>
        <w:topLinePunct w:val="0"/>
        <w:bidi w:val="0"/>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2.乙方在项目实施过程中接触或产生涉密数据的，应严格按《中华人民共和国保守国家秘密法》以及其他相关法律法规和制度执行。如由于乙方的原因而导致泄密的，乙方应承担相应法律责任。</w:t>
      </w:r>
    </w:p>
    <w:p w14:paraId="7156BC1E">
      <w:pPr>
        <w:pStyle w:val="13"/>
        <w:keepNext w:val="0"/>
        <w:keepLines w:val="0"/>
        <w:pageBreakBefore w:val="0"/>
        <w:kinsoku/>
        <w:wordWrap/>
        <w:topLinePunct w:val="0"/>
        <w:bidi w:val="0"/>
        <w:snapToGrid/>
        <w:spacing w:line="360" w:lineRule="auto"/>
        <w:ind w:left="0" w:leftChars="0" w:firstLine="0" w:firstLineChars="0"/>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val="en-US" w:eastAsia="zh-CN"/>
        </w:rPr>
        <w:t>十</w:t>
      </w:r>
      <w:r>
        <w:rPr>
          <w:rFonts w:hint="eastAsia" w:ascii="宋体" w:hAnsi="宋体" w:eastAsia="宋体" w:cs="宋体"/>
          <w:b/>
          <w:bCs/>
          <w:color w:val="auto"/>
          <w:sz w:val="24"/>
          <w:highlight w:val="none"/>
        </w:rPr>
        <w:t>、不可抗力</w:t>
      </w:r>
    </w:p>
    <w:p w14:paraId="72FB5DF9">
      <w:pPr>
        <w:pStyle w:val="13"/>
        <w:keepNext w:val="0"/>
        <w:keepLines w:val="0"/>
        <w:pageBreakBefore w:val="0"/>
        <w:kinsoku/>
        <w:wordWrap/>
        <w:topLinePunct w:val="0"/>
        <w:bidi w:val="0"/>
        <w:snapToGrid/>
        <w:spacing w:line="360" w:lineRule="auto"/>
        <w:ind w:firstLine="480"/>
        <w:textAlignment w:val="auto"/>
        <w:rPr>
          <w:rFonts w:hint="eastAsia" w:ascii="宋体" w:hAnsi="宋体" w:eastAsia="宋体" w:cs="宋体"/>
          <w:bCs/>
          <w:color w:val="auto"/>
          <w:sz w:val="24"/>
          <w:highlight w:val="none"/>
        </w:rPr>
      </w:pPr>
      <w:r>
        <w:rPr>
          <w:rFonts w:hint="eastAsia" w:ascii="宋体" w:hAnsi="宋体" w:eastAsia="宋体" w:cs="宋体"/>
          <w:color w:val="auto"/>
          <w:sz w:val="24"/>
          <w:highlight w:val="none"/>
        </w:rPr>
        <w:t>1.如果双方任何一方由于遭受诸如战争、严重火灾、洪水、台风、地震等重大自然灾害、以及双方同意的其他不可抗力的事故，致使影响合同履行，履行合同的期限应予以延长，延长的期限应相当于事故所影响的时间。不可抗力事故系指甲乙双方在缔结合同时所不能预见的，并且它的发生及其后果是无法避免和无法克服的事故。</w:t>
      </w:r>
    </w:p>
    <w:p w14:paraId="0F30A949">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2.遭受不可抗力一方应在不可抗力事故发生后尽快以书面形式通知另一方；并在事故发生后</w:t>
      </w:r>
      <w:r>
        <w:rPr>
          <w:rFonts w:hint="eastAsia" w:ascii="宋体" w:hAnsi="宋体" w:eastAsia="宋体" w:cs="宋体"/>
          <w:color w:val="auto"/>
          <w:sz w:val="24"/>
          <w:highlight w:val="none"/>
          <w:u w:val="single"/>
        </w:rPr>
        <w:t>十（10）</w:t>
      </w:r>
      <w:r>
        <w:rPr>
          <w:rFonts w:hint="eastAsia" w:ascii="宋体" w:hAnsi="宋体" w:eastAsia="宋体" w:cs="宋体"/>
          <w:color w:val="auto"/>
          <w:sz w:val="24"/>
          <w:highlight w:val="none"/>
        </w:rPr>
        <w:t>个日历日内，将有关部门出具的证明文件、详细情况报告以及不可抗力对合同影响程度的说明用特快专递或挂号信的形式寄给另一方。如果不可抗力影响时间延续</w:t>
      </w:r>
      <w:r>
        <w:rPr>
          <w:rFonts w:hint="eastAsia" w:ascii="宋体" w:hAnsi="宋体" w:eastAsia="宋体" w:cs="宋体"/>
          <w:color w:val="auto"/>
          <w:sz w:val="24"/>
          <w:highlight w:val="none"/>
          <w:u w:val="single"/>
        </w:rPr>
        <w:t>二十（20）</w:t>
      </w:r>
      <w:r>
        <w:rPr>
          <w:rFonts w:hint="eastAsia" w:ascii="宋体" w:hAnsi="宋体" w:eastAsia="宋体" w:cs="宋体"/>
          <w:color w:val="auto"/>
          <w:sz w:val="24"/>
          <w:highlight w:val="none"/>
        </w:rPr>
        <w:t>个日历日以上，双方应通过友好协商在合理的时间内达成进一步履行合同或终止合同的协议。</w:t>
      </w:r>
    </w:p>
    <w:p w14:paraId="56DD9CC2">
      <w:pPr>
        <w:keepNext w:val="0"/>
        <w:keepLines w:val="0"/>
        <w:pageBreakBefore w:val="0"/>
        <w:kinsoku/>
        <w:wordWrap/>
        <w:topLinePunct w:val="0"/>
        <w:bidi w:val="0"/>
        <w:snapToGrid/>
        <w:spacing w:line="360" w:lineRule="auto"/>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val="en-US" w:eastAsia="zh-CN"/>
        </w:rPr>
        <w:t>十一</w:t>
      </w:r>
      <w:r>
        <w:rPr>
          <w:rFonts w:hint="eastAsia" w:ascii="宋体" w:hAnsi="宋体" w:eastAsia="宋体" w:cs="宋体"/>
          <w:b/>
          <w:bCs/>
          <w:color w:val="auto"/>
          <w:sz w:val="24"/>
          <w:highlight w:val="none"/>
        </w:rPr>
        <w:t>、税费</w:t>
      </w:r>
    </w:p>
    <w:p w14:paraId="35BD28DF">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1.中国政府根据现行税法对乙方征收的与本合同有关的一切税费均由乙方负担。</w:t>
      </w:r>
    </w:p>
    <w:p w14:paraId="234B48A1">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2.在中国境外发生的与本合同执行有关的一切税费均由乙方负担。</w:t>
      </w:r>
    </w:p>
    <w:p w14:paraId="73EDE8D4">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3.中国政府依据现行税法对甲方征收的与本合同有关的一切税费均由甲方负担。</w:t>
      </w:r>
    </w:p>
    <w:p w14:paraId="1149D7C1">
      <w:pPr>
        <w:keepNext w:val="0"/>
        <w:keepLines w:val="0"/>
        <w:pageBreakBefore w:val="0"/>
        <w:kinsoku/>
        <w:wordWrap/>
        <w:topLinePunct w:val="0"/>
        <w:bidi w:val="0"/>
        <w:snapToGrid/>
        <w:spacing w:line="360" w:lineRule="auto"/>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十</w:t>
      </w:r>
      <w:r>
        <w:rPr>
          <w:rFonts w:hint="eastAsia" w:ascii="宋体" w:hAnsi="宋体" w:eastAsia="宋体" w:cs="宋体"/>
          <w:b/>
          <w:bCs/>
          <w:color w:val="auto"/>
          <w:sz w:val="24"/>
          <w:highlight w:val="none"/>
          <w:lang w:val="en-US" w:eastAsia="zh-CN"/>
        </w:rPr>
        <w:t>二</w:t>
      </w:r>
      <w:r>
        <w:rPr>
          <w:rFonts w:hint="eastAsia" w:ascii="宋体" w:hAnsi="宋体" w:eastAsia="宋体" w:cs="宋体"/>
          <w:b/>
          <w:bCs/>
          <w:color w:val="auto"/>
          <w:sz w:val="24"/>
          <w:highlight w:val="none"/>
        </w:rPr>
        <w:t>、破产终止合同</w:t>
      </w:r>
    </w:p>
    <w:p w14:paraId="71123392">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当乙方破产或无供货（或提供服务）能力时，甲方可在任何时候以书面形式通知乙方单方解除合同；并且该终止合同不损害或不影响甲方已采取或将采取补救措施的权利。</w:t>
      </w:r>
    </w:p>
    <w:p w14:paraId="333A949B">
      <w:pPr>
        <w:keepNext w:val="0"/>
        <w:keepLines w:val="0"/>
        <w:pageBreakBefore w:val="0"/>
        <w:kinsoku/>
        <w:wordWrap/>
        <w:topLinePunct w:val="0"/>
        <w:bidi w:val="0"/>
        <w:snapToGrid/>
        <w:spacing w:line="360" w:lineRule="auto"/>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十</w:t>
      </w:r>
      <w:r>
        <w:rPr>
          <w:rFonts w:hint="eastAsia" w:ascii="宋体" w:hAnsi="宋体" w:eastAsia="宋体" w:cs="宋体"/>
          <w:b/>
          <w:bCs/>
          <w:color w:val="auto"/>
          <w:sz w:val="24"/>
          <w:highlight w:val="none"/>
          <w:lang w:val="en-US" w:eastAsia="zh-CN"/>
        </w:rPr>
        <w:t>三</w:t>
      </w:r>
      <w:r>
        <w:rPr>
          <w:rFonts w:hint="eastAsia" w:ascii="宋体" w:hAnsi="宋体" w:eastAsia="宋体" w:cs="宋体"/>
          <w:b/>
          <w:bCs/>
          <w:color w:val="auto"/>
          <w:sz w:val="24"/>
          <w:highlight w:val="none"/>
        </w:rPr>
        <w:t>、转让</w:t>
      </w:r>
    </w:p>
    <w:p w14:paraId="01459183">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未经甲方事先书面同意，乙方不得部分转让或全部转让其应履行的合同义务。乙方擅自转让自身合同义务，甲方有权单方解除合同，并要求乙方赔偿因此产生的一切损失。</w:t>
      </w:r>
    </w:p>
    <w:p w14:paraId="497D0A69">
      <w:pPr>
        <w:keepNext w:val="0"/>
        <w:keepLines w:val="0"/>
        <w:pageBreakBefore w:val="0"/>
        <w:kinsoku/>
        <w:wordWrap/>
        <w:topLinePunct w:val="0"/>
        <w:bidi w:val="0"/>
        <w:snapToGrid/>
        <w:spacing w:line="360" w:lineRule="auto"/>
        <w:textAlignment w:val="auto"/>
        <w:rPr>
          <w:rFonts w:hint="eastAsia" w:ascii="宋体" w:hAnsi="宋体" w:eastAsia="宋体" w:cs="宋体"/>
          <w:b/>
          <w:bCs/>
          <w:color w:val="auto"/>
          <w:sz w:val="24"/>
          <w:highlight w:val="none"/>
          <w:lang w:val="zh-CN"/>
        </w:rPr>
      </w:pPr>
      <w:r>
        <w:rPr>
          <w:rFonts w:hint="eastAsia" w:ascii="宋体" w:hAnsi="宋体" w:eastAsia="宋体" w:cs="宋体"/>
          <w:b/>
          <w:bCs/>
          <w:color w:val="auto"/>
          <w:sz w:val="24"/>
          <w:highlight w:val="none"/>
          <w:lang w:val="zh-CN"/>
        </w:rPr>
        <w:t>十</w:t>
      </w:r>
      <w:r>
        <w:rPr>
          <w:rFonts w:hint="eastAsia" w:ascii="宋体" w:hAnsi="宋体" w:eastAsia="宋体" w:cs="宋体"/>
          <w:b/>
          <w:bCs/>
          <w:color w:val="auto"/>
          <w:sz w:val="24"/>
          <w:highlight w:val="none"/>
          <w:lang w:val="en-US" w:eastAsia="zh-CN"/>
        </w:rPr>
        <w:t>四</w:t>
      </w:r>
      <w:r>
        <w:rPr>
          <w:rFonts w:hint="eastAsia" w:ascii="宋体" w:hAnsi="宋体" w:eastAsia="宋体" w:cs="宋体"/>
          <w:b/>
          <w:bCs/>
          <w:color w:val="auto"/>
          <w:sz w:val="24"/>
          <w:highlight w:val="none"/>
          <w:lang w:val="zh-CN"/>
        </w:rPr>
        <w:t>、违约责任</w:t>
      </w:r>
    </w:p>
    <w:p w14:paraId="23BD729D">
      <w:pPr>
        <w:pStyle w:val="11"/>
        <w:spacing w:line="360" w:lineRule="auto"/>
        <w:ind w:firstLine="480" w:firstLineChars="200"/>
        <w:jc w:val="both"/>
        <w:rPr>
          <w:rFonts w:hint="eastAsia" w:cs="宋体" w:asciiTheme="minorEastAsia" w:hAnsiTheme="minorEastAsia"/>
          <w:sz w:val="24"/>
          <w:szCs w:val="24"/>
          <w:highlight w:val="none"/>
        </w:rPr>
      </w:pPr>
      <w:r>
        <w:rPr>
          <w:rFonts w:hint="eastAsia" w:cs="宋体" w:asciiTheme="minorEastAsia" w:hAnsiTheme="minorEastAsia"/>
          <w:sz w:val="24"/>
          <w:szCs w:val="24"/>
          <w:highlight w:val="none"/>
        </w:rPr>
        <w:t>1.按《中华人民共和国民法典》中的相关条款执行。</w:t>
      </w:r>
    </w:p>
    <w:p w14:paraId="2659D5D4">
      <w:pPr>
        <w:pStyle w:val="11"/>
        <w:spacing w:line="360" w:lineRule="auto"/>
        <w:ind w:firstLine="480" w:firstLineChars="200"/>
        <w:jc w:val="both"/>
        <w:rPr>
          <w:rFonts w:hint="eastAsia" w:cs="宋体" w:asciiTheme="minorEastAsia" w:hAnsiTheme="minorEastAsia"/>
          <w:sz w:val="24"/>
          <w:szCs w:val="24"/>
          <w:highlight w:val="none"/>
        </w:rPr>
      </w:pPr>
      <w:r>
        <w:rPr>
          <w:rFonts w:hint="eastAsia" w:cs="宋体" w:asciiTheme="minorEastAsia" w:hAnsiTheme="minorEastAsia"/>
          <w:sz w:val="24"/>
          <w:szCs w:val="24"/>
          <w:highlight w:val="none"/>
        </w:rPr>
        <w:t>2.乙方未按合同约定向甲方及时提供合格服务的，因未按期限服务，每逾期一次的应支付违约金1300元，因未提供合格服务的被甲方书面要求整改的，每发生一次应支付违约金1500元。合同期限内，乙方因未及时提供合格服务造成逾期被要求整改过五次的，构成根本违约、甲方有权解除合同并要求乙方支付合同总价款20%的违约金。</w:t>
      </w:r>
    </w:p>
    <w:p w14:paraId="37ACD5ED">
      <w:pPr>
        <w:pStyle w:val="11"/>
        <w:spacing w:line="360" w:lineRule="auto"/>
        <w:ind w:firstLine="480" w:firstLineChars="200"/>
        <w:jc w:val="both"/>
        <w:rPr>
          <w:rFonts w:hint="eastAsia" w:cs="宋体" w:asciiTheme="minorEastAsia" w:hAnsiTheme="minorEastAsia"/>
          <w:sz w:val="24"/>
          <w:szCs w:val="24"/>
          <w:highlight w:val="none"/>
        </w:rPr>
      </w:pPr>
      <w:r>
        <w:rPr>
          <w:rFonts w:hint="eastAsia" w:cs="宋体" w:asciiTheme="minorEastAsia" w:hAnsiTheme="minorEastAsia"/>
          <w:sz w:val="24"/>
          <w:szCs w:val="24"/>
          <w:highlight w:val="none"/>
        </w:rPr>
        <w:t>3.乙方因履行本合同义务造成第三人财产或人身损害的，应当自行承担损害赔偿义务。因此给甲方财产造成损失的，乙方应当予以赔偿。</w:t>
      </w:r>
    </w:p>
    <w:p w14:paraId="01338A64">
      <w:pPr>
        <w:pStyle w:val="11"/>
        <w:spacing w:line="360" w:lineRule="auto"/>
        <w:ind w:firstLine="480" w:firstLineChars="200"/>
        <w:jc w:val="both"/>
        <w:rPr>
          <w:rFonts w:hint="eastAsia" w:cs="宋体" w:asciiTheme="minorEastAsia" w:hAnsiTheme="minorEastAsia"/>
          <w:sz w:val="24"/>
          <w:szCs w:val="24"/>
          <w:highlight w:val="none"/>
        </w:rPr>
      </w:pPr>
      <w:r>
        <w:rPr>
          <w:rFonts w:hint="eastAsia" w:cs="宋体" w:asciiTheme="minorEastAsia" w:hAnsiTheme="minorEastAsia"/>
          <w:sz w:val="24"/>
          <w:szCs w:val="24"/>
          <w:highlight w:val="none"/>
        </w:rPr>
        <w:t>4.乙方及其员工在履行本协议过程中受到第三人伤害的，应当予由乙方自行负责。</w:t>
      </w:r>
    </w:p>
    <w:p w14:paraId="37E1D1E4">
      <w:pPr>
        <w:pStyle w:val="11"/>
        <w:spacing w:line="360" w:lineRule="auto"/>
        <w:ind w:firstLine="480" w:firstLineChars="200"/>
        <w:jc w:val="both"/>
        <w:rPr>
          <w:rFonts w:hint="eastAsia" w:cs="宋体" w:asciiTheme="minorEastAsia" w:hAnsiTheme="minorEastAsia"/>
          <w:sz w:val="24"/>
          <w:szCs w:val="24"/>
          <w:highlight w:val="none"/>
        </w:rPr>
      </w:pPr>
      <w:r>
        <w:rPr>
          <w:rFonts w:hint="eastAsia" w:cs="宋体" w:asciiTheme="minorEastAsia" w:hAnsiTheme="minorEastAsia"/>
          <w:sz w:val="24"/>
          <w:szCs w:val="24"/>
          <w:highlight w:val="none"/>
        </w:rPr>
        <w:t>5.甲乙双方应遵守合同并执行合同中的各项规定，保证合同的正常履行。</w:t>
      </w:r>
    </w:p>
    <w:p w14:paraId="27EA4EEB">
      <w:pPr>
        <w:pStyle w:val="12"/>
        <w:keepNext w:val="0"/>
        <w:keepLines w:val="0"/>
        <w:pageBreakBefore w:val="0"/>
        <w:widowControl w:val="0"/>
        <w:tabs>
          <w:tab w:val="left" w:pos="1134"/>
          <w:tab w:val="left" w:pos="1418"/>
        </w:tabs>
        <w:kinsoku/>
        <w:wordWrap/>
        <w:topLinePunct w:val="0"/>
        <w:bidi w:val="0"/>
        <w:adjustRightInd w:val="0"/>
        <w:snapToGrid/>
        <w:spacing w:line="360" w:lineRule="auto"/>
        <w:ind w:left="0" w:firstLine="480" w:firstLineChars="200"/>
        <w:textAlignment w:val="auto"/>
        <w:rPr>
          <w:rFonts w:hint="eastAsia" w:ascii="宋体" w:hAnsi="宋体" w:eastAsia="宋体" w:cs="宋体"/>
          <w:color w:val="auto"/>
          <w:highlight w:val="none"/>
          <w:lang w:eastAsia="zh-CN"/>
        </w:rPr>
      </w:pPr>
      <w:r>
        <w:rPr>
          <w:rFonts w:hint="eastAsia" w:cs="宋体" w:asciiTheme="minorEastAsia" w:hAnsiTheme="minorEastAsia"/>
          <w:sz w:val="24"/>
          <w:szCs w:val="24"/>
          <w:highlight w:val="none"/>
        </w:rPr>
        <w:t>6.如碰到不可抗力因素造成无法按照原计划提供服务的，由甲乙双方协商解决。</w:t>
      </w:r>
    </w:p>
    <w:p w14:paraId="1699A52D">
      <w:pPr>
        <w:keepNext w:val="0"/>
        <w:keepLines w:val="0"/>
        <w:pageBreakBefore w:val="0"/>
        <w:kinsoku/>
        <w:wordWrap/>
        <w:topLinePunct w:val="0"/>
        <w:bidi w:val="0"/>
        <w:snapToGrid/>
        <w:spacing w:line="360" w:lineRule="auto"/>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十</w:t>
      </w:r>
      <w:r>
        <w:rPr>
          <w:rFonts w:hint="eastAsia" w:ascii="宋体" w:hAnsi="宋体" w:eastAsia="宋体" w:cs="宋体"/>
          <w:b/>
          <w:bCs/>
          <w:color w:val="auto"/>
          <w:sz w:val="24"/>
          <w:highlight w:val="none"/>
          <w:lang w:val="en-US" w:eastAsia="zh-CN"/>
        </w:rPr>
        <w:t>五</w:t>
      </w:r>
      <w:r>
        <w:rPr>
          <w:rFonts w:hint="eastAsia" w:ascii="宋体" w:hAnsi="宋体" w:eastAsia="宋体" w:cs="宋体"/>
          <w:b/>
          <w:bCs/>
          <w:color w:val="auto"/>
          <w:sz w:val="24"/>
          <w:highlight w:val="none"/>
        </w:rPr>
        <w:t>、合同争议和解决办法</w:t>
      </w:r>
    </w:p>
    <w:p w14:paraId="45AE688A">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甲、乙双方应本着友好合作、积极协商的态度，严格履行本协议，因不可预见的因素或本协议未尽事宜发生争议，由双方协商解决,协商不成时，甲、乙双方同意提交西安仲裁委员会仲裁，仲裁裁决是终局的，对双方均有约束力。</w:t>
      </w:r>
    </w:p>
    <w:p w14:paraId="5F4FA0EA">
      <w:pPr>
        <w:keepNext w:val="0"/>
        <w:keepLines w:val="0"/>
        <w:pageBreakBefore w:val="0"/>
        <w:kinsoku/>
        <w:wordWrap/>
        <w:topLinePunct w:val="0"/>
        <w:bidi w:val="0"/>
        <w:snapToGrid/>
        <w:spacing w:line="360" w:lineRule="auto"/>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十</w:t>
      </w:r>
      <w:r>
        <w:rPr>
          <w:rFonts w:hint="eastAsia" w:ascii="宋体" w:hAnsi="宋体" w:eastAsia="宋体" w:cs="宋体"/>
          <w:b/>
          <w:bCs/>
          <w:color w:val="auto"/>
          <w:sz w:val="24"/>
          <w:highlight w:val="none"/>
          <w:lang w:val="en-US" w:eastAsia="zh-CN"/>
        </w:rPr>
        <w:t>六</w:t>
      </w:r>
      <w:r>
        <w:rPr>
          <w:rFonts w:hint="eastAsia" w:ascii="宋体" w:hAnsi="宋体" w:eastAsia="宋体" w:cs="宋体"/>
          <w:b/>
          <w:bCs/>
          <w:color w:val="auto"/>
          <w:sz w:val="24"/>
          <w:highlight w:val="none"/>
        </w:rPr>
        <w:t>、其他事项</w:t>
      </w:r>
    </w:p>
    <w:p w14:paraId="568C05D2">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color w:val="auto"/>
          <w:sz w:val="24"/>
          <w:highlight w:val="none"/>
        </w:rPr>
        <w:t>1.</w:t>
      </w:r>
      <w:r>
        <w:rPr>
          <w:rFonts w:hint="eastAsia" w:hAnsi="宋体" w:cs="宋体"/>
          <w:b w:val="0"/>
          <w:bCs w:val="0"/>
          <w:color w:val="auto"/>
          <w:kern w:val="0"/>
          <w:sz w:val="24"/>
          <w:szCs w:val="24"/>
          <w:highlight w:val="none"/>
          <w:lang w:val="en-US" w:eastAsia="zh-CN"/>
        </w:rPr>
        <w:t>甲方</w:t>
      </w:r>
      <w:r>
        <w:rPr>
          <w:rFonts w:hint="eastAsia" w:ascii="宋体" w:hAnsi="宋体" w:eastAsia="宋体" w:cs="宋体"/>
          <w:b w:val="0"/>
          <w:bCs w:val="0"/>
          <w:color w:val="auto"/>
          <w:kern w:val="0"/>
          <w:sz w:val="24"/>
          <w:szCs w:val="24"/>
          <w:highlight w:val="none"/>
          <w:lang w:val="en-US" w:eastAsia="zh-CN"/>
        </w:rPr>
        <w:t>需追加与合同标的相同的货物、工程或者服务的，在不改变合同其他条款的前提下，可以与</w:t>
      </w:r>
      <w:r>
        <w:rPr>
          <w:rFonts w:hint="eastAsia" w:hAnsi="宋体" w:cs="宋体"/>
          <w:b w:val="0"/>
          <w:bCs w:val="0"/>
          <w:color w:val="auto"/>
          <w:kern w:val="0"/>
          <w:sz w:val="24"/>
          <w:szCs w:val="24"/>
          <w:highlight w:val="none"/>
          <w:lang w:val="en-US" w:eastAsia="zh-CN"/>
        </w:rPr>
        <w:t>乙方</w:t>
      </w:r>
      <w:r>
        <w:rPr>
          <w:rFonts w:hint="eastAsia" w:ascii="宋体" w:hAnsi="宋体" w:eastAsia="宋体" w:cs="宋体"/>
          <w:b w:val="0"/>
          <w:bCs w:val="0"/>
          <w:color w:val="auto"/>
          <w:kern w:val="0"/>
          <w:sz w:val="24"/>
          <w:szCs w:val="24"/>
          <w:highlight w:val="none"/>
          <w:lang w:val="en-US" w:eastAsia="zh-CN"/>
        </w:rPr>
        <w:t>协商签订补充合同，但所有补充合同的采购金额不得超过原合同采购金额的百分之十。</w:t>
      </w:r>
    </w:p>
    <w:p w14:paraId="5F4A472B">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b w:val="0"/>
          <w:bCs w:val="0"/>
          <w:color w:val="auto"/>
          <w:kern w:val="0"/>
          <w:sz w:val="24"/>
          <w:szCs w:val="24"/>
          <w:highlight w:val="none"/>
          <w:lang w:val="en-US" w:eastAsia="zh-CN"/>
        </w:rPr>
        <w:t>2.</w:t>
      </w:r>
      <w:r>
        <w:rPr>
          <w:rFonts w:hint="eastAsia" w:ascii="宋体" w:hAnsi="宋体" w:eastAsia="宋体" w:cs="宋体"/>
          <w:color w:val="auto"/>
          <w:sz w:val="24"/>
          <w:highlight w:val="none"/>
        </w:rPr>
        <w:t>未尽事宜，双方协商解决。在本合同履行过程中将双方达成的书面补充协议是本合同不可分割的组成部分，与本合同具有同等效力。</w:t>
      </w:r>
    </w:p>
    <w:p w14:paraId="3CB8AA30">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.本合同正本一式</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份，副本一式</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份，均以中文书写，在双方代表签字盖章后生效，甲方执正本</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份、副本</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份；乙方执正本</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份，副本</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份；政府采购管理部门备案副本一份，均具有同等法律效力。</w:t>
      </w:r>
    </w:p>
    <w:p w14:paraId="35FBEC59">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rPr>
        <w:t>.本合同自双方签字盖章之日起生效，合同执行完毕自动失效（合同的服务承诺长期有效）。</w:t>
      </w:r>
    </w:p>
    <w:p w14:paraId="7D6358C1">
      <w:pPr>
        <w:rPr>
          <w:rFonts w:hint="default"/>
          <w:highlight w:val="none"/>
        </w:rPr>
      </w:pPr>
    </w:p>
    <w:tbl>
      <w:tblPr>
        <w:tblStyle w:val="9"/>
        <w:tblpPr w:leftFromText="180" w:rightFromText="180" w:vertAnchor="text" w:horzAnchor="page" w:tblpX="1485" w:tblpY="680"/>
        <w:tblOverlap w:val="never"/>
        <w:tblW w:w="4998" w:type="pct"/>
        <w:jc w:val="center"/>
        <w:tblLayout w:type="autofit"/>
        <w:tblCellMar>
          <w:top w:w="0" w:type="dxa"/>
          <w:left w:w="108" w:type="dxa"/>
          <w:bottom w:w="0" w:type="dxa"/>
          <w:right w:w="108" w:type="dxa"/>
        </w:tblCellMar>
      </w:tblPr>
      <w:tblGrid>
        <w:gridCol w:w="4782"/>
        <w:gridCol w:w="4784"/>
      </w:tblGrid>
      <w:tr w14:paraId="408BEC0C">
        <w:tblPrEx>
          <w:tblCellMar>
            <w:top w:w="0" w:type="dxa"/>
            <w:left w:w="108" w:type="dxa"/>
            <w:bottom w:w="0" w:type="dxa"/>
            <w:right w:w="108" w:type="dxa"/>
          </w:tblCellMar>
        </w:tblPrEx>
        <w:trPr>
          <w:trHeight w:val="484" w:hRule="exact"/>
          <w:jc w:val="center"/>
        </w:trPr>
        <w:tc>
          <w:tcPr>
            <w:tcW w:w="2499" w:type="pct"/>
            <w:noWrap w:val="0"/>
            <w:vAlign w:val="top"/>
          </w:tcPr>
          <w:p w14:paraId="0B0C93BF">
            <w:pPr>
              <w:rPr>
                <w:rFonts w:hint="eastAsia"/>
                <w:highlight w:val="none"/>
              </w:rPr>
            </w:pPr>
            <w:r>
              <w:rPr>
                <w:rFonts w:hint="eastAsia"/>
                <w:highlight w:val="none"/>
              </w:rPr>
              <w:t>甲方</w:t>
            </w:r>
          </w:p>
        </w:tc>
        <w:tc>
          <w:tcPr>
            <w:tcW w:w="2500" w:type="pct"/>
            <w:noWrap w:val="0"/>
            <w:vAlign w:val="top"/>
          </w:tcPr>
          <w:p w14:paraId="1B2FF111">
            <w:pPr>
              <w:rPr>
                <w:rFonts w:hint="eastAsia"/>
                <w:highlight w:val="none"/>
              </w:rPr>
            </w:pPr>
            <w:r>
              <w:rPr>
                <w:rFonts w:hint="eastAsia"/>
                <w:highlight w:val="none"/>
              </w:rPr>
              <w:t>乙方</w:t>
            </w:r>
          </w:p>
        </w:tc>
      </w:tr>
      <w:tr w14:paraId="61F6A9C4">
        <w:tblPrEx>
          <w:tblCellMar>
            <w:top w:w="0" w:type="dxa"/>
            <w:left w:w="108" w:type="dxa"/>
            <w:bottom w:w="0" w:type="dxa"/>
            <w:right w:w="108" w:type="dxa"/>
          </w:tblCellMar>
        </w:tblPrEx>
        <w:trPr>
          <w:trHeight w:val="467" w:hRule="exact"/>
          <w:jc w:val="center"/>
        </w:trPr>
        <w:tc>
          <w:tcPr>
            <w:tcW w:w="2499" w:type="pct"/>
            <w:noWrap w:val="0"/>
            <w:vAlign w:val="top"/>
          </w:tcPr>
          <w:p w14:paraId="72C58DB1">
            <w:pPr>
              <w:rPr>
                <w:rFonts w:hint="eastAsia"/>
                <w:highlight w:val="none"/>
              </w:rPr>
            </w:pPr>
            <w:r>
              <w:rPr>
                <w:rFonts w:hint="eastAsia"/>
                <w:highlight w:val="none"/>
              </w:rPr>
              <w:t>（盖章）</w:t>
            </w:r>
          </w:p>
        </w:tc>
        <w:tc>
          <w:tcPr>
            <w:tcW w:w="2500" w:type="pct"/>
            <w:noWrap w:val="0"/>
            <w:vAlign w:val="top"/>
          </w:tcPr>
          <w:p w14:paraId="326864D3">
            <w:pPr>
              <w:rPr>
                <w:rFonts w:hint="eastAsia"/>
                <w:highlight w:val="none"/>
              </w:rPr>
            </w:pPr>
            <w:r>
              <w:rPr>
                <w:rFonts w:hint="eastAsia"/>
                <w:highlight w:val="none"/>
              </w:rPr>
              <w:t>（盖章）</w:t>
            </w:r>
          </w:p>
        </w:tc>
      </w:tr>
      <w:tr w14:paraId="1BCEC315">
        <w:trPr>
          <w:trHeight w:val="501" w:hRule="exact"/>
          <w:jc w:val="center"/>
        </w:trPr>
        <w:tc>
          <w:tcPr>
            <w:tcW w:w="2499" w:type="pct"/>
            <w:noWrap w:val="0"/>
            <w:vAlign w:val="top"/>
          </w:tcPr>
          <w:p w14:paraId="56DFBE01">
            <w:pPr>
              <w:rPr>
                <w:rFonts w:hint="eastAsia"/>
                <w:highlight w:val="none"/>
              </w:rPr>
            </w:pPr>
            <w:r>
              <w:rPr>
                <w:rFonts w:hint="eastAsia"/>
                <w:highlight w:val="none"/>
              </w:rPr>
              <w:t>地址：</w:t>
            </w:r>
          </w:p>
        </w:tc>
        <w:tc>
          <w:tcPr>
            <w:tcW w:w="2500" w:type="pct"/>
            <w:noWrap w:val="0"/>
            <w:vAlign w:val="top"/>
          </w:tcPr>
          <w:p w14:paraId="049EAED0">
            <w:pPr>
              <w:rPr>
                <w:rFonts w:hint="eastAsia"/>
                <w:highlight w:val="none"/>
              </w:rPr>
            </w:pPr>
            <w:r>
              <w:rPr>
                <w:rFonts w:hint="eastAsia"/>
                <w:highlight w:val="none"/>
              </w:rPr>
              <w:t>地址：</w:t>
            </w:r>
          </w:p>
        </w:tc>
      </w:tr>
      <w:tr w14:paraId="05C54B60">
        <w:tblPrEx>
          <w:tblCellMar>
            <w:top w:w="0" w:type="dxa"/>
            <w:left w:w="108" w:type="dxa"/>
            <w:bottom w:w="0" w:type="dxa"/>
            <w:right w:w="108" w:type="dxa"/>
          </w:tblCellMar>
        </w:tblPrEx>
        <w:trPr>
          <w:trHeight w:val="450" w:hRule="exact"/>
          <w:jc w:val="center"/>
        </w:trPr>
        <w:tc>
          <w:tcPr>
            <w:tcW w:w="2499" w:type="pct"/>
            <w:noWrap w:val="0"/>
            <w:vAlign w:val="top"/>
          </w:tcPr>
          <w:p w14:paraId="4C8D5CCE">
            <w:pPr>
              <w:rPr>
                <w:rFonts w:hint="eastAsia"/>
                <w:highlight w:val="none"/>
              </w:rPr>
            </w:pPr>
            <w:r>
              <w:rPr>
                <w:rFonts w:hint="eastAsia"/>
                <w:highlight w:val="none"/>
              </w:rPr>
              <w:t>邮编：</w:t>
            </w:r>
          </w:p>
        </w:tc>
        <w:tc>
          <w:tcPr>
            <w:tcW w:w="2500" w:type="pct"/>
            <w:noWrap w:val="0"/>
            <w:vAlign w:val="top"/>
          </w:tcPr>
          <w:p w14:paraId="6EA9584D">
            <w:pPr>
              <w:rPr>
                <w:rFonts w:hint="eastAsia"/>
                <w:highlight w:val="none"/>
              </w:rPr>
            </w:pPr>
            <w:r>
              <w:rPr>
                <w:rFonts w:hint="eastAsia"/>
                <w:highlight w:val="none"/>
              </w:rPr>
              <w:t>邮编：</w:t>
            </w:r>
          </w:p>
        </w:tc>
      </w:tr>
      <w:tr w14:paraId="78DD154A">
        <w:tblPrEx>
          <w:tblCellMar>
            <w:top w:w="0" w:type="dxa"/>
            <w:left w:w="108" w:type="dxa"/>
            <w:bottom w:w="0" w:type="dxa"/>
            <w:right w:w="108" w:type="dxa"/>
          </w:tblCellMar>
        </w:tblPrEx>
        <w:trPr>
          <w:trHeight w:val="533" w:hRule="exact"/>
          <w:jc w:val="center"/>
        </w:trPr>
        <w:tc>
          <w:tcPr>
            <w:tcW w:w="2499" w:type="pct"/>
            <w:noWrap w:val="0"/>
            <w:vAlign w:val="top"/>
          </w:tcPr>
          <w:p w14:paraId="006977F7">
            <w:pPr>
              <w:rPr>
                <w:rFonts w:hint="eastAsia"/>
                <w:highlight w:val="none"/>
              </w:rPr>
            </w:pPr>
            <w:r>
              <w:rPr>
                <w:rFonts w:hint="eastAsia"/>
                <w:highlight w:val="none"/>
              </w:rPr>
              <w:t>法定代表人：</w:t>
            </w:r>
          </w:p>
        </w:tc>
        <w:tc>
          <w:tcPr>
            <w:tcW w:w="2500" w:type="pct"/>
            <w:noWrap w:val="0"/>
            <w:vAlign w:val="top"/>
          </w:tcPr>
          <w:p w14:paraId="1D927297">
            <w:pPr>
              <w:rPr>
                <w:rFonts w:hint="eastAsia"/>
                <w:highlight w:val="none"/>
              </w:rPr>
            </w:pPr>
            <w:r>
              <w:rPr>
                <w:rFonts w:hint="eastAsia"/>
                <w:highlight w:val="none"/>
              </w:rPr>
              <w:t>法定代表人：</w:t>
            </w:r>
          </w:p>
        </w:tc>
      </w:tr>
      <w:tr w14:paraId="7A4CDB5B">
        <w:tblPrEx>
          <w:tblCellMar>
            <w:top w:w="0" w:type="dxa"/>
            <w:left w:w="108" w:type="dxa"/>
            <w:bottom w:w="0" w:type="dxa"/>
            <w:right w:w="108" w:type="dxa"/>
          </w:tblCellMar>
        </w:tblPrEx>
        <w:trPr>
          <w:trHeight w:val="533" w:hRule="exact"/>
          <w:jc w:val="center"/>
        </w:trPr>
        <w:tc>
          <w:tcPr>
            <w:tcW w:w="2499" w:type="pct"/>
            <w:noWrap w:val="0"/>
            <w:vAlign w:val="top"/>
          </w:tcPr>
          <w:p w14:paraId="47A31192">
            <w:pPr>
              <w:rPr>
                <w:rFonts w:hint="eastAsia"/>
                <w:highlight w:val="none"/>
              </w:rPr>
            </w:pPr>
            <w:r>
              <w:rPr>
                <w:rFonts w:hint="eastAsia"/>
                <w:highlight w:val="none"/>
              </w:rPr>
              <w:t>委托代理人：</w:t>
            </w:r>
          </w:p>
        </w:tc>
        <w:tc>
          <w:tcPr>
            <w:tcW w:w="2500" w:type="pct"/>
            <w:noWrap w:val="0"/>
            <w:vAlign w:val="top"/>
          </w:tcPr>
          <w:p w14:paraId="7029C958">
            <w:pPr>
              <w:rPr>
                <w:rFonts w:hint="eastAsia"/>
                <w:highlight w:val="none"/>
              </w:rPr>
            </w:pPr>
            <w:r>
              <w:rPr>
                <w:rFonts w:hint="eastAsia"/>
                <w:highlight w:val="none"/>
              </w:rPr>
              <w:t>委托代理人：</w:t>
            </w:r>
          </w:p>
        </w:tc>
      </w:tr>
      <w:tr w14:paraId="3C89FE04">
        <w:tblPrEx>
          <w:tblCellMar>
            <w:top w:w="0" w:type="dxa"/>
            <w:left w:w="108" w:type="dxa"/>
            <w:bottom w:w="0" w:type="dxa"/>
            <w:right w:w="108" w:type="dxa"/>
          </w:tblCellMar>
        </w:tblPrEx>
        <w:trPr>
          <w:trHeight w:val="500" w:hRule="exact"/>
          <w:jc w:val="center"/>
        </w:trPr>
        <w:tc>
          <w:tcPr>
            <w:tcW w:w="2499" w:type="pct"/>
            <w:noWrap w:val="0"/>
            <w:vAlign w:val="top"/>
          </w:tcPr>
          <w:p w14:paraId="303CCA80">
            <w:pPr>
              <w:rPr>
                <w:rFonts w:hint="eastAsia"/>
                <w:highlight w:val="none"/>
              </w:rPr>
            </w:pPr>
            <w:r>
              <w:rPr>
                <w:rFonts w:hint="eastAsia"/>
                <w:highlight w:val="none"/>
              </w:rPr>
              <w:t>电话：</w:t>
            </w:r>
          </w:p>
        </w:tc>
        <w:tc>
          <w:tcPr>
            <w:tcW w:w="2500" w:type="pct"/>
            <w:noWrap w:val="0"/>
            <w:vAlign w:val="top"/>
          </w:tcPr>
          <w:p w14:paraId="2097B7AB">
            <w:pPr>
              <w:rPr>
                <w:rFonts w:hint="eastAsia"/>
                <w:highlight w:val="none"/>
              </w:rPr>
            </w:pPr>
            <w:r>
              <w:rPr>
                <w:rFonts w:hint="eastAsia"/>
                <w:highlight w:val="none"/>
              </w:rPr>
              <w:t>电话：</w:t>
            </w:r>
          </w:p>
        </w:tc>
      </w:tr>
      <w:tr w14:paraId="1B72369C">
        <w:tblPrEx>
          <w:tblCellMar>
            <w:top w:w="0" w:type="dxa"/>
            <w:left w:w="108" w:type="dxa"/>
            <w:bottom w:w="0" w:type="dxa"/>
            <w:right w:w="108" w:type="dxa"/>
          </w:tblCellMar>
        </w:tblPrEx>
        <w:trPr>
          <w:trHeight w:val="467" w:hRule="exact"/>
          <w:jc w:val="center"/>
        </w:trPr>
        <w:tc>
          <w:tcPr>
            <w:tcW w:w="2499" w:type="pct"/>
            <w:noWrap w:val="0"/>
            <w:vAlign w:val="top"/>
          </w:tcPr>
          <w:p w14:paraId="50436789">
            <w:pPr>
              <w:rPr>
                <w:rFonts w:hint="eastAsia"/>
                <w:highlight w:val="none"/>
              </w:rPr>
            </w:pPr>
            <w:r>
              <w:rPr>
                <w:rFonts w:hint="eastAsia"/>
                <w:highlight w:val="none"/>
              </w:rPr>
              <w:t>传真：</w:t>
            </w:r>
          </w:p>
        </w:tc>
        <w:tc>
          <w:tcPr>
            <w:tcW w:w="2500" w:type="pct"/>
            <w:noWrap w:val="0"/>
            <w:vAlign w:val="top"/>
          </w:tcPr>
          <w:p w14:paraId="041270EF">
            <w:pPr>
              <w:rPr>
                <w:rFonts w:hint="eastAsia"/>
                <w:highlight w:val="none"/>
              </w:rPr>
            </w:pPr>
            <w:r>
              <w:rPr>
                <w:rFonts w:hint="eastAsia"/>
                <w:highlight w:val="none"/>
              </w:rPr>
              <w:t>传真：</w:t>
            </w:r>
          </w:p>
        </w:tc>
      </w:tr>
      <w:tr w14:paraId="4EBEFA42">
        <w:tblPrEx>
          <w:tblCellMar>
            <w:top w:w="0" w:type="dxa"/>
            <w:left w:w="108" w:type="dxa"/>
            <w:bottom w:w="0" w:type="dxa"/>
            <w:right w:w="108" w:type="dxa"/>
          </w:tblCellMar>
        </w:tblPrEx>
        <w:trPr>
          <w:trHeight w:val="567" w:hRule="exact"/>
          <w:jc w:val="center"/>
        </w:trPr>
        <w:tc>
          <w:tcPr>
            <w:tcW w:w="2499" w:type="pct"/>
            <w:noWrap w:val="0"/>
            <w:vAlign w:val="top"/>
          </w:tcPr>
          <w:p w14:paraId="49AFBA25">
            <w:pPr>
              <w:rPr>
                <w:rFonts w:hint="eastAsia"/>
                <w:highlight w:val="none"/>
              </w:rPr>
            </w:pPr>
            <w:r>
              <w:rPr>
                <w:rFonts w:hint="eastAsia"/>
                <w:highlight w:val="none"/>
              </w:rPr>
              <w:t>开户银行：</w:t>
            </w:r>
          </w:p>
        </w:tc>
        <w:tc>
          <w:tcPr>
            <w:tcW w:w="2500" w:type="pct"/>
            <w:noWrap w:val="0"/>
            <w:vAlign w:val="top"/>
          </w:tcPr>
          <w:p w14:paraId="574A5AA0">
            <w:pPr>
              <w:rPr>
                <w:rFonts w:hint="eastAsia"/>
                <w:highlight w:val="none"/>
              </w:rPr>
            </w:pPr>
            <w:r>
              <w:rPr>
                <w:rFonts w:hint="eastAsia"/>
                <w:highlight w:val="none"/>
              </w:rPr>
              <w:t>开户银行：</w:t>
            </w:r>
          </w:p>
        </w:tc>
      </w:tr>
      <w:tr w14:paraId="2B653CB3">
        <w:trPr>
          <w:trHeight w:val="567" w:hRule="exact"/>
          <w:jc w:val="center"/>
        </w:trPr>
        <w:tc>
          <w:tcPr>
            <w:tcW w:w="2499" w:type="pct"/>
            <w:noWrap w:val="0"/>
            <w:vAlign w:val="top"/>
          </w:tcPr>
          <w:p w14:paraId="573ECE68">
            <w:pPr>
              <w:rPr>
                <w:rFonts w:hint="eastAsia"/>
                <w:highlight w:val="none"/>
              </w:rPr>
            </w:pPr>
            <w:r>
              <w:rPr>
                <w:rFonts w:hint="eastAsia"/>
                <w:highlight w:val="none"/>
              </w:rPr>
              <w:t>日期：</w:t>
            </w:r>
          </w:p>
        </w:tc>
        <w:tc>
          <w:tcPr>
            <w:tcW w:w="2500" w:type="pct"/>
            <w:noWrap w:val="0"/>
            <w:vAlign w:val="top"/>
          </w:tcPr>
          <w:p w14:paraId="0A736ED5">
            <w:pPr>
              <w:rPr>
                <w:rFonts w:hint="eastAsia"/>
                <w:highlight w:val="none"/>
              </w:rPr>
            </w:pPr>
            <w:r>
              <w:rPr>
                <w:rFonts w:hint="eastAsia"/>
                <w:highlight w:val="none"/>
              </w:rPr>
              <w:t>日期：</w:t>
            </w:r>
          </w:p>
        </w:tc>
      </w:tr>
    </w:tbl>
    <w:p w14:paraId="5F7FBAB0">
      <w:pPr>
        <w:rPr>
          <w:rFonts w:hint="default"/>
          <w:highlight w:val="none"/>
        </w:rPr>
      </w:pPr>
    </w:p>
    <w:p w14:paraId="050BAE27">
      <w:bookmarkStart w:id="0" w:name="_GoBack"/>
      <w:bookmarkEnd w:id="0"/>
    </w:p>
    <w:sectPr>
      <w:footerReference r:id="rId5" w:type="default"/>
      <w:pgSz w:w="11906" w:h="16838"/>
      <w:pgMar w:top="1418" w:right="1134" w:bottom="1418" w:left="1418"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2555D9">
    <w:pPr>
      <w:pStyle w:val="5"/>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8F67C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60" w:lineRule="auto"/>
      <w:jc w:val="both"/>
    </w:pPr>
    <w:rPr>
      <w:rFonts w:ascii="宋体" w:hAnsi="Times New Roman" w:eastAsia="宋体" w:cs="Times New Roman"/>
      <w:sz w:val="24"/>
      <w:lang w:val="en-US" w:eastAsia="zh-CN" w:bidi="ar-SA"/>
    </w:rPr>
  </w:style>
  <w:style w:type="character" w:default="1" w:styleId="10">
    <w:name w:val="Default Paragraph Font"/>
    <w:semiHidden/>
    <w:qFormat/>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Body Text First Indent 2"/>
    <w:basedOn w:val="3"/>
    <w:next w:val="1"/>
    <w:unhideWhenUsed/>
    <w:qFormat/>
    <w:uiPriority w:val="0"/>
    <w:pPr>
      <w:ind w:firstLine="420"/>
    </w:pPr>
  </w:style>
  <w:style w:type="paragraph" w:styleId="3">
    <w:name w:val="Body Text Indent"/>
    <w:basedOn w:val="1"/>
    <w:next w:val="2"/>
    <w:qFormat/>
    <w:uiPriority w:val="0"/>
    <w:pPr>
      <w:ind w:firstLine="652" w:firstLineChars="233"/>
    </w:pPr>
    <w:rPr>
      <w:rFonts w:ascii="Times New Roman"/>
      <w:sz w:val="28"/>
    </w:rPr>
  </w:style>
  <w:style w:type="paragraph" w:styleId="4">
    <w:name w:val="Normal Indent"/>
    <w:basedOn w:val="1"/>
    <w:next w:val="1"/>
    <w:qFormat/>
    <w:uiPriority w:val="0"/>
    <w:pPr>
      <w:spacing w:line="300" w:lineRule="auto"/>
      <w:ind w:firstLine="420" w:firstLineChars="200"/>
    </w:pPr>
    <w:rPr>
      <w:rFonts w:ascii="Times New Roman"/>
      <w:kern w:val="2"/>
      <w:sz w:val="21"/>
      <w:szCs w:val="24"/>
    </w:rPr>
  </w:style>
  <w:style w:type="paragraph" w:styleId="5">
    <w:name w:val="Body Text"/>
    <w:basedOn w:val="1"/>
    <w:next w:val="6"/>
    <w:qFormat/>
    <w:uiPriority w:val="0"/>
    <w:pPr>
      <w:spacing w:after="120"/>
    </w:pPr>
    <w:rPr>
      <w:rFonts w:ascii="Times New Roman"/>
      <w:kern w:val="2"/>
      <w:sz w:val="21"/>
    </w:rPr>
  </w:style>
  <w:style w:type="paragraph" w:styleId="6">
    <w:name w:val="footer"/>
    <w:basedOn w:val="1"/>
    <w:qFormat/>
    <w:uiPriority w:val="99"/>
    <w:pPr>
      <w:tabs>
        <w:tab w:val="center" w:pos="4153"/>
        <w:tab w:val="right" w:pos="8306"/>
      </w:tabs>
      <w:snapToGrid w:val="0"/>
      <w:jc w:val="left"/>
    </w:pPr>
    <w:rPr>
      <w:rFonts w:ascii="Times New Roman"/>
      <w:kern w:val="2"/>
      <w:sz w:val="18"/>
      <w:szCs w:val="18"/>
    </w:rPr>
  </w:style>
  <w:style w:type="paragraph" w:styleId="7">
    <w:name w:val="Plain Text"/>
    <w:basedOn w:val="1"/>
    <w:next w:val="1"/>
    <w:qFormat/>
    <w:uiPriority w:val="0"/>
    <w:rPr>
      <w:rFonts w:ascii="宋体"/>
      <w:szCs w:val="20"/>
    </w:rPr>
  </w:style>
  <w:style w:type="paragraph" w:styleId="8">
    <w:name w:val="Body Text Indent 2"/>
    <w:basedOn w:val="1"/>
    <w:qFormat/>
    <w:uiPriority w:val="0"/>
    <w:pPr>
      <w:tabs>
        <w:tab w:val="left" w:pos="5625"/>
      </w:tabs>
      <w:ind w:left="1138" w:leftChars="542"/>
    </w:pPr>
    <w:rPr>
      <w:rFonts w:ascii="@仿宋_GB2312" w:hAnsi="@仿宋_GB2312" w:eastAsia="@仿宋_GB2312" w:cs="@仿宋_GB2312"/>
      <w:kern w:val="2"/>
    </w:rPr>
  </w:style>
  <w:style w:type="paragraph" w:customStyle="1" w:styleId="11">
    <w:name w:val="null3"/>
    <w:autoRedefine/>
    <w:hidden/>
    <w:qFormat/>
    <w:uiPriority w:val="0"/>
    <w:rPr>
      <w:rFonts w:hint="eastAsia" w:asciiTheme="minorHAnsi" w:hAnsiTheme="minorHAnsi" w:eastAsiaTheme="minorEastAsia" w:cstheme="minorBidi"/>
      <w:lang w:val="en-US" w:eastAsia="zh-Hans" w:bidi="ar-SA"/>
    </w:rPr>
  </w:style>
  <w:style w:type="paragraph" w:styleId="12">
    <w:name w:val="List Paragraph"/>
    <w:basedOn w:val="1"/>
    <w:qFormat/>
    <w:uiPriority w:val="34"/>
    <w:pPr>
      <w:widowControl/>
      <w:spacing w:line="240" w:lineRule="auto"/>
      <w:ind w:left="720"/>
      <w:contextualSpacing/>
      <w:jc w:val="left"/>
    </w:pPr>
    <w:rPr>
      <w:rFonts w:ascii="Calibri" w:hAnsi="Calibri"/>
      <w:kern w:val="0"/>
      <w:sz w:val="24"/>
      <w:lang w:eastAsia="en-US" w:bidi="en-US"/>
    </w:rPr>
  </w:style>
  <w:style w:type="paragraph" w:customStyle="1" w:styleId="13">
    <w:name w:val="列出段落1"/>
    <w:basedOn w:val="1"/>
    <w:qFormat/>
    <w:uiPriority w:val="99"/>
    <w:pPr>
      <w:spacing w:line="240" w:lineRule="auto"/>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2026-06-04T09:15:26Z</dcterms:created>
  <dc:creator>Administrator</dc:creator>
  <cp:lastModifiedBy>AA 大美</cp:lastModifiedBy>
  <dcterms:modified xsi:type="dcterms:W3CDTF">2026-06-04T09:15:33Z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eyJoZGlkIjoiZDVkN2YwZmYzN2E0YTYzMWVlZGYyZWZmZDI2OGJkNzciLCJ1c2VySWQiOiIzMzI2OTQyODQifQ==</vt:lpwstr>
  </property>
  <property fmtid="{D5CDD505-2E9C-101B-9397-08002B2CF9AE}" pid="4" name="ICV">
    <vt:lpwstr>823FABB8506843999297686901F0D564_12</vt:lpwstr>
  </property>
</Properties>
</file>