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版本号：ZMZB2026XJD-16220260528001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雁塔校区幼儿园室外场地翻新改造项目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ZMZB2026XJD-162</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雁塔校区幼儿园室外场地翻新改造项目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ZMZB2026XJD-162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雁塔校区幼儿园室外场地翻新改造项目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雁塔校区幼儿园室外场地翻新改造项目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采购包1（雁塔校区幼儿园室外场地翻新改造）：属于专门面向中小企业采购。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6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7、法定代表人委托授权书：非法定代表人参加磋商的，须提供法定代表人委托授权书及被授权人身份证，法定代表人参加磋商时,只须提供法定代表人身份证</w:t>
      </w:r>
    </w:p>
    <w:p>
      <w:pPr>
        <w:pStyle w:val="null3"/>
      </w:pPr>
      <w:r>
        <w:rPr>
          <w:rFonts w:ascii="仿宋_GB2312" w:hAnsi="仿宋_GB2312" w:cs="仿宋_GB2312" w:eastAsia="仿宋_GB2312"/>
        </w:rPr>
        <w:t>8、相关资质：具备建筑工程施工总承包三级及以上资质，有效期内的安全生产许可证</w:t>
      </w:r>
    </w:p>
    <w:p>
      <w:pPr>
        <w:pStyle w:val="null3"/>
      </w:pPr>
      <w:r>
        <w:rPr>
          <w:rFonts w:ascii="仿宋_GB2312" w:hAnsi="仿宋_GB2312" w:cs="仿宋_GB2312" w:eastAsia="仿宋_GB2312"/>
        </w:rPr>
        <w:t>9、项目经理：拟投入项目经理须具备建筑工程专业二级以上（含二级）注册建造师执业资格证（在本单位注册）及有效的安全生产考核合格证（建安B证），且未担任其它在建工程的项目经理（提供承诺书）</w:t>
      </w:r>
    </w:p>
    <w:p>
      <w:pPr>
        <w:pStyle w:val="null3"/>
      </w:pPr>
      <w:r>
        <w:rPr>
          <w:rFonts w:ascii="仿宋_GB2312" w:hAnsi="仿宋_GB2312" w:cs="仿宋_GB2312" w:eastAsia="仿宋_GB2312"/>
        </w:rPr>
        <w:t>10、外地企业备案：外地企业提供在“陕西省建筑市场监管与诚信信息一体化平台”上登记的基本信息界面截图</w:t>
      </w:r>
    </w:p>
    <w:p>
      <w:pPr>
        <w:pStyle w:val="null3"/>
      </w:pPr>
      <w:r>
        <w:rPr>
          <w:rFonts w:ascii="仿宋_GB2312" w:hAnsi="仿宋_GB2312" w:cs="仿宋_GB2312" w:eastAsia="仿宋_GB2312"/>
        </w:rPr>
        <w:t>11、非联合体投标：提供非联合体投标声明函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采购包1保证金金额：18,900.00元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说明：供应商成交后凭成交通知书向采购人缴纳成交金额出现质量问题未及时处理或处理不当造成事故的，履约保证金不予退还。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踏勘时间：2026-06-05 09:30:30</w:t>
            </w:r>
          </w:p>
          <w:p>
            <w:pPr>
              <w:pStyle w:val="null3"/>
              <w:ind w:firstLine="975"/>
            </w:pPr>
            <w:r>
              <w:rPr>
                <w:rFonts w:ascii="仿宋_GB2312" w:hAnsi="仿宋_GB2312" w:cs="仿宋_GB2312" w:eastAsia="仿宋_GB2312"/>
              </w:rPr>
              <w:t>踏勘地点：西安建筑科技大学雁塔校区南院幼儿园门前集合</w:t>
            </w:r>
          </w:p>
          <w:p>
            <w:pPr>
              <w:pStyle w:val="null3"/>
              <w:ind w:firstLine="975"/>
            </w:pPr>
            <w:r>
              <w:rPr>
                <w:rFonts w:ascii="仿宋_GB2312" w:hAnsi="仿宋_GB2312" w:cs="仿宋_GB2312" w:eastAsia="仿宋_GB2312"/>
              </w:rPr>
              <w:t>联系人：董菊莉 杨帆</w:t>
            </w:r>
          </w:p>
          <w:p>
            <w:pPr>
              <w:pStyle w:val="null3"/>
              <w:ind w:firstLine="975"/>
            </w:pPr>
            <w:r>
              <w:rPr>
                <w:rFonts w:ascii="仿宋_GB2312" w:hAnsi="仿宋_GB2312" w:cs="仿宋_GB2312" w:eastAsia="仿宋_GB2312"/>
              </w:rPr>
              <w:t>联系电话号码：17778966061</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6061</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945,000.00</w:t>
      </w:r>
    </w:p>
    <w:p>
      <w:pPr>
        <w:pStyle w:val="null3"/>
      </w:pPr>
      <w:r>
        <w:rPr>
          <w:rFonts w:ascii="仿宋_GB2312" w:hAnsi="仿宋_GB2312" w:cs="仿宋_GB2312" w:eastAsia="仿宋_GB2312"/>
        </w:rPr>
        <w:t>采购包最高限价（元）: 945,000.00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雁塔校区幼儿园室外场地翻新改造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945,000.00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标的名称：雁塔校区幼儿园室外场地翻新改造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项目概况</w:t>
            </w:r>
          </w:p>
          <w:p>
            <w:pPr>
              <w:pStyle w:val="null3"/>
            </w:pPr>
            <w:r>
              <w:rPr>
                <w:rFonts w:ascii="仿宋_GB2312" w:hAnsi="仿宋_GB2312" w:cs="仿宋_GB2312" w:eastAsia="仿宋_GB2312"/>
                <w:sz w:val="21"/>
              </w:rPr>
              <w:t>1.</w:t>
            </w:r>
            <w:r>
              <w:rPr>
                <w:rFonts w:ascii="仿宋_GB2312" w:hAnsi="仿宋_GB2312" w:cs="仿宋_GB2312" w:eastAsia="仿宋_GB2312"/>
                <w:sz w:val="21"/>
              </w:rPr>
              <w:t>我校雁塔校区南院幼儿园活动场地区域人造草面层破旧，地面平整度欠缺，影响场地正常使用，且存在安全隐患，急需进行系统性修复与分区规划。结合场地现状实际情况以及学校整体改造计划，现计划对该场地进行整体翻新改造。项目改建完成后，整体空间优化整合，实现功能布局清晰、动静分区合理、场景多元互补，为学生提供集运动竞技、休闲游乐、</w:t>
            </w:r>
            <w:r>
              <w:rPr>
                <w:rFonts w:ascii="仿宋_GB2312" w:hAnsi="仿宋_GB2312" w:cs="仿宋_GB2312" w:eastAsia="仿宋_GB2312"/>
                <w:sz w:val="21"/>
              </w:rPr>
              <w:t>自然体验于一体的复合型活动空间。改造面积约</w:t>
            </w:r>
            <w:r>
              <w:rPr>
                <w:rFonts w:ascii="仿宋_GB2312" w:hAnsi="仿宋_GB2312" w:cs="仿宋_GB2312" w:eastAsia="仿宋_GB2312"/>
                <w:sz w:val="21"/>
              </w:rPr>
              <w:t>1800余平方米，新做排水沟160米。质量标准执行国家、陕西省、西安市现行工程质量验评标准。项目预算94.50万元，施工场地满足施工需求。</w:t>
            </w:r>
          </w:p>
          <w:p>
            <w:pPr>
              <w:pStyle w:val="null3"/>
            </w:pPr>
            <w:r>
              <w:rPr>
                <w:rFonts w:ascii="仿宋_GB2312" w:hAnsi="仿宋_GB2312" w:cs="仿宋_GB2312" w:eastAsia="仿宋_GB2312"/>
                <w:sz w:val="21"/>
              </w:rPr>
              <w:t>2.采购（招标）范围：本项目采购清单所包含全部内容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3.</w:t>
            </w:r>
            <w:r>
              <w:rPr>
                <w:rFonts w:ascii="仿宋_GB2312" w:hAnsi="仿宋_GB2312" w:cs="仿宋_GB2312" w:eastAsia="仿宋_GB2312"/>
                <w:sz w:val="21"/>
              </w:rPr>
              <w:t>投标报价要求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竞争性磋商文件中提供的工程量清单是按照本工程施工图纸，依据《陕西省建设工程费用规则》、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请各供应商根据提供的施工图纸认真核对，并确认无误;供应商中标后，若出现竞争性磋商文件中工程量清单描述与图纸不符等问题时，此部分工程量清单项的综合单价不予调整。</w:t>
            </w:r>
          </w:p>
          <w:p>
            <w:pPr>
              <w:pStyle w:val="null3"/>
            </w:pPr>
            <w:r>
              <w:rPr>
                <w:rFonts w:ascii="仿宋_GB2312" w:hAnsi="仿宋_GB2312" w:cs="仿宋_GB2312" w:eastAsia="仿宋_GB2312"/>
                <w:sz w:val="21"/>
              </w:rPr>
              <w:t>（</w:t>
            </w:r>
            <w:r>
              <w:rPr>
                <w:rFonts w:ascii="仿宋_GB2312" w:hAnsi="仿宋_GB2312" w:cs="仿宋_GB2312" w:eastAsia="仿宋_GB2312"/>
                <w:sz w:val="21"/>
              </w:rPr>
              <w:t>2）供应商投标前，应仔细勘察现场，应充分了解工程建设现状与本工程发包内容相关的实际情况，应充分考虑实际情况对投标报价的影响，任何因忽视或误解现状情况而导致的索赔、价款调整或工期延长申请将不被批准。供应商应充分考虑工程建设现状与本工程计价有关的任何因素均应考虑在投标报价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b/>
                <w:color w:val="000000"/>
              </w:rPr>
              <w:t>二、技术要求</w:t>
            </w:r>
          </w:p>
          <w:p>
            <w:pPr>
              <w:pStyle w:val="null3"/>
              <w:ind w:firstLine="422"/>
              <w:jc w:val="left"/>
            </w:pPr>
            <w:r>
              <w:rPr>
                <w:rFonts w:ascii="仿宋_GB2312" w:hAnsi="仿宋_GB2312" w:cs="仿宋_GB2312" w:eastAsia="仿宋_GB2312"/>
                <w:sz w:val="21"/>
                <w:b/>
                <w:color w:val="000000"/>
              </w:rPr>
              <w:t>1.《工程量清单》（或《采购清单》）</w:t>
            </w:r>
          </w:p>
          <w:tbl>
            <w:tblPr>
              <w:tblBorders>
                <w:top w:val="none" w:color="000000" w:sz="4"/>
                <w:left w:val="none" w:color="000000" w:sz="4"/>
                <w:bottom w:val="none" w:color="000000" w:sz="4"/>
                <w:right w:val="none" w:color="000000" w:sz="4"/>
                <w:insideH w:val="none"/>
                <w:insideV w:val="none"/>
              </w:tblBorders>
            </w:tblPr>
            <w:tblGrid>
              <w:gridCol w:w="220"/>
              <w:gridCol w:w="458"/>
              <w:gridCol w:w="1064"/>
              <w:gridCol w:w="418"/>
              <w:gridCol w:w="226"/>
              <w:gridCol w:w="152"/>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1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施工内容</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工程量</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原人造草面层拆除</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1.原人造草面层拆除、2.垃圾外运</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1.拆除、2.运输</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1705.75</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地面破拆</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1.原150mm厚水泥混凝土拆除</w:t>
                  </w:r>
                  <w:r>
                    <w:br/>
                  </w:r>
                  <w:r>
                    <w:rPr>
                      <w:rFonts w:ascii="仿宋_GB2312" w:hAnsi="仿宋_GB2312" w:cs="仿宋_GB2312" w:eastAsia="仿宋_GB2312"/>
                      <w:sz w:val="21"/>
                      <w:color w:val="000000"/>
                    </w:rPr>
                    <w:t>2.原150mm厚3:7灰土垫层拆除</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1.拆除、2.清运</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1620.75</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原设施拆除、挪移、保护、加固、恢复</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1.原大型儿童游乐设施保护性拆除挪移</w:t>
                  </w:r>
                  <w:r>
                    <w:br/>
                  </w:r>
                  <w:r>
                    <w:rPr>
                      <w:rFonts w:ascii="仿宋_GB2312" w:hAnsi="仿宋_GB2312" w:cs="仿宋_GB2312" w:eastAsia="仿宋_GB2312"/>
                      <w:sz w:val="21"/>
                      <w:color w:val="000000"/>
                    </w:rPr>
                    <w:t>2.检查维修加固、3.安装恢复</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1.拆除、2.妥善保存、3.安装</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新做排水沟</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1.60mm厚钢筋砼盖板安装、排水口泡沫封堵（完工后开启）；</w:t>
                  </w:r>
                  <w:r>
                    <w:br/>
                  </w:r>
                  <w:r>
                    <w:rPr>
                      <w:rFonts w:ascii="仿宋_GB2312" w:hAnsi="仿宋_GB2312" w:cs="仿宋_GB2312" w:eastAsia="仿宋_GB2312"/>
                      <w:sz w:val="21"/>
                      <w:color w:val="000000"/>
                    </w:rPr>
                    <w:t>2.断面200*300，U型预制钢筋砼排水沟安装、防水刮缝；</w:t>
                  </w:r>
                  <w:r>
                    <w:br/>
                  </w:r>
                  <w:r>
                    <w:rPr>
                      <w:rFonts w:ascii="仿宋_GB2312" w:hAnsi="仿宋_GB2312" w:cs="仿宋_GB2312" w:eastAsia="仿宋_GB2312"/>
                      <w:sz w:val="21"/>
                      <w:color w:val="000000"/>
                    </w:rPr>
                    <w:t>3.100厚钢筋砼垫层浇筑；                                   4.200厚3:7灰土分层夯实；</w:t>
                  </w:r>
                  <w:r>
                    <w:br/>
                  </w:r>
                  <w:r>
                    <w:rPr>
                      <w:rFonts w:ascii="仿宋_GB2312" w:hAnsi="仿宋_GB2312" w:cs="仿宋_GB2312" w:eastAsia="仿宋_GB2312"/>
                      <w:sz w:val="21"/>
                      <w:color w:val="000000"/>
                    </w:rPr>
                    <w:t>5.原基础夯实；</w:t>
                  </w:r>
                  <w:r>
                    <w:br/>
                  </w:r>
                  <w:r>
                    <w:rPr>
                      <w:rFonts w:ascii="仿宋_GB2312" w:hAnsi="仿宋_GB2312" w:cs="仿宋_GB2312" w:eastAsia="仿宋_GB2312"/>
                      <w:sz w:val="21"/>
                      <w:color w:val="000000"/>
                    </w:rPr>
                    <w:t>6.排水沟开挖宽400、深600</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1.开挖、2.垫层铺筑、3.混凝土浇筑、4.砌筑、5.勾缝、6.抹面、7.盖板</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151.71</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沉沙井砌筑</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1.60mm厚钢筋砼盖板安装、2.沉沙井砌筑、3.100厚钢筋砼垫层制作、4.200厚3:7灰土层分层夯实、5.原基础夯实、6.基础开挖宽400、深900；</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1.土方挖运、2.砂浆制作、运输、3.铺设垫层、4.混凝土运输、浇筑、振捣、养护、5.沉沙井砌筑安装、6.回填</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水泥稳定碎</w:t>
                  </w:r>
                  <w:r>
                    <w:rPr>
                      <w:rFonts w:ascii="仿宋_GB2312" w:hAnsi="仿宋_GB2312" w:cs="仿宋_GB2312" w:eastAsia="仿宋_GB2312"/>
                      <w:sz w:val="21"/>
                      <w:color w:val="000000"/>
                    </w:rPr>
                    <w:t>(砾)石基层</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1.厚度:200mm厚、2.压实度：≥97%</w:t>
                  </w:r>
                  <w:r>
                    <w:br/>
                  </w:r>
                  <w:r>
                    <w:rPr>
                      <w:rFonts w:ascii="仿宋_GB2312" w:hAnsi="仿宋_GB2312" w:cs="仿宋_GB2312" w:eastAsia="仿宋_GB2312"/>
                      <w:sz w:val="21"/>
                      <w:color w:val="000000"/>
                    </w:rPr>
                    <w:t>工程内容：</w:t>
                  </w:r>
                  <w:r>
                    <w:br/>
                  </w:r>
                  <w:r>
                    <w:rPr>
                      <w:rFonts w:ascii="仿宋_GB2312" w:hAnsi="仿宋_GB2312" w:cs="仿宋_GB2312" w:eastAsia="仿宋_GB2312"/>
                      <w:sz w:val="21"/>
                      <w:color w:val="000000"/>
                    </w:rPr>
                    <w:t>1.拌和、运输、摊铺、碾压、养护</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1620.75</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沥青透油</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1.用量：约为 0.8~1.2kg/m²</w:t>
                  </w:r>
                  <w:r>
                    <w:br/>
                  </w:r>
                  <w:r>
                    <w:rPr>
                      <w:rFonts w:ascii="仿宋_GB2312" w:hAnsi="仿宋_GB2312" w:cs="仿宋_GB2312" w:eastAsia="仿宋_GB2312"/>
                      <w:sz w:val="21"/>
                      <w:color w:val="000000"/>
                    </w:rPr>
                    <w:t>2.喷洒要求：均匀覆盖基层表面，不流淌、不堆积。</w:t>
                  </w:r>
                  <w:r>
                    <w:br/>
                  </w:r>
                  <w:r>
                    <w:rPr>
                      <w:rFonts w:ascii="仿宋_GB2312" w:hAnsi="仿宋_GB2312" w:cs="仿宋_GB2312" w:eastAsia="仿宋_GB2312"/>
                      <w:sz w:val="21"/>
                      <w:color w:val="000000"/>
                    </w:rPr>
                    <w:t>工程内容：</w:t>
                  </w:r>
                  <w:r>
                    <w:br/>
                  </w:r>
                  <w:r>
                    <w:rPr>
                      <w:rFonts w:ascii="仿宋_GB2312" w:hAnsi="仿宋_GB2312" w:cs="仿宋_GB2312" w:eastAsia="仿宋_GB2312"/>
                      <w:sz w:val="21"/>
                      <w:color w:val="000000"/>
                    </w:rPr>
                    <w:t>1.基层清理、2.喷洒、3.养护、4.成品保护</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1620.75</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运动场基层（沥青混凝土）</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1.50厚AC-16沥青层铺设；</w:t>
                  </w:r>
                  <w:r>
                    <w:br/>
                  </w:r>
                  <w:r>
                    <w:rPr>
                      <w:rFonts w:ascii="仿宋_GB2312" w:hAnsi="仿宋_GB2312" w:cs="仿宋_GB2312" w:eastAsia="仿宋_GB2312"/>
                      <w:sz w:val="21"/>
                      <w:color w:val="000000"/>
                    </w:rPr>
                    <w:t>2.30厚AC-13沥青层铺设；</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1.铺筑、2.碾压</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1620.75</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垃圾清运</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1.垃圾装车外运</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540</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m³</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底涂聚氨酯胶水</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1.滚涂聚氨酯底涂</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1.配料、2.滚涂、3.养护</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1620.75</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10mm厚EPDM弹性基层</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1.10mm厚弹性基层</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1.配料、2.铺贴、3.养护</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1620.75</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5mm厚EPDM彩色面层</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1.5mm厚彩色面层</w:t>
                  </w:r>
                  <w:r>
                    <w:br/>
                  </w:r>
                  <w:r>
                    <w:rPr>
                      <w:rFonts w:ascii="仿宋_GB2312" w:hAnsi="仿宋_GB2312" w:cs="仿宋_GB2312" w:eastAsia="仿宋_GB2312"/>
                      <w:sz w:val="21"/>
                      <w:color w:val="000000"/>
                    </w:rPr>
                    <w:t xml:space="preserve">2.图案喷涂制作 </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1.配料、2.铺贴、3.养护</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1620.75</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EPDM聚氨酯罩面层</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1.喷涂聚氨酯罩面漆</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1.调配、2.做隔离保护、3.喷涂、养护</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1620.75</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免填充人造草</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1.高度30mm</w:t>
                  </w:r>
                  <w:r>
                    <w:br/>
                  </w:r>
                  <w:r>
                    <w:rPr>
                      <w:rFonts w:ascii="仿宋_GB2312" w:hAnsi="仿宋_GB2312" w:cs="仿宋_GB2312" w:eastAsia="仿宋_GB2312"/>
                      <w:sz w:val="21"/>
                      <w:color w:val="000000"/>
                    </w:rPr>
                    <w:t>2.曲直混合免填充草</w:t>
                  </w:r>
                  <w:r>
                    <w:br/>
                  </w:r>
                  <w:r>
                    <w:rPr>
                      <w:rFonts w:ascii="仿宋_GB2312" w:hAnsi="仿宋_GB2312" w:cs="仿宋_GB2312" w:eastAsia="仿宋_GB2312"/>
                      <w:sz w:val="21"/>
                      <w:color w:val="000000"/>
                    </w:rPr>
                    <w:t>3.满足GB36246-2018技术要求</w:t>
                  </w:r>
                  <w:r>
                    <w:br/>
                  </w:r>
                  <w:r>
                    <w:rPr>
                      <w:rFonts w:ascii="仿宋_GB2312" w:hAnsi="仿宋_GB2312" w:cs="仿宋_GB2312" w:eastAsia="仿宋_GB2312"/>
                      <w:sz w:val="21"/>
                      <w:color w:val="000000"/>
                    </w:rPr>
                    <w:t>4.密度≥21000针</w:t>
                  </w:r>
                  <w:r>
                    <w:br/>
                  </w:r>
                  <w:r>
                    <w:rPr>
                      <w:rFonts w:ascii="仿宋_GB2312" w:hAnsi="仿宋_GB2312" w:cs="仿宋_GB2312" w:eastAsia="仿宋_GB2312"/>
                      <w:sz w:val="21"/>
                      <w:color w:val="000000"/>
                    </w:rPr>
                    <w:t>5.磅重≥16000磅</w:t>
                  </w:r>
                  <w:r>
                    <w:br/>
                  </w:r>
                  <w:r>
                    <w:rPr>
                      <w:rFonts w:ascii="仿宋_GB2312" w:hAnsi="仿宋_GB2312" w:cs="仿宋_GB2312" w:eastAsia="仿宋_GB2312"/>
                      <w:sz w:val="21"/>
                      <w:color w:val="000000"/>
                    </w:rPr>
                    <w:t>6.满足招标文件产品技术指标</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1.配料、2.铺贴</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树池</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r>
                    <w:br/>
                  </w:r>
                  <w:r>
                    <w:rPr>
                      <w:rFonts w:ascii="仿宋_GB2312" w:hAnsi="仿宋_GB2312" w:cs="仿宋_GB2312" w:eastAsia="仿宋_GB2312"/>
                      <w:sz w:val="21"/>
                      <w:color w:val="000000"/>
                    </w:rPr>
                    <w:t>素土夯实，压实度</w:t>
                  </w:r>
                  <w:r>
                    <w:rPr>
                      <w:rFonts w:ascii="仿宋_GB2312" w:hAnsi="仿宋_GB2312" w:cs="仿宋_GB2312" w:eastAsia="仿宋_GB2312"/>
                      <w:sz w:val="21"/>
                      <w:color w:val="000000"/>
                    </w:rPr>
                    <w:t>&gt;0.93，150厚碎石垫层，100厚C20混凝土墊层，标砖砌筑，20厚1:3水泥砂浆结合层，600 *330*20mm火烧面黄锈石花岗岩贴面，50*50*450mm5mm厚方钢龙骨，90*50mm通长深咖色防腐木,缝宽10mm，仅计算延长米，详见施工图</w:t>
                  </w:r>
                  <w:r>
                    <w:br/>
                  </w: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1、采购、运输、安装</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道牙石</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1.材料：200*100*100石材</w:t>
                  </w:r>
                </w:p>
                <w:p>
                  <w:pPr>
                    <w:pStyle w:val="null3"/>
                    <w:jc w:val="left"/>
                  </w:pPr>
                  <w:r>
                    <w:rPr>
                      <w:rFonts w:ascii="仿宋_GB2312" w:hAnsi="仿宋_GB2312" w:cs="仿宋_GB2312" w:eastAsia="仿宋_GB2312"/>
                      <w:sz w:val="21"/>
                      <w:color w:val="000000"/>
                    </w:rPr>
                    <w:t>2.基层：200mm厚3:7灰土</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100.8</w:t>
                  </w:r>
                </w:p>
              </w:tc>
              <w:tc>
                <w:tcPr>
                  <w:tcW w:type="dxa" w:w="2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暂列金</w:t>
                  </w:r>
                </w:p>
              </w:tc>
              <w:tc>
                <w:tcPr>
                  <w:tcW w:type="dxa" w:w="10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50000.00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1"/>
                <w:b/>
                <w:color w:val="000000"/>
              </w:rPr>
              <w:t>2.主要材料规格型号及技术参数要求</w:t>
            </w:r>
            <w:r>
              <w:rPr>
                <w:rFonts w:ascii="仿宋_GB2312" w:hAnsi="仿宋_GB2312" w:cs="仿宋_GB2312" w:eastAsia="仿宋_GB2312"/>
                <w:sz w:val="21"/>
                <w:b/>
                <w:color w:val="000000"/>
              </w:rPr>
              <w:t>：</w:t>
            </w:r>
          </w:p>
          <w:tbl>
            <w:tblPr>
              <w:tblBorders>
                <w:top w:val="none" w:color="000000" w:sz="4"/>
                <w:left w:val="none" w:color="000000" w:sz="4"/>
                <w:bottom w:val="none" w:color="000000" w:sz="4"/>
                <w:right w:val="none" w:color="000000" w:sz="4"/>
                <w:insideH w:val="none"/>
                <w:insideV w:val="none"/>
              </w:tblBorders>
            </w:tblPr>
            <w:tblGrid>
              <w:gridCol w:w="148"/>
              <w:gridCol w:w="508"/>
              <w:gridCol w:w="1883"/>
            </w:tblGrid>
            <w:tr>
              <w:tc>
                <w:tcPr>
                  <w:tcW w:type="dxa" w:w="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材料名称</w:t>
                  </w:r>
                </w:p>
              </w:tc>
              <w:tc>
                <w:tcPr>
                  <w:tcW w:type="dxa" w:w="1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参数、标准、要求</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聚氨酯胶黏剂</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r>
                    <w:rPr>
                      <w:rFonts w:ascii="仿宋_GB2312" w:hAnsi="仿宋_GB2312" w:cs="仿宋_GB2312" w:eastAsia="仿宋_GB2312"/>
                      <w:sz w:val="21"/>
                      <w:color w:val="000000"/>
                    </w:rPr>
                    <w:t>★1提供聚氨酯胶黏剂材料制作出的塑胶产品</w:t>
                  </w:r>
                  <w:r>
                    <w:rPr>
                      <w:rFonts w:ascii="仿宋_GB2312" w:hAnsi="仿宋_GB2312" w:cs="仿宋_GB2312" w:eastAsia="仿宋_GB2312"/>
                      <w:sz w:val="21"/>
                      <w:color w:val="000000"/>
                    </w:rPr>
                    <w:t>，经</w:t>
                  </w:r>
                  <w:r>
                    <w:rPr>
                      <w:rFonts w:ascii="仿宋_GB2312" w:hAnsi="仿宋_GB2312" w:cs="仿宋_GB2312" w:eastAsia="仿宋_GB2312"/>
                      <w:sz w:val="21"/>
                      <w:color w:val="000000"/>
                    </w:rPr>
                    <w:t>≥80℃模仿雨水中浸泡500小时依据GB/T14833-2020标准撕裂强度≥10kN/m要求的合格检测报告。</w:t>
                  </w:r>
                </w:p>
                <w:p>
                  <w:pPr>
                    <w:pStyle w:val="null3"/>
                    <w:ind w:firstLine="210"/>
                    <w:jc w:val="left"/>
                  </w:pPr>
                  <w:r>
                    <w:rPr>
                      <w:rFonts w:ascii="仿宋_GB2312" w:hAnsi="仿宋_GB2312" w:cs="仿宋_GB2312" w:eastAsia="仿宋_GB2312"/>
                      <w:sz w:val="21"/>
                      <w:color w:val="000000"/>
                    </w:rPr>
                    <w:t>★2提供聚氨酯胶黏剂材料制作出的塑胶产品</w:t>
                  </w:r>
                  <w:r>
                    <w:rPr>
                      <w:rFonts w:ascii="仿宋_GB2312" w:hAnsi="仿宋_GB2312" w:cs="仿宋_GB2312" w:eastAsia="仿宋_GB2312"/>
                      <w:sz w:val="21"/>
                      <w:color w:val="000000"/>
                    </w:rPr>
                    <w:t>，依据</w:t>
                  </w:r>
                  <w:r>
                    <w:rPr>
                      <w:rFonts w:ascii="仿宋_GB2312" w:hAnsi="仿宋_GB2312" w:cs="仿宋_GB2312" w:eastAsia="仿宋_GB2312"/>
                      <w:sz w:val="21"/>
                      <w:color w:val="000000"/>
                    </w:rPr>
                    <w:t>GB/T10125-2021标准中性酸性盐雾循环（中性盐雾24h+乙酸盐雾24h为1个循环）≥21个循环后，符合GB 36246-2018 、GB/T 22517.6-2020、GB/T 14833-2020标准拉伸强度、拉断伸长率的合格检测报告。</w:t>
                  </w:r>
                </w:p>
                <w:p>
                  <w:pPr>
                    <w:pStyle w:val="null3"/>
                    <w:ind w:firstLine="210"/>
                    <w:jc w:val="left"/>
                  </w:pPr>
                  <w:r>
                    <w:rPr>
                      <w:rFonts w:ascii="仿宋_GB2312" w:hAnsi="仿宋_GB2312" w:cs="仿宋_GB2312" w:eastAsia="仿宋_GB2312"/>
                      <w:sz w:val="21"/>
                      <w:color w:val="000000"/>
                    </w:rPr>
                    <w:t>★3提供聚氨酯胶黏剂材料制作出的塑胶产品</w:t>
                  </w:r>
                  <w:r>
                    <w:rPr>
                      <w:rFonts w:ascii="仿宋_GB2312" w:hAnsi="仿宋_GB2312" w:cs="仿宋_GB2312" w:eastAsia="仿宋_GB2312"/>
                      <w:sz w:val="21"/>
                      <w:color w:val="000000"/>
                    </w:rPr>
                    <w:t>，通过热老化压缩试验检测：</w:t>
                  </w:r>
                  <w:r>
                    <w:rPr>
                      <w:rFonts w:ascii="仿宋_GB2312" w:hAnsi="仿宋_GB2312" w:cs="仿宋_GB2312" w:eastAsia="仿宋_GB2312"/>
                      <w:sz w:val="21"/>
                      <w:color w:val="000000"/>
                    </w:rPr>
                    <w:t>≥50℃热老化2000小时后，经依据GB/T 7759.1-2015标准压缩，压缩率≥25%、压缩≥72小时，符合GB 36246-2018 、GB/T 22517.6-2020、GB/T 14833-2020标准拉伸强度、拉断伸长率的合格检测报告。</w:t>
                  </w:r>
                </w:p>
                <w:p>
                  <w:pPr>
                    <w:pStyle w:val="null3"/>
                    <w:ind w:firstLine="210"/>
                    <w:jc w:val="left"/>
                  </w:pPr>
                  <w:r>
                    <w:rPr>
                      <w:rFonts w:ascii="仿宋_GB2312" w:hAnsi="仿宋_GB2312" w:cs="仿宋_GB2312" w:eastAsia="仿宋_GB2312"/>
                      <w:sz w:val="21"/>
                      <w:color w:val="000000"/>
                    </w:rPr>
                    <w:t>★4提供的聚氨酯胶黏剂材料制作出的塑胶产品</w:t>
                  </w:r>
                  <w:r>
                    <w:rPr>
                      <w:rFonts w:ascii="仿宋_GB2312" w:hAnsi="仿宋_GB2312" w:cs="仿宋_GB2312" w:eastAsia="仿宋_GB2312"/>
                      <w:sz w:val="21"/>
                      <w:color w:val="000000"/>
                    </w:rPr>
                    <w:t>，经氙灯老化</w:t>
                  </w:r>
                  <w:r>
                    <w:rPr>
                      <w:rFonts w:ascii="仿宋_GB2312" w:hAnsi="仿宋_GB2312" w:cs="仿宋_GB2312" w:eastAsia="仿宋_GB2312"/>
                      <w:sz w:val="21"/>
                      <w:color w:val="000000"/>
                    </w:rPr>
                    <w:t>1000h、再抗鞋钉践踏磨损1200转后，符合GB 36246-2018、GB/T 22517.6-2020、GB/T 14833-2020标准冲击吸收、垂直变形、拉伸强度、拉断伸长率要求的合格检测报告。</w:t>
                  </w:r>
                </w:p>
                <w:p>
                  <w:pPr>
                    <w:pStyle w:val="null3"/>
                    <w:ind w:firstLine="21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聚氨酯胶黏剂</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36246-2018《中小学合成材料面层运动场地》的技术要求并提供相关检测</w:t>
                  </w:r>
                  <w:r>
                    <w:rPr>
                      <w:rFonts w:ascii="仿宋_GB2312" w:hAnsi="仿宋_GB2312" w:cs="仿宋_GB2312" w:eastAsia="仿宋_GB2312"/>
                      <w:sz w:val="21"/>
                      <w:color w:val="000000"/>
                    </w:rPr>
                    <w:t>合格</w:t>
                  </w:r>
                  <w:r>
                    <w:rPr>
                      <w:rFonts w:ascii="仿宋_GB2312" w:hAnsi="仿宋_GB2312" w:cs="仿宋_GB2312" w:eastAsia="仿宋_GB2312"/>
                      <w:sz w:val="21"/>
                      <w:color w:val="000000"/>
                    </w:rPr>
                    <w:t>的报告。</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EPDM颗粒</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r>
                    <w:rPr>
                      <w:rFonts w:ascii="仿宋_GB2312" w:hAnsi="仿宋_GB2312" w:cs="仿宋_GB2312" w:eastAsia="仿宋_GB2312"/>
                      <w:sz w:val="21"/>
                      <w:color w:val="000000"/>
                    </w:rPr>
                    <w:t>★1提供EPDM颗粒依据GB 36246-2018《中小学合成材料面层运动场地》标准，检测耐人工气候老化性能（500h)，拉伸强度（单位：MPa）≥2.0，拉断伸长率（%）≥400，阻燃性能I级，检测结果均判定为合格。</w:t>
                  </w:r>
                </w:p>
                <w:p>
                  <w:pPr>
                    <w:pStyle w:val="null3"/>
                    <w:ind w:firstLine="210"/>
                    <w:jc w:val="left"/>
                  </w:pPr>
                  <w:r>
                    <w:rPr>
                      <w:rFonts w:ascii="仿宋_GB2312" w:hAnsi="仿宋_GB2312" w:cs="仿宋_GB2312" w:eastAsia="仿宋_GB2312"/>
                      <w:sz w:val="21"/>
                      <w:color w:val="000000"/>
                    </w:rPr>
                    <w:t>★2提供EPDM颗粒依据GB 36246-2018《中小学合成材料面层运动场地》标准，检测有害物质释放量(单位：mg/（㎡•h）），总挥发性有机化合物（TVOC） ≤5.0，甲醛≤0.4，苯≤0.1，二硫化碳≤7.0, 检测结果均判定为合格。</w:t>
                  </w:r>
                </w:p>
                <w:p>
                  <w:pPr>
                    <w:pStyle w:val="null3"/>
                    <w:ind w:firstLine="210"/>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EPDM颗粒耐臭氧龟裂静态拉伸试验温度40摄氏度，臭氧浓度50pphm 时间168h，检测结果为无龟裂的</w:t>
                  </w:r>
                  <w:r>
                    <w:rPr>
                      <w:rFonts w:ascii="仿宋_GB2312" w:hAnsi="仿宋_GB2312" w:cs="仿宋_GB2312" w:eastAsia="仿宋_GB2312"/>
                      <w:sz w:val="21"/>
                      <w:color w:val="000000"/>
                    </w:rPr>
                    <w:t>检测报告。</w:t>
                  </w:r>
                </w:p>
                <w:p>
                  <w:pPr>
                    <w:pStyle w:val="null3"/>
                    <w:ind w:firstLine="210"/>
                    <w:jc w:val="left"/>
                  </w:pPr>
                  <w:r>
                    <w:rPr>
                      <w:rFonts w:ascii="仿宋_GB2312" w:hAnsi="仿宋_GB2312" w:cs="仿宋_GB2312" w:eastAsia="仿宋_GB2312"/>
                      <w:sz w:val="21"/>
                      <w:color w:val="000000"/>
                    </w:rPr>
                    <w:t>★4提供监督检验机构出具硫化橡胶或热塑性橡胶耐磨性能的测定，磨耗量小于等于140mm³的检测报告。</w:t>
                  </w:r>
                </w:p>
                <w:p>
                  <w:pPr>
                    <w:pStyle w:val="null3"/>
                    <w:ind w:firstLine="210"/>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EPDM颗粒</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GB 36246-2018《中小学合成材料面层运动场地》的技术要求并提供相关检测</w:t>
                  </w:r>
                  <w:r>
                    <w:rPr>
                      <w:rFonts w:ascii="仿宋_GB2312" w:hAnsi="仿宋_GB2312" w:cs="仿宋_GB2312" w:eastAsia="仿宋_GB2312"/>
                      <w:sz w:val="21"/>
                      <w:color w:val="000000"/>
                    </w:rPr>
                    <w:t>合格</w:t>
                  </w:r>
                  <w:r>
                    <w:rPr>
                      <w:rFonts w:ascii="仿宋_GB2312" w:hAnsi="仿宋_GB2312" w:cs="仿宋_GB2312" w:eastAsia="仿宋_GB2312"/>
                      <w:sz w:val="21"/>
                      <w:color w:val="000000"/>
                    </w:rPr>
                    <w:t>的报告。</w:t>
                  </w:r>
                </w:p>
              </w:tc>
            </w:tr>
            <w:tr>
              <w:tc>
                <w:tcPr>
                  <w:tcW w:type="dxa" w:w="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免填充人造草坪</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1"/>
                    <w:jc w:val="left"/>
                  </w:pPr>
                  <w:r>
                    <w:rPr>
                      <w:rFonts w:ascii="仿宋_GB2312" w:hAnsi="仿宋_GB2312" w:cs="仿宋_GB2312" w:eastAsia="仿宋_GB2312"/>
                      <w:sz w:val="21"/>
                      <w:b/>
                    </w:rPr>
                    <w:t>★</w:t>
                  </w:r>
                  <w:r>
                    <w:rPr>
                      <w:rFonts w:ascii="仿宋_GB2312" w:hAnsi="仿宋_GB2312" w:cs="仿宋_GB2312" w:eastAsia="仿宋_GB2312"/>
                      <w:sz w:val="21"/>
                    </w:rPr>
                    <w:t>1</w:t>
                  </w:r>
                  <w:r>
                    <w:rPr>
                      <w:rFonts w:ascii="仿宋_GB2312" w:hAnsi="仿宋_GB2312" w:cs="仿宋_GB2312" w:eastAsia="仿宋_GB2312"/>
                      <w:sz w:val="21"/>
                    </w:rPr>
                    <w:t>人造草坪企业需提供依据</w:t>
                  </w:r>
                  <w:r>
                    <w:rPr>
                      <w:rFonts w:ascii="仿宋_GB2312" w:hAnsi="仿宋_GB2312" w:cs="仿宋_GB2312" w:eastAsia="仿宋_GB2312"/>
                      <w:sz w:val="21"/>
                    </w:rPr>
                    <w:t>GB/T20394-2019</w:t>
                  </w:r>
                  <w:r>
                    <w:rPr>
                      <w:rFonts w:ascii="仿宋_GB2312" w:hAnsi="仿宋_GB2312" w:cs="仿宋_GB2312" w:eastAsia="仿宋_GB2312"/>
                      <w:sz w:val="21"/>
                    </w:rPr>
                    <w:t>标准，耐酸和耐碱共</w:t>
                  </w:r>
                  <w:r>
                    <w:rPr>
                      <w:rFonts w:ascii="仿宋_GB2312" w:hAnsi="仿宋_GB2312" w:cs="仿宋_GB2312" w:eastAsia="仿宋_GB2312"/>
                      <w:sz w:val="21"/>
                    </w:rPr>
                    <w:t>1000h</w:t>
                  </w:r>
                  <w:r>
                    <w:rPr>
                      <w:rFonts w:ascii="仿宋_GB2312" w:hAnsi="仿宋_GB2312" w:cs="仿宋_GB2312" w:eastAsia="仿宋_GB2312"/>
                      <w:sz w:val="21"/>
                    </w:rPr>
                    <w:t>后进行磨损测试，草丝耐磨性保留率</w:t>
                  </w:r>
                  <w:r>
                    <w:rPr>
                      <w:rFonts w:ascii="仿宋_GB2312" w:hAnsi="仿宋_GB2312" w:cs="仿宋_GB2312" w:eastAsia="仿宋_GB2312"/>
                      <w:sz w:val="21"/>
                    </w:rPr>
                    <w:t>≥97%</w:t>
                  </w:r>
                  <w:r>
                    <w:rPr>
                      <w:rFonts w:ascii="仿宋_GB2312" w:hAnsi="仿宋_GB2312" w:cs="仿宋_GB2312" w:eastAsia="仿宋_GB2312"/>
                      <w:sz w:val="21"/>
                    </w:rPr>
                    <w:t>的检测报告，且报告体现为免填充。</w:t>
                  </w:r>
                </w:p>
                <w:p>
                  <w:pPr>
                    <w:pStyle w:val="null3"/>
                    <w:ind w:firstLine="211"/>
                    <w:jc w:val="left"/>
                  </w:pPr>
                  <w:r>
                    <w:rPr>
                      <w:rFonts w:ascii="仿宋_GB2312" w:hAnsi="仿宋_GB2312" w:cs="仿宋_GB2312" w:eastAsia="仿宋_GB2312"/>
                      <w:sz w:val="21"/>
                      <w:b/>
                    </w:rPr>
                    <w:t>★</w:t>
                  </w:r>
                  <w:r>
                    <w:rPr>
                      <w:rFonts w:ascii="仿宋_GB2312" w:hAnsi="仿宋_GB2312" w:cs="仿宋_GB2312" w:eastAsia="仿宋_GB2312"/>
                      <w:sz w:val="21"/>
                    </w:rPr>
                    <w:t>2</w:t>
                  </w:r>
                  <w:r>
                    <w:rPr>
                      <w:rFonts w:ascii="仿宋_GB2312" w:hAnsi="仿宋_GB2312" w:cs="仿宋_GB2312" w:eastAsia="仿宋_GB2312"/>
                      <w:sz w:val="21"/>
                    </w:rPr>
                    <w:t>人造草坪企业需提供依据</w:t>
                  </w:r>
                  <w:r>
                    <w:rPr>
                      <w:rFonts w:ascii="仿宋_GB2312" w:hAnsi="仿宋_GB2312" w:cs="仿宋_GB2312" w:eastAsia="仿宋_GB2312"/>
                      <w:sz w:val="21"/>
                    </w:rPr>
                    <w:t>GB/T20394-</w:t>
                  </w:r>
                </w:p>
                <w:p>
                  <w:pPr>
                    <w:pStyle w:val="null3"/>
                    <w:jc w:val="left"/>
                  </w:pPr>
                  <w:r>
                    <w:rPr>
                      <w:rFonts w:ascii="仿宋_GB2312" w:hAnsi="仿宋_GB2312" w:cs="仿宋_GB2312" w:eastAsia="仿宋_GB2312"/>
                      <w:sz w:val="21"/>
                    </w:rPr>
                    <w:t>2019</w:t>
                  </w:r>
                  <w:r>
                    <w:rPr>
                      <w:rFonts w:ascii="仿宋_GB2312" w:hAnsi="仿宋_GB2312" w:cs="仿宋_GB2312" w:eastAsia="仿宋_GB2312"/>
                      <w:sz w:val="21"/>
                    </w:rPr>
                    <w:t>和</w:t>
                  </w:r>
                  <w:r>
                    <w:rPr>
                      <w:rFonts w:ascii="仿宋_GB2312" w:hAnsi="仿宋_GB2312" w:cs="仿宋_GB2312" w:eastAsia="仿宋_GB2312"/>
                      <w:sz w:val="21"/>
                    </w:rPr>
                    <w:t>GB36246-2018</w:t>
                  </w:r>
                  <w:r>
                    <w:rPr>
                      <w:rFonts w:ascii="仿宋_GB2312" w:hAnsi="仿宋_GB2312" w:cs="仿宋_GB2312" w:eastAsia="仿宋_GB2312"/>
                      <w:sz w:val="21"/>
                    </w:rPr>
                    <w:t>标准测试，气味等级为</w:t>
                  </w:r>
                  <w:r>
                    <w:rPr>
                      <w:rFonts w:ascii="仿宋_GB2312" w:hAnsi="仿宋_GB2312" w:cs="仿宋_GB2312" w:eastAsia="仿宋_GB2312"/>
                      <w:sz w:val="21"/>
                    </w:rPr>
                    <w:t>1</w:t>
                  </w:r>
                  <w:r>
                    <w:rPr>
                      <w:rFonts w:ascii="仿宋_GB2312" w:hAnsi="仿宋_GB2312" w:cs="仿宋_GB2312" w:eastAsia="仿宋_GB2312"/>
                      <w:sz w:val="21"/>
                    </w:rPr>
                    <w:t>级，并在热水浸泡</w:t>
                  </w:r>
                  <w:r>
                    <w:rPr>
                      <w:rFonts w:ascii="仿宋_GB2312" w:hAnsi="仿宋_GB2312" w:cs="仿宋_GB2312" w:eastAsia="仿宋_GB2312"/>
                      <w:sz w:val="21"/>
                    </w:rPr>
                    <w:t>600h</w:t>
                  </w:r>
                  <w:r>
                    <w:rPr>
                      <w:rFonts w:ascii="仿宋_GB2312" w:hAnsi="仿宋_GB2312" w:cs="仿宋_GB2312" w:eastAsia="仿宋_GB2312"/>
                      <w:sz w:val="21"/>
                    </w:rPr>
                    <w:t>后八大重金属迁移量为未检出的检测报告。</w:t>
                  </w:r>
                </w:p>
                <w:p>
                  <w:pPr>
                    <w:pStyle w:val="null3"/>
                    <w:ind w:firstLine="211"/>
                    <w:jc w:val="left"/>
                  </w:pPr>
                  <w:r>
                    <w:rPr>
                      <w:rFonts w:ascii="仿宋_GB2312" w:hAnsi="仿宋_GB2312" w:cs="仿宋_GB2312" w:eastAsia="仿宋_GB2312"/>
                      <w:sz w:val="21"/>
                      <w:b/>
                    </w:rPr>
                    <w:t>★</w:t>
                  </w:r>
                  <w:r>
                    <w:rPr>
                      <w:rFonts w:ascii="仿宋_GB2312" w:hAnsi="仿宋_GB2312" w:cs="仿宋_GB2312" w:eastAsia="仿宋_GB2312"/>
                      <w:sz w:val="21"/>
                    </w:rPr>
                    <w:t>3</w:t>
                  </w:r>
                  <w:r>
                    <w:rPr>
                      <w:rFonts w:ascii="仿宋_GB2312" w:hAnsi="仿宋_GB2312" w:cs="仿宋_GB2312" w:eastAsia="仿宋_GB2312"/>
                      <w:sz w:val="21"/>
                    </w:rPr>
                    <w:t>人造草坪企业需提供依据</w:t>
                  </w:r>
                  <w:r>
                    <w:rPr>
                      <w:rFonts w:ascii="仿宋_GB2312" w:hAnsi="仿宋_GB2312" w:cs="仿宋_GB2312" w:eastAsia="仿宋_GB2312"/>
                      <w:sz w:val="21"/>
                    </w:rPr>
                    <w:t>GB36246-2018</w:t>
                  </w:r>
                  <w:r>
                    <w:rPr>
                      <w:rFonts w:ascii="仿宋_GB2312" w:hAnsi="仿宋_GB2312" w:cs="仿宋_GB2312" w:eastAsia="仿宋_GB2312"/>
                      <w:sz w:val="21"/>
                    </w:rPr>
                    <w:t>标准出具的老化</w:t>
                  </w:r>
                  <w:r>
                    <w:rPr>
                      <w:rFonts w:ascii="仿宋_GB2312" w:hAnsi="仿宋_GB2312" w:cs="仿宋_GB2312" w:eastAsia="仿宋_GB2312"/>
                      <w:sz w:val="21"/>
                    </w:rPr>
                    <w:t>2000h</w:t>
                  </w:r>
                  <w:r>
                    <w:rPr>
                      <w:rFonts w:ascii="仿宋_GB2312" w:hAnsi="仿宋_GB2312" w:cs="仿宋_GB2312" w:eastAsia="仿宋_GB2312"/>
                      <w:sz w:val="21"/>
                    </w:rPr>
                    <w:t>后抗滑值合格的检测报告，报告需体现为免填充。</w:t>
                  </w:r>
                </w:p>
                <w:p>
                  <w:pPr>
                    <w:pStyle w:val="null3"/>
                    <w:ind w:firstLine="211"/>
                    <w:jc w:val="left"/>
                  </w:pPr>
                  <w:r>
                    <w:rPr>
                      <w:rFonts w:ascii="仿宋_GB2312" w:hAnsi="仿宋_GB2312" w:cs="仿宋_GB2312" w:eastAsia="仿宋_GB2312"/>
                      <w:sz w:val="21"/>
                      <w:b/>
                    </w:rPr>
                    <w:t>★</w:t>
                  </w:r>
                  <w:r>
                    <w:rPr>
                      <w:rFonts w:ascii="仿宋_GB2312" w:hAnsi="仿宋_GB2312" w:cs="仿宋_GB2312" w:eastAsia="仿宋_GB2312"/>
                      <w:sz w:val="21"/>
                    </w:rPr>
                    <w:t>4</w:t>
                  </w:r>
                  <w:r>
                    <w:rPr>
                      <w:rFonts w:ascii="仿宋_GB2312" w:hAnsi="仿宋_GB2312" w:cs="仿宋_GB2312" w:eastAsia="仿宋_GB2312"/>
                      <w:sz w:val="21"/>
                    </w:rPr>
                    <w:t>人造草坪企业需提供依据</w:t>
                  </w:r>
                  <w:r>
                    <w:rPr>
                      <w:rFonts w:ascii="仿宋_GB2312" w:hAnsi="仿宋_GB2312" w:cs="仿宋_GB2312" w:eastAsia="仿宋_GB2312"/>
                      <w:sz w:val="21"/>
                    </w:rPr>
                    <w:t>GB/T20394-2019</w:t>
                  </w:r>
                  <w:r>
                    <w:rPr>
                      <w:rFonts w:ascii="仿宋_GB2312" w:hAnsi="仿宋_GB2312" w:cs="仿宋_GB2312" w:eastAsia="仿宋_GB2312"/>
                      <w:sz w:val="21"/>
                    </w:rPr>
                    <w:t>标准，在泡水、高温、低温及老化</w:t>
                  </w:r>
                  <w:r>
                    <w:rPr>
                      <w:rFonts w:ascii="仿宋_GB2312" w:hAnsi="仿宋_GB2312" w:cs="仿宋_GB2312" w:eastAsia="仿宋_GB2312"/>
                      <w:sz w:val="21"/>
                    </w:rPr>
                    <w:t>4</w:t>
                  </w:r>
                  <w:r>
                    <w:rPr>
                      <w:rFonts w:ascii="仿宋_GB2312" w:hAnsi="仿宋_GB2312" w:cs="仿宋_GB2312" w:eastAsia="仿宋_GB2312"/>
                      <w:sz w:val="21"/>
                    </w:rPr>
                    <w:t>种环境下各</w:t>
                  </w:r>
                  <w:r>
                    <w:rPr>
                      <w:rFonts w:ascii="仿宋_GB2312" w:hAnsi="仿宋_GB2312" w:cs="仿宋_GB2312" w:eastAsia="仿宋_GB2312"/>
                      <w:sz w:val="21"/>
                    </w:rPr>
                    <w:t>500h</w:t>
                  </w:r>
                  <w:r>
                    <w:rPr>
                      <w:rFonts w:ascii="仿宋_GB2312" w:hAnsi="仿宋_GB2312" w:cs="仿宋_GB2312" w:eastAsia="仿宋_GB2312"/>
                      <w:sz w:val="21"/>
                    </w:rPr>
                    <w:t>测试后，色牢度</w:t>
                  </w:r>
                  <w:r>
                    <w:rPr>
                      <w:rFonts w:ascii="仿宋_GB2312" w:hAnsi="仿宋_GB2312" w:cs="仿宋_GB2312" w:eastAsia="仿宋_GB2312"/>
                      <w:sz w:val="21"/>
                    </w:rPr>
                    <w:t>≥6</w:t>
                  </w:r>
                  <w:r>
                    <w:rPr>
                      <w:rFonts w:ascii="仿宋_GB2312" w:hAnsi="仿宋_GB2312" w:cs="仿宋_GB2312" w:eastAsia="仿宋_GB2312"/>
                      <w:sz w:val="21"/>
                    </w:rPr>
                    <w:t>级的检测报告。</w:t>
                  </w:r>
                </w:p>
                <w:p>
                  <w:pPr>
                    <w:pStyle w:val="null3"/>
                    <w:ind w:firstLine="211"/>
                    <w:jc w:val="left"/>
                  </w:pPr>
                  <w:r>
                    <w:rPr>
                      <w:rFonts w:ascii="仿宋_GB2312" w:hAnsi="仿宋_GB2312" w:cs="仿宋_GB2312" w:eastAsia="仿宋_GB2312"/>
                      <w:sz w:val="21"/>
                      <w:b/>
                    </w:rPr>
                    <w:t>★</w:t>
                  </w:r>
                  <w:r>
                    <w:rPr>
                      <w:rFonts w:ascii="仿宋_GB2312" w:hAnsi="仿宋_GB2312" w:cs="仿宋_GB2312" w:eastAsia="仿宋_GB2312"/>
                      <w:sz w:val="21"/>
                    </w:rPr>
                    <w:t>5</w:t>
                  </w:r>
                  <w:r>
                    <w:rPr>
                      <w:rFonts w:ascii="仿宋_GB2312" w:hAnsi="仿宋_GB2312" w:cs="仿宋_GB2312" w:eastAsia="仿宋_GB2312"/>
                      <w:sz w:val="21"/>
                    </w:rPr>
                    <w:t>人造草坪企业需提供依据</w:t>
                  </w:r>
                  <w:r>
                    <w:rPr>
                      <w:rFonts w:ascii="仿宋_GB2312" w:hAnsi="仿宋_GB2312" w:cs="仿宋_GB2312" w:eastAsia="仿宋_GB2312"/>
                      <w:sz w:val="21"/>
                    </w:rPr>
                    <w:t>GB/T14833-2020</w:t>
                  </w:r>
                  <w:r>
                    <w:rPr>
                      <w:rFonts w:ascii="仿宋_GB2312" w:hAnsi="仿宋_GB2312" w:cs="仿宋_GB2312" w:eastAsia="仿宋_GB2312"/>
                      <w:sz w:val="21"/>
                    </w:rPr>
                    <w:t>标准，测试人造草拉伸强度和连接强度合格且</w:t>
                  </w:r>
                  <w:r>
                    <w:rPr>
                      <w:rFonts w:ascii="仿宋_GB2312" w:hAnsi="仿宋_GB2312" w:cs="仿宋_GB2312" w:eastAsia="仿宋_GB2312"/>
                      <w:sz w:val="21"/>
                    </w:rPr>
                    <w:t>≥19N/mm</w:t>
                  </w:r>
                  <w:r>
                    <w:rPr>
                      <w:rFonts w:ascii="仿宋_GB2312" w:hAnsi="仿宋_GB2312" w:cs="仿宋_GB2312" w:eastAsia="仿宋_GB2312"/>
                      <w:sz w:val="21"/>
                    </w:rPr>
                    <w:t>，在老化</w:t>
                  </w:r>
                  <w:r>
                    <w:rPr>
                      <w:rFonts w:ascii="仿宋_GB2312" w:hAnsi="仿宋_GB2312" w:cs="仿宋_GB2312" w:eastAsia="仿宋_GB2312"/>
                      <w:sz w:val="21"/>
                    </w:rPr>
                    <w:t>600h</w:t>
                  </w:r>
                  <w:r>
                    <w:rPr>
                      <w:rFonts w:ascii="仿宋_GB2312" w:hAnsi="仿宋_GB2312" w:cs="仿宋_GB2312" w:eastAsia="仿宋_GB2312"/>
                      <w:sz w:val="21"/>
                    </w:rPr>
                    <w:t>后测试保留率均</w:t>
                  </w:r>
                  <w:r>
                    <w:rPr>
                      <w:rFonts w:ascii="仿宋_GB2312" w:hAnsi="仿宋_GB2312" w:cs="仿宋_GB2312" w:eastAsia="仿宋_GB2312"/>
                      <w:sz w:val="21"/>
                    </w:rPr>
                    <w:t>≥95%</w:t>
                  </w:r>
                  <w:r>
                    <w:rPr>
                      <w:rFonts w:ascii="仿宋_GB2312" w:hAnsi="仿宋_GB2312" w:cs="仿宋_GB2312" w:eastAsia="仿宋_GB2312"/>
                      <w:sz w:val="21"/>
                    </w:rPr>
                    <w:t>的检测报告。</w:t>
                  </w:r>
                </w:p>
                <w:p>
                  <w:pPr>
                    <w:pStyle w:val="null3"/>
                    <w:ind w:firstLine="210"/>
                    <w:jc w:val="left"/>
                  </w:pPr>
                  <w:r>
                    <w:rPr>
                      <w:rFonts w:ascii="仿宋_GB2312" w:hAnsi="仿宋_GB2312" w:cs="仿宋_GB2312" w:eastAsia="仿宋_GB2312"/>
                      <w:sz w:val="21"/>
                    </w:rPr>
                    <w:t>★6免填充人造草坪符合GB 36246-2018《中小学合成材料面层运动场地》的技术要求并提供相关检测</w:t>
                  </w:r>
                  <w:r>
                    <w:rPr>
                      <w:rFonts w:ascii="仿宋_GB2312" w:hAnsi="仿宋_GB2312" w:cs="仿宋_GB2312" w:eastAsia="仿宋_GB2312"/>
                      <w:sz w:val="21"/>
                    </w:rPr>
                    <w:t>合格</w:t>
                  </w:r>
                  <w:r>
                    <w:rPr>
                      <w:rFonts w:ascii="仿宋_GB2312" w:hAnsi="仿宋_GB2312" w:cs="仿宋_GB2312" w:eastAsia="仿宋_GB2312"/>
                      <w:sz w:val="21"/>
                    </w:rPr>
                    <w:t>的报告。</w:t>
                  </w:r>
                </w:p>
              </w:tc>
            </w:tr>
            <w:tr>
              <w:tc>
                <w:tcPr>
                  <w:tcW w:type="dxa" w:w="253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带有</w:t>
                  </w:r>
                  <w:r>
                    <w:rPr>
                      <w:rFonts w:ascii="仿宋_GB2312" w:hAnsi="仿宋_GB2312" w:cs="仿宋_GB2312" w:eastAsia="仿宋_GB2312"/>
                      <w:sz w:val="21"/>
                      <w:b/>
                      <w:color w:val="000000"/>
                    </w:rPr>
                    <w:t>★的</w:t>
                  </w:r>
                  <w:r>
                    <w:rPr>
                      <w:rFonts w:ascii="仿宋_GB2312" w:hAnsi="仿宋_GB2312" w:cs="仿宋_GB2312" w:eastAsia="仿宋_GB2312"/>
                      <w:sz w:val="21"/>
                      <w:b/>
                      <w:color w:val="000000"/>
                    </w:rPr>
                    <w:t>产品技术指标为实质性要求，必须在投标文件中提供第三方检测报告复印件进行佐证，未提供或出现负偏离按无效文件处理。</w:t>
                  </w:r>
                </w:p>
              </w:tc>
            </w:tr>
          </w:tbl>
          <w:p>
            <w:pPr>
              <w:pStyle w:val="null3"/>
            </w:pPr>
            <w:r>
              <w:rPr>
                <w:rFonts w:ascii="仿宋_GB2312" w:hAnsi="仿宋_GB2312" w:cs="仿宋_GB2312" w:eastAsia="仿宋_GB2312"/>
                <w:sz w:val="21"/>
                <w:b/>
              </w:rPr>
              <w:t>3.本项目图纸（详见附件）</w:t>
            </w:r>
          </w:p>
          <w:p>
            <w:pPr>
              <w:pStyle w:val="null3"/>
              <w:ind w:firstLine="211"/>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符合建筑工程施工质量验收统一标准（GB50300-2013）</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一、商务要求： 1、工期：50天；2、质保期：本项目竣工验收合格通过之日起贰年 3、付款方式：（1）签订合同完毕，供应商提供由工商银行、农业银行、中国银行、建设银行、交通银行其中一家出具的不可撤销、见索即付独立保函，且保函文本须载明“开证行仅凭受益人单方签署的索赔声明付款”，甲方支付合同总价的 40%作为预付款，否则，甲方不予支付预付款。（2）签订合同完毕，供应商无法提供预付款保函，施工满一个月，且经核算完成80%改造工程内容后，支付合同额60%进度款。（3）工程竣工验收合格后经审计部门或其委托有工程造价咨询资质的机构审定结算后，缴纳施工水电费后，支付至审定结算价的100%；但在国家规定的保修期限内，保修责任仍由承包人继续承担。本工程的工程量据实结算，若乙方报送的原始结算价超出甲方审定结算价的3％，则乙方承担全部审计费，在结算付款时一次性扣除。二、其他要求：供应商评标现场需提供 300*300mm 样品（Epdm完成品和草坪，需体现分层情况），成交供应商需配合完成场地高程图绘制，施工过程提供材料气味及析出物检测，施工完成后提供场地环境空气质量检测报告。三、纸质文件递交：中标（成交）结果发布后，中标供应商在2个工作日内向采购代理机构提供一正一副（和上传文件保持一致的）纸质投标（响应）文件用于备案及档案保存。 四、投标保证金以电子保函形式递交需在开标前给shanxizhuoming_zb@163 .com邮箱发一份扫描件。五、本项目为全费用固定单价项目，供应商按采购文件提供的工程量清单报价即可。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非法定代表人参加磋商的，须提供法定代表人委托授权书及被授权人身份证，法定代表人参加磋商时,只须提供法定代表人身份证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相关资质</w:t>
            </w:r>
          </w:p>
        </w:tc>
        <w:tc>
          <w:tcPr>
            <w:tcW w:type="dxa" w:w="3322"/>
          </w:tcPr>
          <w:p>
            <w:pPr>
              <w:pStyle w:val="null3"/>
            </w:pPr>
            <w:r>
              <w:rPr>
                <w:rFonts w:ascii="仿宋_GB2312" w:hAnsi="仿宋_GB2312" w:cs="仿宋_GB2312" w:eastAsia="仿宋_GB2312"/>
              </w:rPr>
              <w:t>具备建筑工程施工总承包三级及以上资质，有效期内的安全生产许可证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拟投入项目经理须具备建筑工程专业二级以上（含二级）注册建造师执业资格证（在本单位注册）及有效的安全生产考核合格证（建安B证），且未担任其它在建工程的项目经理（提供承诺书）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外地企业备案</w:t>
            </w:r>
          </w:p>
        </w:tc>
        <w:tc>
          <w:tcPr>
            <w:tcW w:type="dxa" w:w="3322"/>
          </w:tcPr>
          <w:p>
            <w:pPr>
              <w:pStyle w:val="null3"/>
            </w:pPr>
            <w:r>
              <w:rPr>
                <w:rFonts w:ascii="仿宋_GB2312" w:hAnsi="仿宋_GB2312" w:cs="仿宋_GB2312" w:eastAsia="仿宋_GB2312"/>
              </w:rPr>
              <w:t>外地企业提供在“陕西省建筑市场监管与诚信信息一体化平台”上登记的基本信息界面截图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提供非联合体投标声明函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投标文件的签署、盖章符合采购文件要求 （合格） 投标文件的签署、盖章不符合采购文件要求 (不合格)</w:t>
            </w:r>
          </w:p>
        </w:tc>
        <w:tc>
          <w:tcPr>
            <w:tcW w:type="dxa" w:w="1661"/>
          </w:tcPr>
          <w:p>
            <w:pPr>
              <w:pStyle w:val="null3"/>
            </w:pPr>
            <w:r>
              <w:rPr>
                <w:rFonts w:ascii="仿宋_GB2312" w:hAnsi="仿宋_GB2312" w:cs="仿宋_GB2312" w:eastAsia="仿宋_GB2312"/>
              </w:rPr>
              <w:t>响应文件封面 中小企业声明函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报价函 标的清单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响应报价未超过采购预算或最高限价（合格） 响应报价超过采购预算或最高限价（不合格）</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完工周期</w:t>
            </w:r>
          </w:p>
        </w:tc>
        <w:tc>
          <w:tcPr>
            <w:tcW w:type="dxa" w:w="3322"/>
          </w:tcPr>
          <w:p>
            <w:pPr>
              <w:pStyle w:val="null3"/>
            </w:pPr>
            <w:r>
              <w:rPr>
                <w:rFonts w:ascii="仿宋_GB2312" w:hAnsi="仿宋_GB2312" w:cs="仿宋_GB2312" w:eastAsia="仿宋_GB2312"/>
              </w:rPr>
              <w:t>完工周期满足采购文件要求（合格） 完工周期不满足采购文件要求（不合格）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响应文件投标有效期达到竞争性磋商文件要求的（合格） 响应文件无投标有效期或有效期达不到竞争性磋商文件要求的（不合格）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响应文件未出现工程量漏项或工程量清单与要求相符的（合格） 响应文件出现工程量漏项或工程量清单与要求不符的（不合格）</w:t>
            </w:r>
          </w:p>
        </w:tc>
        <w:tc>
          <w:tcPr>
            <w:tcW w:type="dxa" w:w="1661"/>
          </w:tcPr>
          <w:p>
            <w:pPr>
              <w:pStyle w:val="null3"/>
            </w:pPr>
            <w:r>
              <w:rPr>
                <w:rFonts w:ascii="仿宋_GB2312" w:hAnsi="仿宋_GB2312" w:cs="仿宋_GB2312" w:eastAsia="仿宋_GB2312"/>
              </w:rPr>
              <w:t>工程量清单.docx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拟派项目经理及项目组成员在项目结束前不可更换的承诺函</w:t>
            </w:r>
          </w:p>
        </w:tc>
        <w:tc>
          <w:tcPr>
            <w:tcW w:type="dxa" w:w="3322"/>
          </w:tcPr>
          <w:p>
            <w:pPr>
              <w:pStyle w:val="null3"/>
            </w:pPr>
            <w:r>
              <w:rPr>
                <w:rFonts w:ascii="仿宋_GB2312" w:hAnsi="仿宋_GB2312" w:cs="仿宋_GB2312" w:eastAsia="仿宋_GB2312"/>
              </w:rPr>
              <w:t>提供了合格的拟派项目经理及项目组成员在项目结束前不可更换的承诺函（合格）未提供或提供的拟派项目经理及项目组成员在项目结束前不可更换的承诺函不合格（不合格）</w:t>
            </w:r>
          </w:p>
        </w:tc>
        <w:tc>
          <w:tcPr>
            <w:tcW w:type="dxa" w:w="1661"/>
          </w:tcPr>
          <w:p>
            <w:pPr>
              <w:pStyle w:val="null3"/>
            </w:pPr>
            <w:r>
              <w:rPr>
                <w:rFonts w:ascii="仿宋_GB2312" w:hAnsi="仿宋_GB2312" w:cs="仿宋_GB2312" w:eastAsia="仿宋_GB2312"/>
              </w:rPr>
              <w:t>响应文件封面 服务承诺.docx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 效情形(不合格)</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w:t>
            </w:r>
          </w:p>
        </w:tc>
        <w:tc>
          <w:tcPr>
            <w:tcW w:type="dxa" w:w="2492"/>
          </w:tcPr>
          <w:p>
            <w:pPr>
              <w:pStyle w:val="null3"/>
            </w:pPr>
            <w:r>
              <w:rPr>
                <w:rFonts w:ascii="仿宋_GB2312" w:hAnsi="仿宋_GB2312" w:cs="仿宋_GB2312" w:eastAsia="仿宋_GB2312"/>
              </w:rPr>
              <w:t>1、对项目实施的现场情况、难易程度、历史资料匹配、成品保护等重点、难点进行分析；根据对项目整体理解内容进行评审： 内容完备、科学、合理、针对性强得1.5分； 内容较为完备，针对性较强的得1分； 内容较为简略、基本可行得0.5分； 内容缺失严重、不合理和未提供的均不计分。 2、根据供应商针对本项目易发生质量通病、易出现安全问题、施工难度大、技术含量高的分项工程等进行说明并给出施工保障措施和专项技术方案（含主要施工工法、组织措施、检验手段等）进行评审： 内容完备、科学、合理、针对性强得2分； 内容较为完备，针对性较强的得1.4分； 内容较为简略、基本可行得0.7分； 内容缺失严重、不合理和未提供的均不计分。 3、根据供应商针对本项目影响本项目的外在因素和可能出现的问题进行分析，并制定相关应急预案或保证措施进行评审： 内容完备、科学、合理、针对性强得1.5分； 内容较为完备，针对性较强的得1分； 内容较为简略、基本可行得0.5分； 内容缺失严重、不合理和未提供的均不计分。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1、根据供应商针对本项目工期、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内容较为简略、基本可行得1分； 内容缺失严重、不合理和未提供的均不计分。 2、根据供应商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内容完备、科学、合理、针对性强得2分； 内容较为完备，针对性较强的得1.4分； 内容较为简略、基本可行得0.7分； 内容缺失严重、不合理和未提供的均不计分。 2、根据供应商针对本项目提供分部分项工程质量保证措施；成品保护和工程保修管理措施进行评审： 内容完备、科学、合理、针对性强得2分； 内容较为完备，针对性较强的得1.4分； 内容较为简略、基本可行得0.7分；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1、根据供应商针对本项目结合工程环境、特点分析安全隐患，给出有针对性的安全生产、文明施工、环保施工、防尘降噪等保证措施进行评审： 内容完备、科学、合理、针对性强得2分； 内容较为完备，针对性较强的得1.5分； 内容较为简略、基本可行得1分； 内容缺失严重、不合理和未提供的均不计分。 2、根据供应商针对本项目安全文明、环保施工保证体系和控制点设置合理，给出的满足国家、省市相关法规规定及采购文件要求的保护措施进行评审： 内容完备、科学、合理、针对性强得2分； 内容较为完备，针对性较强的得1.5分； 内容较为简略、基本可行得1分； 内容缺失严重、不合理和未提供的均不计分。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根据供应商针对本项目提供的项目人员组成，项目经理、技术负责人（职称、学历、工作年限、社保），其他项目人员构成情况（岗位设置、专业种类及能力、有技术职称的人员比例）等进行评审： 内容完备、科学、合理、针对性强得3分； 内容较为完备，针对性较强的得2分； 内容较为简略、基本可行0.8分；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项目管理机构.docx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供应商提供拟派项目经理自2023年1月1日至今的类似业绩证明材料，每提供1项得1分，最多得3分。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项目管理机构.docx</w:t>
            </w:r>
          </w:p>
        </w:tc>
      </w:tr>
      <w:tr>
        <w:tc>
          <w:tcPr>
            <w:tcW w:type="dxa" w:w="831"/>
            <w:vMerge/>
          </w:tcPr>
          <w:p/>
        </w:tc>
        <w:tc>
          <w:tcPr>
            <w:tcW w:type="dxa" w:w="1661"/>
          </w:tcPr>
          <w:p>
            <w:pPr>
              <w:pStyle w:val="null3"/>
            </w:pPr>
            <w:r>
              <w:rPr>
                <w:rFonts w:ascii="仿宋_GB2312" w:hAnsi="仿宋_GB2312" w:cs="仿宋_GB2312" w:eastAsia="仿宋_GB2312"/>
              </w:rPr>
              <w:t>主要材料品牌、价格表</w:t>
            </w:r>
          </w:p>
        </w:tc>
        <w:tc>
          <w:tcPr>
            <w:tcW w:type="dxa" w:w="2492"/>
          </w:tcPr>
          <w:p>
            <w:pPr>
              <w:pStyle w:val="null3"/>
            </w:pPr>
            <w:r>
              <w:rPr>
                <w:rFonts w:ascii="仿宋_GB2312" w:hAnsi="仿宋_GB2312" w:cs="仿宋_GB2312" w:eastAsia="仿宋_GB2312"/>
              </w:rPr>
              <w:t>1、主要材料品牌、价格表填写完整，无缺漏项计2分；未提供或提供不全或拟投主要材料品牌不明确的本项不得分。 2、根据供应商针对本项目拟投入主要材料品牌、价格表的产品选型情况、品质进行评审： 主要材料品牌、价格表的市场应用比例高、与本次项目契合度高、为主流产品且符合相关要求，相关证明材料完整、清晰的得3分； 主要材料品牌、价格表的市场应用比例较高、与本次项目契合度较好、为较主流产品，相关证明材料较完整、较清晰的得2分； 主要材料品牌、价格表的市场占有率一般，相关证明材料不完整、缺失严重的得1分； 未提供的不计分。 3.供应商应提300*300mm 样品（Epdm完成品和草坪，需体现分层情况），评审专家对所提供的样品的质量、材质、表面状态、边缘处理、颜色与纹理、厚度与分层情况，物理性能、化学性能功能特性、工艺结构、有无异味等进行综合评审，计0-4分。 注：样品递交时间同文件递交截止时间一致（样品清单、检测报告随样品密封递交，逾期递交的不予接收），递交地点：西安市科技路30号合力紫郡B座21层。中标（成交）投标单位样品作为验收依据转采购人接收，未中标（未成交）投标单位样品采购结果公示后五个工作日内退还，如未按规定时间内领取，招标代理机构有权自行销毁。</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主要材料品牌、报价表.docx</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针对本项目所选用的材料采用绿色环保、节能材料的； 以上内容每提供一项得0.5分，最高得4分，不提供不计分。（以上内容需提供检测报告及相关证明材料等并加盖公章）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节能环保、绿色建材.docx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根据供应商提供的质保服务方案及承诺、与学校相关部门的配合协调承诺、人员安全保障承诺及优化建议等进行赋分： 内容完备、科学、合理、针对性强得3分； 内容较为完备，针对性较强的得2分； 内容较为简略、基本可行0.8分；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提供供应商2023年1月1日至今(以合同签订日期为准)类似业绩证明材料，每份业绩计1分，满分4分。 备注：业绩时间以合同签订时间所体现的时间为准。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满足磋商文件要求且最后磋商价格最低的磋商报价为评标基准价，其价格分为满分。其他供应商的价格分统一按照下列公式计算：磋商报价得分=（评标基准价/磋商报价）×55</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详见附件：对项目整体理解及施工方案.docx</w:t>
      </w:r>
    </w:p>
    <w:p>
      <w:pPr>
        <w:pStyle w:val="null3"/>
        <w:ind w:firstLine="960"/>
      </w:pPr>
      <w:r>
        <w:rPr>
          <w:rFonts w:ascii="仿宋_GB2312" w:hAnsi="仿宋_GB2312" w:cs="仿宋_GB2312" w:eastAsia="仿宋_GB2312"/>
        </w:rPr>
        <w:t>详见附件：工程进度计划与保证措施.docx</w:t>
      </w:r>
    </w:p>
    <w:p>
      <w:pPr>
        <w:pStyle w:val="null3"/>
        <w:ind w:firstLine="960"/>
      </w:pPr>
      <w:r>
        <w:rPr>
          <w:rFonts w:ascii="仿宋_GB2312" w:hAnsi="仿宋_GB2312" w:cs="仿宋_GB2312" w:eastAsia="仿宋_GB2312"/>
        </w:rPr>
        <w:t>详见附件：质量管理体系与保证措施.docx</w:t>
      </w:r>
    </w:p>
    <w:p>
      <w:pPr>
        <w:pStyle w:val="null3"/>
        <w:ind w:firstLine="960"/>
      </w:pPr>
      <w:r>
        <w:rPr>
          <w:rFonts w:ascii="仿宋_GB2312" w:hAnsi="仿宋_GB2312" w:cs="仿宋_GB2312" w:eastAsia="仿宋_GB2312"/>
        </w:rPr>
        <w:t>详见附件：确保安全生产、文明施工的技术组织措施及环境保护措施.docx</w:t>
      </w:r>
    </w:p>
    <w:p>
      <w:pPr>
        <w:pStyle w:val="null3"/>
        <w:ind w:firstLine="960"/>
      </w:pPr>
      <w:r>
        <w:rPr>
          <w:rFonts w:ascii="仿宋_GB2312" w:hAnsi="仿宋_GB2312" w:cs="仿宋_GB2312" w:eastAsia="仿宋_GB2312"/>
        </w:rPr>
        <w:t>详见附件：项目管理机构.docx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详见附件：主要材料品牌、报价表.docx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详见附件：节能环保、绿色建材.docx</w:t>
      </w:r>
    </w:p>
    <w:p>
      <w:pPr>
        <w:pStyle w:val="null3"/>
        <w:ind w:firstLine="960"/>
      </w:pPr>
      <w:r>
        <w:rPr>
          <w:rFonts w:ascii="仿宋_GB2312" w:hAnsi="仿宋_GB2312" w:cs="仿宋_GB2312" w:eastAsia="仿宋_GB2312"/>
        </w:rPr>
        <w:t>详见附件：工程量清单.docx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