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版本号：TCZFCG-2026-0025620260509001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铜川市三秦智医助理系统暨基层诊疗能力提升等项目配套数据资源采购项目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TCZFCG-2026-00256</w:t>
      </w:r>
      <w:r>
        <w:br/>
      </w:r>
      <w:r>
        <w:br/>
      </w:r>
      <w:r>
        <w:br/>
      </w:r>
    </w:p>
    <w:p>
      <w:pPr>
        <w:pStyle w:val="null3"/>
        <w:jc w:val="center"/>
        <w:outlineLvl w:val="2"/>
      </w:pPr>
      <w:r>
        <w:rPr>
          <w:rFonts w:ascii="仿宋_GB2312" w:hAnsi="仿宋_GB2312" w:cs="仿宋_GB2312" w:eastAsia="仿宋_GB2312"/>
          <w:sz w:val="28"/>
          <w:b/>
        </w:rPr>
        <w:t>铜川市人民政府办公室（铜川市数据局）</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铜川市人民政府办公室（铜川市数据局）</w:t>
      </w:r>
      <w:r>
        <w:rPr>
          <w:rFonts w:ascii="仿宋_GB2312" w:hAnsi="仿宋_GB2312" w:cs="仿宋_GB2312" w:eastAsia="仿宋_GB2312"/>
        </w:rPr>
        <w:t>委托，拟对</w:t>
      </w:r>
      <w:r>
        <w:rPr>
          <w:rFonts w:ascii="仿宋_GB2312" w:hAnsi="仿宋_GB2312" w:cs="仿宋_GB2312" w:eastAsia="仿宋_GB2312"/>
        </w:rPr>
        <w:t>铜川市三秦智医助理系统暨基层诊疗能力提升等项目配套数据资源采购项目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TCZFCG-2026-00256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铜川市三秦智医助理系统暨基层诊疗能力提升等项目配套数据资源采购项目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本项⽬为铜川市三秦智医助理系统暨基层诊疗能⼒提升等项⽬配套数据资源采购项⽬，按照国家相关国产化要求，补充购 置数据库（22套）、中间件1（72套）、中间件2（40套）。 旨在满⾜铜川市三秦智医助理系统暨基层诊疗能⼒提升项⽬的 业务系统使⽤需求，提供专业的数据库迁移适配服务，确保政务云平台充分发挥其服务能⼒，提升基层医疗机构的诊疗效率和 服务⽔平，同时保障数据安全与系统稳定性。</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1、无重大违法记录证明： 供应商出具本企业参加政府采购活动前三年内经营活动中没有重大违法记录的书面声明。供应商需在项目电子化交易系统中按要求上传相应证明文件并进行电子签章。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铜川市人民政府办公室（铜川市数据局）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0919-3183637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采购包1：3,968,000.00元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铜川市人民政府办公室（铜川市数据局）</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铜川市人民政府办公室（铜川市数据局）</w:t>
      </w:r>
      <w:r>
        <w:rPr>
          <w:rFonts w:ascii="仿宋_GB2312" w:hAnsi="仿宋_GB2312" w:cs="仿宋_GB2312" w:eastAsia="仿宋_GB2312"/>
        </w:rPr>
        <w:t>负责解释。除上述招标文件内容，其他内容由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铜川市人民政府办公室（铜川市数据局）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15</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符合招标文件、投标文件、合同约定及国家/行业现行标准。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铜川市人民政府办公室（铜川市数据局）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联系人：阎女士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地址：铜川市耀州区铜川市新区齐庆路中段人社大厦</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19"/>
          <w:color w:val="000000"/>
        </w:rPr>
        <w:t>本项⽬为铜川市三秦智医助理系统暨基层诊疗能⼒提升等项⽬配套数据资源采购项⽬，按照国家相关国产化要求，补充购</w:t>
      </w:r>
    </w:p>
    <w:p>
      <w:pPr>
        <w:pStyle w:val="null3"/>
      </w:pPr>
      <w:r>
        <w:rPr>
          <w:rFonts w:ascii="仿宋_GB2312" w:hAnsi="仿宋_GB2312" w:cs="仿宋_GB2312" w:eastAsia="仿宋_GB2312"/>
          <w:sz w:val="19"/>
          <w:color w:val="000000"/>
        </w:rPr>
        <w:t>置数据库（</w:t>
      </w:r>
      <w:r>
        <w:rPr>
          <w:rFonts w:ascii="仿宋_GB2312" w:hAnsi="仿宋_GB2312" w:cs="仿宋_GB2312" w:eastAsia="仿宋_GB2312"/>
          <w:sz w:val="19"/>
          <w:color w:val="000000"/>
        </w:rPr>
        <w:t>22</w:t>
      </w:r>
      <w:r>
        <w:rPr>
          <w:rFonts w:ascii="仿宋_GB2312" w:hAnsi="仿宋_GB2312" w:cs="仿宋_GB2312" w:eastAsia="仿宋_GB2312"/>
          <w:sz w:val="19"/>
          <w:color w:val="000000"/>
        </w:rPr>
        <w:t>套）、中间件</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72</w:t>
      </w:r>
      <w:r>
        <w:rPr>
          <w:rFonts w:ascii="仿宋_GB2312" w:hAnsi="仿宋_GB2312" w:cs="仿宋_GB2312" w:eastAsia="仿宋_GB2312"/>
          <w:sz w:val="19"/>
          <w:color w:val="000000"/>
        </w:rPr>
        <w:t>套）、中间件</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40</w:t>
      </w:r>
      <w:r>
        <w:rPr>
          <w:rFonts w:ascii="仿宋_GB2312" w:hAnsi="仿宋_GB2312" w:cs="仿宋_GB2312" w:eastAsia="仿宋_GB2312"/>
          <w:sz w:val="19"/>
          <w:color w:val="000000"/>
        </w:rPr>
        <w:t>套）。 旨在满⾜铜川市三秦智医助理系统暨基层诊疗能⼒提升项⽬的</w:t>
      </w:r>
    </w:p>
    <w:p>
      <w:pPr>
        <w:pStyle w:val="null3"/>
      </w:pPr>
      <w:r>
        <w:rPr>
          <w:rFonts w:ascii="仿宋_GB2312" w:hAnsi="仿宋_GB2312" w:cs="仿宋_GB2312" w:eastAsia="仿宋_GB2312"/>
          <w:sz w:val="19"/>
          <w:color w:val="000000"/>
        </w:rPr>
        <w:t>业务系统使⽤需求，提供专业的数据库迁移适配服务，确保政务云平台充分发挥其服务能⼒，提升基层医疗机构的诊疗效率和</w:t>
      </w:r>
    </w:p>
    <w:p>
      <w:pPr>
        <w:pStyle w:val="null3"/>
      </w:pPr>
      <w:r>
        <w:rPr>
          <w:rFonts w:ascii="仿宋_GB2312" w:hAnsi="仿宋_GB2312" w:cs="仿宋_GB2312" w:eastAsia="仿宋_GB2312"/>
          <w:sz w:val="19"/>
          <w:color w:val="000000"/>
        </w:rPr>
        <w:t>服务⽔平，同时保障数据安全与系统稳定性。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3,968,000.00</w:t>
      </w:r>
    </w:p>
    <w:p>
      <w:pPr>
        <w:pStyle w:val="null3"/>
      </w:pPr>
      <w:r>
        <w:rPr>
          <w:rFonts w:ascii="仿宋_GB2312" w:hAnsi="仿宋_GB2312" w:cs="仿宋_GB2312" w:eastAsia="仿宋_GB2312"/>
        </w:rPr>
        <w:t>采购包最高限价（元）: 3,968,000.00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数据库</w:t>
            </w:r>
          </w:p>
        </w:tc>
        <w:tc>
          <w:tcPr>
            <w:tcW w:type="dxa" w:w="755"/>
          </w:tcPr>
          <w:p>
            <w:pPr>
              <w:pStyle w:val="null3"/>
              <w:jc w:val="right"/>
            </w:pPr>
            <w:r>
              <w:rPr>
                <w:rFonts w:ascii="仿宋_GB2312" w:hAnsi="仿宋_GB2312" w:cs="仿宋_GB2312" w:eastAsia="仿宋_GB2312"/>
              </w:rPr>
              <w:t>22.00</w:t>
            </w:r>
          </w:p>
        </w:tc>
        <w:tc>
          <w:tcPr>
            <w:tcW w:type="dxa" w:w="755"/>
          </w:tcPr>
          <w:p>
            <w:pPr>
              <w:pStyle w:val="null3"/>
              <w:jc w:val="right"/>
            </w:pPr>
            <w:r>
              <w:rPr>
                <w:rFonts w:ascii="仿宋_GB2312" w:hAnsi="仿宋_GB2312" w:cs="仿宋_GB2312" w:eastAsia="仿宋_GB2312"/>
              </w:rPr>
              <w:t>1,056,000.00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中间件1</w:t>
            </w:r>
          </w:p>
        </w:tc>
        <w:tc>
          <w:tcPr>
            <w:tcW w:type="dxa" w:w="755"/>
          </w:tcPr>
          <w:p>
            <w:pPr>
              <w:pStyle w:val="null3"/>
              <w:jc w:val="right"/>
            </w:pPr>
            <w:r>
              <w:rPr>
                <w:rFonts w:ascii="仿宋_GB2312" w:hAnsi="仿宋_GB2312" w:cs="仿宋_GB2312" w:eastAsia="仿宋_GB2312"/>
              </w:rPr>
              <w:t>72.00</w:t>
            </w:r>
          </w:p>
        </w:tc>
        <w:tc>
          <w:tcPr>
            <w:tcW w:type="dxa" w:w="755"/>
          </w:tcPr>
          <w:p>
            <w:pPr>
              <w:pStyle w:val="null3"/>
              <w:jc w:val="right"/>
            </w:pPr>
            <w:r>
              <w:rPr>
                <w:rFonts w:ascii="仿宋_GB2312" w:hAnsi="仿宋_GB2312" w:cs="仿宋_GB2312" w:eastAsia="仿宋_GB2312"/>
              </w:rPr>
              <w:t>1,872,000.00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中间件2</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1,040,000.00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标的名称：数据库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816"/>
            </w:tblGrid>
            <w:tr>
              <w:tc>
                <w:tcPr>
                  <w:tcW w:type="dxa" w:w="2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r>
                    <w:rPr>
                      <w:rFonts w:ascii="仿宋_GB2312" w:hAnsi="仿宋_GB2312" w:cs="仿宋_GB2312" w:eastAsia="仿宋_GB2312"/>
                      <w:sz w:val="22"/>
                      <w:color w:val="000000"/>
                    </w:rPr>
                    <w:t>产品支持数据存储、访问控制、身份鉴别、安全审计和数据备份恢复等功能。产品部署在服务器，以后台服务形式运行，数据库管理员及用户在管理主机上可实现图形化、命令行等方式对数据对象（表、视图、约束、索引等）的配置管理功能。</w:t>
                  </w:r>
                </w:p>
              </w:tc>
            </w:tr>
            <w:tr>
              <w:tc>
                <w:tcPr>
                  <w:tcW w:type="dxa" w:w="2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2.产品符合安全可靠测评工作指南要求，达到安全可靠等级≥I级。</w:t>
                  </w:r>
                </w:p>
              </w:tc>
            </w:tr>
            <w:tr>
              <w:tc>
                <w:tcPr>
                  <w:tcW w:type="dxa" w:w="2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3.国产处理器硬件环境下，数据库TPCC基准实测性能≥160万tpmC。</w:t>
                  </w:r>
                </w:p>
              </w:tc>
            </w:tr>
            <w:tr>
              <w:tc>
                <w:tcPr>
                  <w:tcW w:type="dxa" w:w="2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4.产品拥有自主知识产权，完全自主可控，达到《信息技术产品自主原创测评要求》（试行）中的要求，提供相关证明材料。</w:t>
                  </w:r>
                </w:p>
              </w:tc>
            </w:tr>
            <w:tr>
              <w:tc>
                <w:tcPr>
                  <w:tcW w:type="dxa" w:w="2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5.</w:t>
                  </w:r>
                  <w:r>
                    <w:rPr>
                      <w:rFonts w:ascii="仿宋_GB2312" w:hAnsi="仿宋_GB2312" w:cs="仿宋_GB2312" w:eastAsia="仿宋_GB2312"/>
                      <w:sz w:val="22"/>
                      <w:color w:val="000000"/>
                    </w:rPr>
                    <w:t>▲产品符合信息技术产品安全分级评估要求，具备不低于评估保障级</w:t>
                  </w:r>
                  <w:r>
                    <w:rPr>
                      <w:rFonts w:ascii="仿宋_GB2312" w:hAnsi="仿宋_GB2312" w:cs="仿宋_GB2312" w:eastAsia="仿宋_GB2312"/>
                      <w:sz w:val="22"/>
                      <w:color w:val="000000"/>
                    </w:rPr>
                    <w:t xml:space="preserve">EAL4 </w:t>
                  </w:r>
                  <w:r>
                    <w:rPr>
                      <w:rFonts w:ascii="仿宋_GB2312" w:hAnsi="仿宋_GB2312" w:cs="仿宋_GB2312" w:eastAsia="仿宋_GB2312"/>
                      <w:sz w:val="22"/>
                      <w:color w:val="000000"/>
                    </w:rPr>
                    <w:t>增强级安全能力，提供相关证明资料。</w:t>
                  </w:r>
                </w:p>
              </w:tc>
            </w:tr>
            <w:tr>
              <w:tc>
                <w:tcPr>
                  <w:tcW w:type="dxa" w:w="2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6.▲支持国产操作系统：麒麟、统信、中科方德等；支持国产芯片：鲲鹏、海光、飞腾、龙芯、申威、兆芯等；支持国产应用服务器中间件：宝兰德、金蝶、东方通、中创等。提供兼容证明材料。</w:t>
                  </w:r>
                </w:p>
              </w:tc>
            </w:tr>
            <w:tr>
              <w:tc>
                <w:tcPr>
                  <w:tcW w:type="dxa" w:w="2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7.提供迁移工具，支持数据迁移工具实现同构或异构数据库之间的数据迁移。</w:t>
                  </w:r>
                </w:p>
              </w:tc>
            </w:tr>
            <w:tr>
              <w:tc>
                <w:tcPr>
                  <w:tcW w:type="dxa" w:w="2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8.</w:t>
                  </w:r>
                  <w:r>
                    <w:rPr>
                      <w:rFonts w:ascii="仿宋_GB2312" w:hAnsi="仿宋_GB2312" w:cs="仿宋_GB2312" w:eastAsia="仿宋_GB2312"/>
                      <w:sz w:val="22"/>
                      <w:color w:val="000000"/>
                    </w:rPr>
                    <w:t>产品支持多种备份策略方法，具有全量备份、增量备份、差异备份等功能；支持多种恢复策略，具有备份点恢复、时间点恢复、完全恢复等功能，保障数据安全。</w:t>
                  </w:r>
                </w:p>
              </w:tc>
            </w:tr>
          </w:tbl>
          <w:p/>
        </w:tc>
      </w:tr>
    </w:tbl>
    <w:p>
      <w:pPr>
        <w:pStyle w:val="null3"/>
      </w:pPr>
      <w:r>
        <w:rPr>
          <w:rFonts w:ascii="仿宋_GB2312" w:hAnsi="仿宋_GB2312" w:cs="仿宋_GB2312" w:eastAsia="仿宋_GB2312"/>
        </w:rPr>
        <w:t>标的名称：中间件1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817"/>
            </w:tblGrid>
            <w:tr>
              <w:tc>
                <w:tcPr>
                  <w:tcW w:type="dxa" w:w="2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1.产品具备Web应用、EJB应用、身份验证、日志审计等基本工作，提供类库管理、集成环境管理、图形化监控、JVM配置、垃圾回收配置等工具，支持实例部署、数据库连接服务，为业务系统提供运行环境。</w:t>
                  </w:r>
                </w:p>
              </w:tc>
            </w:tr>
            <w:tr>
              <w:tc>
                <w:tcPr>
                  <w:tcW w:type="dxa" w:w="2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2.产品遵循JavaEE、JakartaEE规范，支持同时部署Javax和Jakarta命名空间的应用，体现产品功能，提供相关证明材料。</w:t>
                  </w:r>
                </w:p>
              </w:tc>
            </w:tr>
            <w:tr>
              <w:tc>
                <w:tcPr>
                  <w:tcW w:type="dxa" w:w="2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3.▲产品应遵循国际标准规范，系列型号必须通过Jakarta EE8以上级别标准规范的官方兼容认证，并逐个提供Jakarta EE对上述标准兼容认证的查询网址及网页截图。</w:t>
                  </w:r>
                </w:p>
              </w:tc>
            </w:tr>
            <w:tr>
              <w:tc>
                <w:tcPr>
                  <w:tcW w:type="dxa" w:w="2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4.为便于用户进行功能查找，产品需要支持关键字的全局搜索，快速定位至具体的功能点，要体现产品功能，提供相关证明材料。</w:t>
                  </w:r>
                </w:p>
              </w:tc>
            </w:tr>
            <w:tr>
              <w:tc>
                <w:tcPr>
                  <w:tcW w:type="dxa" w:w="2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5.产品须支持对功能模块化使用，支持启用需要的功能模块，比如：应用、集群、数据源等，对于不需要的功能模块可以禁用，要体现产品功能，提供相关证明材料。</w:t>
                  </w:r>
                </w:p>
              </w:tc>
            </w:tr>
            <w:tr>
              <w:tc>
                <w:tcPr>
                  <w:tcW w:type="dxa" w:w="2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6.▲产品提供基于Web方式的JVM信息监控、类加载等功能，要体现产品功能，提供相关证明材料。</w:t>
                  </w:r>
                </w:p>
              </w:tc>
            </w:tr>
          </w:tbl>
          <w:p/>
        </w:tc>
      </w:tr>
    </w:tbl>
    <w:p>
      <w:pPr>
        <w:pStyle w:val="null3"/>
      </w:pPr>
      <w:r>
        <w:rPr>
          <w:rFonts w:ascii="仿宋_GB2312" w:hAnsi="仿宋_GB2312" w:cs="仿宋_GB2312" w:eastAsia="仿宋_GB2312"/>
        </w:rPr>
        <w:t>标的名称：中间件2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813"/>
            </w:tblGrid>
            <w:tr>
              <w:tc>
                <w:tcPr>
                  <w:tcW w:type="dxa" w:w="2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1.产品具备Web应用、EJB应用、身份验证、日志审计等基本工作，提供类库管理、集成环境管理、图形化监控、JVM配置、垃圾回收配置等工具，支持实例部署、数据库连接服务，为业务系统提供运行环境。</w:t>
                  </w:r>
                </w:p>
              </w:tc>
            </w:tr>
            <w:tr>
              <w:tc>
                <w:tcPr>
                  <w:tcW w:type="dxa" w:w="2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2.产品遵循JavaEE、JakartaEE规范，支持同时部署Javax和Jakarta命名空间的应用，要体现产品功能，提供相关证明材料。</w:t>
                  </w:r>
                </w:p>
              </w:tc>
            </w:tr>
            <w:tr>
              <w:tc>
                <w:tcPr>
                  <w:tcW w:type="dxa" w:w="2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3.▲产品应遵循国际标准规范，系列型号必须通过Jakarta EE8以上级别标准规范的官方兼容认证，并逐个提供Jakarta EE对上述标准兼容认证的查询网址及网页截图。</w:t>
                  </w:r>
                </w:p>
              </w:tc>
            </w:tr>
            <w:tr>
              <w:tc>
                <w:tcPr>
                  <w:tcW w:type="dxa" w:w="2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4.产品须支持配置安全策略，提供“禁用时间段”功能，可设定应用允许的访问时间，便于对应用的访问时间进行控制。</w:t>
                  </w:r>
                </w:p>
              </w:tc>
            </w:tr>
            <w:tr>
              <w:tc>
                <w:tcPr>
                  <w:tcW w:type="dxa" w:w="2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5.产品须支持对功能模块化使用，支持启用需要的功能模块，比如：应用、集群、数据源等，对于不需要的功能模块可以禁用，要体现产品功能，提供相关证明材料。</w:t>
                  </w:r>
                </w:p>
              </w:tc>
            </w:tr>
            <w:tr>
              <w:tc>
                <w:tcPr>
                  <w:tcW w:type="dxa" w:w="2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6.支持商密算法，支持对 SM2/SM3/SM4 国家商用密码算法的实现包；支持国密证书，支持双向认证，可在管控台对国密证书进行配置，要体现产品功能，提供相关证明材料。</w:t>
                  </w:r>
                </w:p>
              </w:tc>
            </w:tr>
            <w:tr>
              <w:tc>
                <w:tcPr>
                  <w:tcW w:type="dxa" w:w="2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7.▲产品提供基于Web方式的JVM信息监控、类加载等功能，要体现产品功能，提供相关证明材料。</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供应商须在90个日历日内，按照项目要求完成该项目产品安装调试及试运行实现项目各系统功能要求。</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合同正式签订后、供应商提供合法有效等额增值税发票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产品全部到货、安装部署完成、系统正常运行、功能满足采购需求，双方签署初步验收报告，供应商提供合法有效等额增值税发票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系统连续稳定运行60天无重大故障、数据库迁移适配完成、性能与安全验证合格，双方签署最终验收报告，供应商提供合法有效等额增值税发票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按国家及行业标准、采购需求、投标文件、合同约定执行，实行初步验收、最终验收两级验收，验收须形成书面验收报告。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中标供应商应当保证所供产品的来源渠道正常，产品是全新的、未使⽤过的，且完全符合合同规定的质量、规格、技术指 标等要求，并在质保期内、外对由于产品设计、⼯艺或材料的缺陷⽽产⽣的质量问题负责。 1.质保期：⾃最终验收合格之⽇ 起免费质保3年； 2.维修响应：7×24⼩时技术⽀持，⼄⽅接到甲⽅维修要求后，应保证 0.5⼩时内给予明确答复，24⼩时内 上⻔服务； 3.质保期内免费维保：保修期（质保期）提供免费的软件产品维保服务。在保修期（质保期）内，如因软件⾃⾝ 质量问题或技术缺陷导致系统运⾏异常、功能失效或数据损坏、⼄⽅在接到通知后24⼩时内⽆法通过远程或现场⽅式彻底修 复的，⼄⽅必须免费提供同等功能的软件版本进⾏整体替换或重构，以保障甲⽅及最终⽤⼾单位的业务正常开展；在甲⽅最终 ⽤⼾单位上线使⽤的前三个⽉内，若同⼀模块或核⼼功能出现第⼆次同类质量问题，⼄⽅必须在甲⽅指定期限内⽆条件予以免 费整体替换或全⾯修复。4.超过质保期后，提供技术跟踪服务，包含电话疑难问题解答、远程技术指导等且⼄⽅应保证以不⾼ 于市场最低价的价格提供维护和保养服务，当发⽣故障时，⼄⽅应按质保期内相同的服务标准进⾏维护处理；5.售后服务：建 ⽴项⽬后期运维管理机制，明确产品质保期内的故障响应、维修更换流程。提供7×24⼩时技术⽀持，衔接现有运维团队，保 障整体平稳运⾏。建⽴⻓效运维机制，明确各系统的运维责任分⼯、巡检流程与应急处置预案，确保项⽬建设成效⻓期稳定发 挥；6.进⾏⼈员培训，全部产品安装调试完成并经甲⽅验收合格后 7个⼯作⽇内，⼄⽅在甲⽅指定地点提供集中培训。 质保 期内，甲⽅如有⼈员变动可根据情况提成补充培训要求，保证技术⼈员熟练掌握产品的管理和维护。7.提供应急及重⼤项⽬保 障⽀撑服务。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相关条款及本合同约定，成交供应商未全面履行合同义务或违约的，采购人有权暂停付款、拒付尾款、终止合同，并追究其赔偿责任，同时报请政府采购监管部门依法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投标文件建议提供目录及页码索引，尤其是采购清单中详细参数的证明材料。便于快速查阅评审，提高效率。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1、提供有效存续期内的企业营业执照（副本）等证书； 2、提供2025年6月至今任意一个月的社会保障资金缴存单据或社保机构开具的社会保险参保缴费情况证明。依法不需要缴纳社会保障资金的投标人应提供相关证明文件； 3、提供2025年6月至今任意一个月的依法缴纳税收的完税证明，完税证明应有税务机关或代收机关的公章或业务专用章。依法免税或无须缴纳税收的投标人，应提供相应证明文件； 4、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 5、提供书面声明，包括声明具有履行合同所必需的设备和专业技术能力；未为本项目提供整体设计、规范编制或者项目管理、监理、检测等服务； 6、投标人应提供《非联合体不分包投标声明》，声明独立投标，不分包。 供应商需在项目电子化交易系统中按要求上传相应证明文件并进行电子签章。供应商需在项目电子化交易系统中按要求填写《投标函》完成承诺并进行电子签章。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响应商认为需要提交的其他资料.docx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财务状况报告（以下三种资料提供任意一种即可）：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在注册会计师行业统一监管平台报备并附验证码； （2）其开标前三个月内基本开户银行出具的资信证明； （3）信用担保机构出具的投标担保函。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响应商认为需要提交的其他资料.docx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响应商认为需要提交的其他资料.docx 投标函 书面声明函.docx 投标人应提交的相关资格证明材料 书面承诺函.docx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无重大违法记录证明</w:t>
            </w:r>
          </w:p>
        </w:tc>
        <w:tc>
          <w:tcPr>
            <w:tcW w:type="dxa" w:w="3322"/>
          </w:tcPr>
          <w:p>
            <w:pPr>
              <w:pStyle w:val="null3"/>
            </w:pPr>
            <w:r>
              <w:rPr>
                <w:rFonts w:ascii="仿宋_GB2312" w:hAnsi="仿宋_GB2312" w:cs="仿宋_GB2312" w:eastAsia="仿宋_GB2312"/>
              </w:rPr>
              <w:t xml:space="preserve"> 供应商出具本企业参加政府采购活动前三年内经营活动中没有重大违法记录的书面声明。供应商需在项目电子化交易系统中按要求上传相应证明文件并进行电子签章。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响应商认为需要提交的其他资料.docx 书面声明函.docx 投标人应提交的相关资格证明材料 书面承诺函.docx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 xml:space="preserve"> 《政府采购促进中小企业发展管理办法》（财库〔2020〕46号）</w:t>
            </w:r>
          </w:p>
        </w:tc>
        <w:tc>
          <w:tcPr>
            <w:tcW w:type="dxa" w:w="1661"/>
          </w:tcPr>
          <w:p>
            <w:pPr>
              <w:pStyle w:val="null3"/>
            </w:pPr>
            <w:r>
              <w:rPr>
                <w:rFonts w:ascii="仿宋_GB2312" w:hAnsi="仿宋_GB2312" w:cs="仿宋_GB2312" w:eastAsia="仿宋_GB2312"/>
              </w:rPr>
              <w:t>响应商认为需要提交的其他资料.docx 残疾人福利性单位声明函 中小企业声明函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残疾人福利性单位声明函</w:t>
            </w:r>
          </w:p>
        </w:tc>
        <w:tc>
          <w:tcPr>
            <w:tcW w:type="dxa" w:w="3322"/>
          </w:tcPr>
          <w:p>
            <w:pPr>
              <w:pStyle w:val="null3"/>
            </w:pPr>
            <w:r>
              <w:rPr>
                <w:rFonts w:ascii="仿宋_GB2312" w:hAnsi="仿宋_GB2312" w:cs="仿宋_GB2312" w:eastAsia="仿宋_GB2312"/>
              </w:rPr>
              <w:t xml:space="preserve"> 《关于促进残疾人就业政府采购政策的通知》（财库〔2017〕141号）</w:t>
            </w:r>
          </w:p>
        </w:tc>
        <w:tc>
          <w:tcPr>
            <w:tcW w:type="dxa" w:w="1661"/>
          </w:tcPr>
          <w:p>
            <w:pPr>
              <w:pStyle w:val="null3"/>
            </w:pPr>
            <w:r>
              <w:rPr>
                <w:rFonts w:ascii="仿宋_GB2312" w:hAnsi="仿宋_GB2312" w:cs="仿宋_GB2312" w:eastAsia="仿宋_GB2312"/>
              </w:rPr>
              <w:t>响应商认为需要提交的其他资料.docx 残疾人福利性单位声明函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监狱企业的证明文件</w:t>
            </w:r>
          </w:p>
        </w:tc>
        <w:tc>
          <w:tcPr>
            <w:tcW w:type="dxa" w:w="3322"/>
          </w:tcPr>
          <w:p>
            <w:pPr>
              <w:pStyle w:val="null3"/>
            </w:pPr>
            <w:r>
              <w:rPr>
                <w:rFonts w:ascii="仿宋_GB2312" w:hAnsi="仿宋_GB2312" w:cs="仿宋_GB2312" w:eastAsia="仿宋_GB2312"/>
              </w:rPr>
              <w:t xml:space="preserve"> 《关于政府采购支持监狱企业发展有关问题的通知》（财库〔2014〕68号）</w:t>
            </w:r>
          </w:p>
        </w:tc>
        <w:tc>
          <w:tcPr>
            <w:tcW w:type="dxa" w:w="1661"/>
          </w:tcPr>
          <w:p>
            <w:pPr>
              <w:pStyle w:val="null3"/>
            </w:pPr>
            <w:r>
              <w:rPr>
                <w:rFonts w:ascii="仿宋_GB2312" w:hAnsi="仿宋_GB2312" w:cs="仿宋_GB2312" w:eastAsia="仿宋_GB2312"/>
              </w:rPr>
              <w:t>响应商认为需要提交的其他资料.docx 监狱企业的证明文件 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库（2026）2号关于推动解决政府采购异常低价问题的通知文件。投标人投标报价低于采购项目最高限价45%的，应随投标文件提供项目具体成本测算等与报价合理性相关的书面说明及必要的证明材料，包括但不限于原材料成本、人工成本、制造费用等。 2.投标人提交的相关说明和证明材料，应当加盖投标人（法定名称）电子印章，通过项目电子化交易系统进行提交，投标人不能证明其投标报价合理性的，评标委员会应当将其投标文件作为无效处理。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响应商认为需要提交的其他资料.docx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投标文件承诺、签署、签章、投标文件内容及有效期等要求</w:t>
            </w:r>
          </w:p>
        </w:tc>
        <w:tc>
          <w:tcPr>
            <w:tcW w:type="dxa" w:w="3322"/>
          </w:tcPr>
          <w:p>
            <w:pPr>
              <w:pStyle w:val="null3"/>
            </w:pPr>
            <w:r>
              <w:rPr>
                <w:rFonts w:ascii="仿宋_GB2312" w:hAnsi="仿宋_GB2312" w:cs="仿宋_GB2312" w:eastAsia="仿宋_GB2312"/>
              </w:rPr>
              <w:t xml:space="preserve"> 均按投标文件要求承诺、签字、盖章，投标文件内容及有效期要求符合招标文件要求</w:t>
            </w:r>
          </w:p>
        </w:tc>
        <w:tc>
          <w:tcPr>
            <w:tcW w:type="dxa" w:w="1661"/>
          </w:tcPr>
          <w:p>
            <w:pPr>
              <w:pStyle w:val="null3"/>
            </w:pPr>
            <w:r>
              <w:rPr>
                <w:rFonts w:ascii="仿宋_GB2312" w:hAnsi="仿宋_GB2312" w:cs="仿宋_GB2312" w:eastAsia="仿宋_GB2312"/>
              </w:rPr>
              <w:t>响应商认为需要提交的其他资料.docx 开标一览表 投标方案.docx 中小企业声明函 投标人应提交的相关资格证明材料 书面承诺函.docx 分项报价表.docx 投标函 残疾人福利性单位声明函 书面声明函.docx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投标文件封面、投标函、项目单位、项目名称、项目编号等信息</w:t>
            </w:r>
          </w:p>
        </w:tc>
        <w:tc>
          <w:tcPr>
            <w:tcW w:type="dxa" w:w="3322"/>
          </w:tcPr>
          <w:p>
            <w:pPr>
              <w:pStyle w:val="null3"/>
            </w:pPr>
            <w:r>
              <w:rPr>
                <w:rFonts w:ascii="仿宋_GB2312" w:hAnsi="仿宋_GB2312" w:cs="仿宋_GB2312" w:eastAsia="仿宋_GB2312"/>
              </w:rPr>
              <w:t xml:space="preserve"> 均无遗漏，且与所投项目单位、项目名称、项目编号等信息一致。</w:t>
            </w:r>
          </w:p>
        </w:tc>
        <w:tc>
          <w:tcPr>
            <w:tcW w:type="dxa" w:w="1661"/>
          </w:tcPr>
          <w:p>
            <w:pPr>
              <w:pStyle w:val="null3"/>
            </w:pPr>
            <w:r>
              <w:rPr>
                <w:rFonts w:ascii="仿宋_GB2312" w:hAnsi="仿宋_GB2312" w:cs="仿宋_GB2312" w:eastAsia="仿宋_GB2312"/>
              </w:rPr>
              <w:t>响应商认为需要提交的其他资料.docx 开标一览表 投标方案.docx 中小企业声明函 投标人应提交的相关资格证明材料 书面承诺函.docx 分项报价表.docx 投标函 残疾人福利性单位声明函 书面声明函.docx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报价一览表</w:t>
            </w:r>
          </w:p>
        </w:tc>
        <w:tc>
          <w:tcPr>
            <w:tcW w:type="dxa" w:w="3322"/>
          </w:tcPr>
          <w:p>
            <w:pPr>
              <w:pStyle w:val="null3"/>
            </w:pPr>
            <w:r>
              <w:rPr>
                <w:rFonts w:ascii="仿宋_GB2312" w:hAnsi="仿宋_GB2312" w:cs="仿宋_GB2312" w:eastAsia="仿宋_GB2312"/>
              </w:rPr>
              <w:t xml:space="preserve"> （1）投标报价符合唯一性要求：（2）报价一览表填写符合要求；（3）计量单位、报价货币均符合采购文件要求；（4）未超出采购预算或采购文件规定的最高限价。</w:t>
            </w:r>
          </w:p>
        </w:tc>
        <w:tc>
          <w:tcPr>
            <w:tcW w:type="dxa" w:w="1661"/>
          </w:tcPr>
          <w:p>
            <w:pPr>
              <w:pStyle w:val="null3"/>
            </w:pPr>
            <w:r>
              <w:rPr>
                <w:rFonts w:ascii="仿宋_GB2312" w:hAnsi="仿宋_GB2312" w:cs="仿宋_GB2312" w:eastAsia="仿宋_GB2312"/>
              </w:rPr>
              <w:t>响应商认为需要提交的其他资料.docx 开标一览表 分项报价表.docx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交货期及交货地点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响应商认为需要提交的其他资料.docx 开标一览表 标的清单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招标文件或法规明确规定投标无效的事项</w:t>
            </w:r>
          </w:p>
        </w:tc>
        <w:tc>
          <w:tcPr>
            <w:tcW w:type="dxa" w:w="3322"/>
          </w:tcPr>
          <w:p>
            <w:pPr>
              <w:pStyle w:val="null3"/>
            </w:pPr>
            <w:r>
              <w:rPr>
                <w:rFonts w:ascii="仿宋_GB2312" w:hAnsi="仿宋_GB2312" w:cs="仿宋_GB2312" w:eastAsia="仿宋_GB2312"/>
              </w:rPr>
              <w:t xml:space="preserve"> 没有不符合招标文件规定的被视为无效响应的其他条款。</w:t>
            </w:r>
          </w:p>
        </w:tc>
        <w:tc>
          <w:tcPr>
            <w:tcW w:type="dxa" w:w="1661"/>
          </w:tcPr>
          <w:p>
            <w:pPr>
              <w:pStyle w:val="null3"/>
            </w:pPr>
            <w:r>
              <w:rPr>
                <w:rFonts w:ascii="仿宋_GB2312" w:hAnsi="仿宋_GB2312" w:cs="仿宋_GB2312" w:eastAsia="仿宋_GB2312"/>
              </w:rPr>
              <w:t>响应商认为需要提交的其他资料.docx 开标一览表 投标方案.docx 中小企业声明函 投标人应提交的相关资格证明材料 书面承诺函.docx 分项报价表.docx 投标函 残疾人福利性单位声明函 书面声明函.docx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详细评审66.00分</w:t>
            </w:r>
          </w:p>
          <w:p>
            <w:pPr>
              <w:pStyle w:val="null3"/>
            </w:pPr>
            <w:r>
              <w:rPr>
                <w:rFonts w:ascii="仿宋_GB2312" w:hAnsi="仿宋_GB2312" w:cs="仿宋_GB2312" w:eastAsia="仿宋_GB2312"/>
              </w:rPr>
              <w:t>报价得分34.00分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根据供应商提供所投产品的技术参 数及相应的证明材料赋分。完全符 合、响应招标⽂件要求，没有负偏 离计12分；带“▲”为重要指标，若 有⼀项负偏离扣1分，其他参数每 负偏离⼀项扣0.5分，扣完为⽌。 备注:参数必须提供佐证材料(包括 但不限于产品彩⻚、检测报告、功 能截图等)，未提供佐证材料或提供 的佐证材料低于招标要求时按负偏 离处理。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产品技术参数偏差表.docx</w:t>
            </w:r>
          </w:p>
        </w:tc>
      </w:tr>
      <w:tr>
        <w:tc>
          <w:tcPr>
            <w:tcW w:type="dxa" w:w="831"/>
            <w:vMerge/>
          </w:tcPr>
          <w:p/>
        </w:tc>
        <w:tc>
          <w:tcPr>
            <w:tcW w:type="dxa" w:w="1661"/>
          </w:tcPr>
          <w:p>
            <w:pPr>
              <w:pStyle w:val="null3"/>
            </w:pPr>
            <w:r>
              <w:rPr>
                <w:rFonts w:ascii="仿宋_GB2312" w:hAnsi="仿宋_GB2312" w:cs="仿宋_GB2312" w:eastAsia="仿宋_GB2312"/>
              </w:rPr>
              <w:t>项⽬理解</w:t>
            </w:r>
          </w:p>
        </w:tc>
        <w:tc>
          <w:tcPr>
            <w:tcW w:type="dxa" w:w="2492"/>
          </w:tcPr>
          <w:p>
            <w:pPr>
              <w:pStyle w:val="null3"/>
            </w:pPr>
            <w:r>
              <w:rPr>
                <w:rFonts w:ascii="仿宋_GB2312" w:hAnsi="仿宋_GB2312" w:cs="仿宋_GB2312" w:eastAsia="仿宋_GB2312"/>
              </w:rPr>
              <w:t>⼀、评审内容 根据供应商对本项⽬理解，内容包含：①现状及需求分 析；②⽅案设计思路；③项⽬重难点分析；④项⽬合理化建议。⼆、评审标准：⽅案各部分内容全⾯详细、阐述条理清晰详尽、符合本项⽬采购需求得得12分；评审内容每 缺⼀项扣3分，每项评审内容中有⼀处内容缺陷扣0.5分，扣完为⽌；（缺陷是指：内容表述简略，内容空泛或有遗漏，针对性不⾜，架构杂乱，逻辑层级条理不清，适配性不⾜）。</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项⽬主要管理⼈员</w:t>
            </w:r>
          </w:p>
        </w:tc>
        <w:tc>
          <w:tcPr>
            <w:tcW w:type="dxa" w:w="2492"/>
          </w:tcPr>
          <w:p>
            <w:pPr>
              <w:pStyle w:val="null3"/>
            </w:pPr>
            <w:r>
              <w:rPr>
                <w:rFonts w:ascii="仿宋_GB2312" w:hAnsi="仿宋_GB2312" w:cs="仿宋_GB2312" w:eastAsia="仿宋_GB2312"/>
              </w:rPr>
              <w:t>团队⼈员：①项⽬管理⼈员1⼈：具备计算机技术与软件专业技术资格证书（信息系统项⽬管理师专业），得2分。 ②⽹络技术1⼈：具备计算机技术与软件专业技术资格证书（⽹络⼯程师证书专业），得1分。 ③安全技术1⼈：具备计算机技术与软件专业技术资格证书（信息安全⼯程师专业） 得1分。 （以上⼈员提供证书，要求证书清晰可辨，复印件或扫描件加盖公章，提供资料不满⾜要求则得0分）。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针对本项⽬提供完整的项⽬实施⽅案包含：①项⽬总体实施⽅案；②实施步骤、进度计划和保证措施；③项⽬实施安全控制⽅案；④质量保障措施；⑤⼈员配 备。 ⼆、评审标准：⽅案各部分内容全⾯详细、阐述条理清晰详尽、⼈员配备完全满⾜项⽬交货需求得12分；评审内容每缺⼀项扣2.4分，每项评审内容中有⼀处内容缺陷扣0.4分，扣完为⽌；（缺陷是指：内容表述简略，流程脱节，前后逻辑⽭盾，针对性不⾜，可⾏性研判不⾜，措施不具体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⼀、评审内容根据本批次实际需求 、保修及售后服务要求提供售后服 务。内容包含：①售后服务体系； ②售后服务内容；③售后服务措施 ；④服务⼈员保障及故障响应时间 ；⑤售后服务承诺； ⼆、评审标准 ：⽅案各部分内容全⾯详细、阐述 条理清晰详尽、措施得当，承诺完 善符合本项⽬采购需求，得12分； 评审内容每缺⼀项扣2.4分，评审 内容中有⼀处内容缺陷扣0.4分， 扣完为⽌；（缺陷是指：内容表述 简略，响应模糊，服务内容不全， 针对性不⾜，反馈渠道单⼀，问题 难解决等情形）。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⼀、评审内容根据本批次实际需求 、培训要求。内容包含：①培训内 容及⽬标；②培训⼈员配置及培训 内容及⽅式； ⼆、评审标准：⽅案 各部分内容全⾯详细、阐述条理清 晰详尽、符合本项⽬采购需求，得 满分2分；评审内容每缺⼀项扣1分 ，评审内容中有⼀处内容缺陷扣0. 25分，扣完为⽌；（缺陷是指：内 容表述简略，⽬标设定空泛，针对 性不⾜，效果追踪缺失等情形）。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⼀、评审内容根据可能出现突发事 件如整库宕机或整体瘫痪、数据丢 失或消息堆积、存储故障、数据严 重不⼀致、全库雪崩锁死、中间件 或数据库被⼊侵等。 ①突发应急事 件的处理⽅案；②响应的时效性保 证措施；③重⼤项⽬⽀持⽅案；④ 应急配合服务。 ⼆、评审标准：⽅ 案各部分内容全⾯详细、阐述条理 清晰详尽、符合本项⽬采购需求， 得10分；评审内容每缺⼀项扣2.5 分，每项评审内容中有⼀处内容缺 陷扣0.5分，扣完为⽌；（缺陷是 指：内容表述简略，处置流程脱节 ，责任不明确，关键环节有遗漏， ⽀撑条件不⾜等情形）。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响应商认为需要提交的其他资料.docx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 2022年1⽉1 ⽇以来类 似项⽬业绩（以合同签订⽇期为准 ），每份合格业绩合同计1分，满 分2分。 备注：需提供业绩合同复 印件，并加盖投标⼈公章，以上两 种证明材料同时提供⽅可得分，否 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响应商认为需要提交的其他资料.docx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投标报价为评标基准价，其价格分为满分。其他投标人的价格分统一按照下列公式计算：投标报价得分＝（评标基准价/投标报价）×34（注最低报价不是中标的唯一依据。因落实政府采购政策进行价格调整的，以调整后的价格参与评审。）</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响应商认为需要提交的其他资料.docx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响应商认为需要提交的其他资料.docx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详见附件：书面承诺函.docx</w:t>
      </w:r>
    </w:p>
    <w:p>
      <w:pPr>
        <w:pStyle w:val="null3"/>
        <w:ind w:firstLine="960"/>
      </w:pPr>
      <w:r>
        <w:rPr>
          <w:rFonts w:ascii="仿宋_GB2312" w:hAnsi="仿宋_GB2312" w:cs="仿宋_GB2312" w:eastAsia="仿宋_GB2312"/>
        </w:rPr>
        <w:t>详见附件：书面声明函.docx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详见附件：响应商认为需要提交的其他资料.docx</w:t>
      </w:r>
    </w:p>
    <w:p>
      <w:pPr>
        <w:pStyle w:val="null3"/>
        <w:ind w:firstLine="960"/>
      </w:pPr>
      <w:r>
        <w:rPr>
          <w:rFonts w:ascii="仿宋_GB2312" w:hAnsi="仿宋_GB2312" w:cs="仿宋_GB2312" w:eastAsia="仿宋_GB2312"/>
        </w:rPr>
        <w:t>详见附件：产品技术参数偏差表.docx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详见附件：合同模板6.11.docx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