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版本号：HZJ2026-CS--01020260825001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三原高新区创新三路、高新四路、绿草皮围挡工程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HZJ2026-CS--010</w:t>
      </w:r>
      <w:r>
        <w:br/>
      </w:r>
      <w:r>
        <w:br/>
      </w:r>
      <w:r>
        <w:br/>
      </w:r>
    </w:p>
    <w:p>
      <w:pPr>
        <w:pStyle w:val="null3"/>
        <w:jc w:val="center"/>
        <w:outlineLvl w:val="2"/>
      </w:pPr>
      <w:r>
        <w:rPr>
          <w:rFonts w:ascii="仿宋_GB2312" w:hAnsi="仿宋_GB2312" w:cs="仿宋_GB2312" w:eastAsia="仿宋_GB2312"/>
          <w:sz w:val="28"/>
          <w:b/>
        </w:rPr>
        <w:t>三原高新技术产业开发区管理委员会</w:t>
      </w:r>
    </w:p>
    <w:p>
      <w:pPr>
        <w:pStyle w:val="null3"/>
        <w:jc w:val="center"/>
        <w:outlineLvl w:val="2"/>
      </w:pPr>
      <w:r>
        <w:rPr>
          <w:rFonts w:ascii="仿宋_GB2312" w:hAnsi="仿宋_GB2312" w:cs="仿宋_GB2312" w:eastAsia="仿宋_GB2312"/>
          <w:sz w:val="28"/>
          <w:b/>
        </w:rPr>
        <w:t>华智建项目管理有限公司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华智建项目管理有限公司</w:t>
      </w:r>
      <w:r>
        <w:rPr>
          <w:rFonts w:ascii="仿宋_GB2312" w:hAnsi="仿宋_GB2312" w:cs="仿宋_GB2312" w:eastAsia="仿宋_GB2312"/>
        </w:rPr>
        <w:t>（以下简称“代理机构”）受</w:t>
      </w:r>
      <w:r>
        <w:rPr>
          <w:rFonts w:ascii="仿宋_GB2312" w:hAnsi="仿宋_GB2312" w:cs="仿宋_GB2312" w:eastAsia="仿宋_GB2312"/>
        </w:rPr>
        <w:t>三原高新技术产业开发区管理委员会</w:t>
      </w:r>
      <w:r>
        <w:rPr>
          <w:rFonts w:ascii="仿宋_GB2312" w:hAnsi="仿宋_GB2312" w:cs="仿宋_GB2312" w:eastAsia="仿宋_GB2312"/>
        </w:rPr>
        <w:t>委托，拟对</w:t>
      </w:r>
      <w:r>
        <w:rPr>
          <w:rFonts w:ascii="仿宋_GB2312" w:hAnsi="仿宋_GB2312" w:cs="仿宋_GB2312" w:eastAsia="仿宋_GB2312"/>
        </w:rPr>
        <w:t>三原高新区创新三路、高新四路、绿草皮围挡工程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HZJ2026-CS--010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三原高新区创新三路、高新四路、绿草皮围挡工程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本项目为三原高新区创新三路、高新四路绿草皮围挡工程，围挡总施工长度 4283.203 米，围挡高度 4 米，采用钢结构围挡，设置 C15 素混凝土垫层、C30 混凝土预埋层；围挡主梁采用 100×3mm 镀锌圆管，框架为 40×60×2.5mm 镀锌方管，基层为 2mm 镀锌瓦楞板，外覆 3.0 背胶加密人工草坪饰面。项目实施后可规范施工现场，抑制扬尘，美化市容环境，提升高新区城市形象。项目预算 3511787.40 元，建设地点位于三原高新区创新三路、高新四路。</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采购包1（三原高新区创新三路、高新四路、绿草皮围挡工程（一标段））：属于专门面向中小企业采购。</w:t>
      </w:r>
    </w:p>
    <w:p>
      <w:pPr>
        <w:pStyle w:val="null3"/>
      </w:pPr>
      <w:r>
        <w:rPr>
          <w:rFonts w:ascii="仿宋_GB2312" w:hAnsi="仿宋_GB2312" w:cs="仿宋_GB2312" w:eastAsia="仿宋_GB2312"/>
        </w:rPr>
        <w:t>采购包2（三原高新区创新三路、高新四路、绿草皮围挡工程（二标段））：属于专门面向中小企业采购。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1、营业执照及主体：独立承担民事责任的法人或其他组织有效的营业执照(或统一社会信用代码的营业执照)等相应证明文件，自然人的提供身份证明文件</w:t>
      </w:r>
    </w:p>
    <w:p>
      <w:pPr>
        <w:pStyle w:val="null3"/>
      </w:pPr>
      <w:r>
        <w:rPr>
          <w:rFonts w:ascii="仿宋_GB2312" w:hAnsi="仿宋_GB2312" w:cs="仿宋_GB2312" w:eastAsia="仿宋_GB2312"/>
        </w:rPr>
        <w:t>2、法定代表人授权委托书：法定代表人或负责人参加投标时，提供本人身份证，并与营业执照中法定代表人或负责人信息相符;授权代表参加投标时，提供援权书和被授权人身份证</w:t>
      </w:r>
    </w:p>
    <w:p>
      <w:pPr>
        <w:pStyle w:val="null3"/>
      </w:pPr>
      <w:r>
        <w:rPr>
          <w:rFonts w:ascii="仿宋_GB2312" w:hAnsi="仿宋_GB2312" w:cs="仿宋_GB2312" w:eastAsia="仿宋_GB2312"/>
        </w:rPr>
        <w:t>3、资质要求：具备市政公用工程施工总承包三级(含三级)及以上资质。具备有效的安全生产许可证</w:t>
      </w:r>
    </w:p>
    <w:p>
      <w:pPr>
        <w:pStyle w:val="null3"/>
      </w:pPr>
      <w:r>
        <w:rPr>
          <w:rFonts w:ascii="仿宋_GB2312" w:hAnsi="仿宋_GB2312" w:cs="仿宋_GB2312" w:eastAsia="仿宋_GB2312"/>
        </w:rPr>
        <w:t>4、拟派项⽬负责⼈：具备市政公⽤⼯程专业⼆级及以上注册建造师执业资格，并具备相应有效的安全⽣产考核合格证书，须在本单位注册，且未担任其他在建⼯程项目的项目经理（提供项⽬经理⽆在建⼯程承诺书）</w:t>
      </w:r>
    </w:p>
    <w:p>
      <w:pPr>
        <w:pStyle w:val="null3"/>
      </w:pPr>
      <w:r>
        <w:rPr>
          <w:rFonts w:ascii="仿宋_GB2312" w:hAnsi="仿宋_GB2312" w:cs="仿宋_GB2312" w:eastAsia="仿宋_GB2312"/>
        </w:rPr>
        <w:t>5、财务状况报告：提供2024年度或2025年度经审计的财务报告，报告须具有注册会计师⾏业统⼀监 管平台赋予的验证码(成⽴时间⾄提交投标⽂件截⽌时间不⾜⼀年的可提供成⽴后 任意时段的资产负债表)，或其开标前三个⽉内基本开⼾银⾏出具的资信证明，或 信⽤担保机构出具的投标担保函(以上三种形式的资料提供任何⼀种即可)。</w:t>
      </w:r>
    </w:p>
    <w:p>
      <w:pPr>
        <w:pStyle w:val="null3"/>
      </w:pPr>
      <w:r>
        <w:rPr>
          <w:rFonts w:ascii="仿宋_GB2312" w:hAnsi="仿宋_GB2312" w:cs="仿宋_GB2312" w:eastAsia="仿宋_GB2312"/>
        </w:rPr>
        <w:t>6、税收缴纳证明：提供开标截⽌时间前6个⽉内⾄少已缴纳1个⽉的纳税证明或完税证明（时间以税 款所属⽇期为准、税种须包含增值税或企业所得税），依法免税的单位应提供相关 证明材料</w:t>
      </w:r>
    </w:p>
    <w:p>
      <w:pPr>
        <w:pStyle w:val="null3"/>
      </w:pPr>
      <w:r>
        <w:rPr>
          <w:rFonts w:ascii="仿宋_GB2312" w:hAnsi="仿宋_GB2312" w:cs="仿宋_GB2312" w:eastAsia="仿宋_GB2312"/>
        </w:rPr>
        <w:t>7、社会保障资⾦缴纳证明：提供开标截⽌时间前6个⽉内⾄少已缴纳1个⽉的社会保障资⾦缴存单据或社保机 构开具的社会保险参保缴费情况证明，依法不需要缴纳社会保障资⾦的单位应提供 相关证明材料</w:t>
      </w:r>
    </w:p>
    <w:p>
      <w:pPr>
        <w:pStyle w:val="null3"/>
      </w:pPr>
      <w:r>
        <w:rPr>
          <w:rFonts w:ascii="仿宋_GB2312" w:hAnsi="仿宋_GB2312" w:cs="仿宋_GB2312" w:eastAsia="仿宋_GB2312"/>
        </w:rPr>
        <w:t>8、信⽤中国：不得为“信⽤中国”⽹站(http://www.creditchina.gov.cn)列⼊“失信被执⾏⼈（ ⻚⾯跳转⾄“中国执⾏信息公开⽹”http://zxgk.court.gov.cn/shixin/）、重⼤税 收违法失信主体、政府采购严重违法失信⾏为记录名单”的供应商；不得为中国政 府采购⽹(http://www.ccgp.gov.cn)“政府采购严重违法失信⾏为记录名单”中的 供应商</w:t>
      </w:r>
    </w:p>
    <w:p>
      <w:pPr>
        <w:pStyle w:val="null3"/>
      </w:pPr>
      <w:r>
        <w:rPr>
          <w:rFonts w:ascii="仿宋_GB2312" w:hAnsi="仿宋_GB2312" w:cs="仿宋_GB2312" w:eastAsia="仿宋_GB2312"/>
        </w:rPr>
        <w:t>9、⾮联合体声明：本项⽬不接受联合体投标，单位负责⼈为同⼀⼈或者存在直接控股、管理关系的不 同投标⼈，不得参加同⼀合同项下的政府采购活动（提供⾮联合体投标声明，包括 控股管理声明）</w:t>
      </w:r>
    </w:p>
    <w:p>
      <w:pPr>
        <w:pStyle w:val="null3"/>
      </w:pPr>
      <w:r>
        <w:rPr>
          <w:rFonts w:ascii="仿宋_GB2312" w:hAnsi="仿宋_GB2312" w:cs="仿宋_GB2312" w:eastAsia="仿宋_GB2312"/>
        </w:rPr>
        <w:t>10、重⼤违法声明：供应商参加采购活动近3年内经营活动中没有重⼤违法记录声明，以及未被列⼊失 信被执⾏⼈、重⼤税收违法案件当事⼈名单、政府采购严重违法失信⾏为记录名单 的书⾯声明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1、营业执照及主体资格：独⽴承担⺠事责任的法⼈或其他组织有效的营业执照（或统⼀社会信⽤代码的营业执照）等相应证明⽂件，⾃然⼈的提供⾝份证明⽂件</w:t>
      </w:r>
    </w:p>
    <w:p>
      <w:pPr>
        <w:pStyle w:val="null3"/>
      </w:pPr>
      <w:r>
        <w:rPr>
          <w:rFonts w:ascii="仿宋_GB2312" w:hAnsi="仿宋_GB2312" w:cs="仿宋_GB2312" w:eastAsia="仿宋_GB2312"/>
        </w:rPr>
        <w:t>2、法定代表⼈授权委托书：法定代表⼈或负责⼈参加投标时，提供本⼈⾝份证，并与营业执照中法定代表⼈或负责⼈信息相符；授权代表参加投标时，提供授权书和被授权⼈⾝份证</w:t>
      </w:r>
    </w:p>
    <w:p>
      <w:pPr>
        <w:pStyle w:val="null3"/>
      </w:pPr>
      <w:r>
        <w:rPr>
          <w:rFonts w:ascii="仿宋_GB2312" w:hAnsi="仿宋_GB2312" w:cs="仿宋_GB2312" w:eastAsia="仿宋_GB2312"/>
        </w:rPr>
        <w:t>3、资质要求：具备市政公⽤⼯程施⼯总承包三级（含三级）及以上资质。具备有效的安全⽣产许可证</w:t>
      </w:r>
    </w:p>
    <w:p>
      <w:pPr>
        <w:pStyle w:val="null3"/>
      </w:pPr>
      <w:r>
        <w:rPr>
          <w:rFonts w:ascii="仿宋_GB2312" w:hAnsi="仿宋_GB2312" w:cs="仿宋_GB2312" w:eastAsia="仿宋_GB2312"/>
        </w:rPr>
        <w:t>4、项目经理要求：具备市政公⽤⼯程专业⼆级及以上注册建造师执业资格，并具备相应有效的安全⽣产考核合格证书，须在本单位注册，且未担任其他在建⼯程项⽬的项⽬经理（提供项⽬经理⽆在建⼯程承诺书）</w:t>
      </w:r>
    </w:p>
    <w:p>
      <w:pPr>
        <w:pStyle w:val="null3"/>
      </w:pPr>
      <w:r>
        <w:rPr>
          <w:rFonts w:ascii="仿宋_GB2312" w:hAnsi="仿宋_GB2312" w:cs="仿宋_GB2312" w:eastAsia="仿宋_GB2312"/>
        </w:rPr>
        <w:t>5、财务状况报告：提供2024年度或2025年度经审计的财务报告，报告须具有注册会计师⾏业统⼀监管平台赋予的验证码(成⽴时间⾄提交投标⽂件截⽌时间不⾜⼀年的可提供成⽴后任意时段的资产负债表)，或其开标前三个⽉内基本开⼾银⾏出具的资信证明，或信⽤担保机构出具的投标担保函(以上三种形式的资料提供任何⼀种即可)。</w:t>
      </w:r>
    </w:p>
    <w:p>
      <w:pPr>
        <w:pStyle w:val="null3"/>
      </w:pPr>
      <w:r>
        <w:rPr>
          <w:rFonts w:ascii="仿宋_GB2312" w:hAnsi="仿宋_GB2312" w:cs="仿宋_GB2312" w:eastAsia="仿宋_GB2312"/>
        </w:rPr>
        <w:t>6、税收缴纳证明：提供开标截⽌时间前6个⽉内⾄少已缴纳1个⽉的纳税证明或完税证明（时间以税款所属⽇期为准、税种须包含增值税或企业所得税），依法免税的单位应提供相关证明材料</w:t>
      </w:r>
    </w:p>
    <w:p>
      <w:pPr>
        <w:pStyle w:val="null3"/>
      </w:pPr>
      <w:r>
        <w:rPr>
          <w:rFonts w:ascii="仿宋_GB2312" w:hAnsi="仿宋_GB2312" w:cs="仿宋_GB2312" w:eastAsia="仿宋_GB2312"/>
        </w:rPr>
        <w:t>7、社会保障资⾦缴纳证明：提供开标截⽌时间前6个⽉内⾄少已缴纳1个⽉的社会保障资⾦缴存单据或社保机 构开具的社会保险参保缴费情况证明，依法不需要缴纳社会保障资⾦的单位应提供 相关证明材料</w:t>
      </w:r>
    </w:p>
    <w:p>
      <w:pPr>
        <w:pStyle w:val="null3"/>
      </w:pPr>
      <w:r>
        <w:rPr>
          <w:rFonts w:ascii="仿宋_GB2312" w:hAnsi="仿宋_GB2312" w:cs="仿宋_GB2312" w:eastAsia="仿宋_GB2312"/>
        </w:rPr>
        <w:t>8、信⽤中国：不得为“信⽤中国”⽹站(http://www.creditchina.gov.cn)列⼊“失信被执⾏⼈（ ⻚⾯跳转⾄“中国执⾏信息公开⽹”http://zxgk.court.gov.cn/shixin/）、重⼤税 收违法失信主体、政府采购严重违法失信⾏为记录名单”的供应商；不得为中国政 府采购⽹(http://www.ccgp.gov.cn)“政府采购严重违法失信⾏为记录名单”中的 供应商</w:t>
      </w:r>
    </w:p>
    <w:p>
      <w:pPr>
        <w:pStyle w:val="null3"/>
      </w:pPr>
      <w:r>
        <w:rPr>
          <w:rFonts w:ascii="仿宋_GB2312" w:hAnsi="仿宋_GB2312" w:cs="仿宋_GB2312" w:eastAsia="仿宋_GB2312"/>
        </w:rPr>
        <w:t>9、⾮联合体声明：本项⽬不接受联合体投标，单位负责⼈为同⼀⼈或者存在直接控股、管理关系的不 同投标⼈，不得参加同⼀合同项下的政府采购活动（提供⾮联合体投标声明，包括 控股管理声明）</w:t>
      </w:r>
    </w:p>
    <w:p>
      <w:pPr>
        <w:pStyle w:val="null3"/>
      </w:pPr>
      <w:r>
        <w:rPr>
          <w:rFonts w:ascii="仿宋_GB2312" w:hAnsi="仿宋_GB2312" w:cs="仿宋_GB2312" w:eastAsia="仿宋_GB2312"/>
        </w:rPr>
        <w:t>10、重⼤违法声明：供应商参加采购活动近3年内经营活动中没有重⼤违法记录声明，以及未被列⼊失 信被执⾏⼈、重⼤税收违法案件当事⼈名单、政府采购严重违法失信⾏为记录名单 的书⾯声明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三原高新技术产业开发区管理委员会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陕西省咸阳市三原县冶金大道81号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029-32288662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华智建项目管理有限公司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陕西省西安市莲湖区陕西省西安市莲湖区丰庆路48号1幢308室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13325304067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采购包1：1,239,558.29元</w:t>
            </w:r>
          </w:p>
          <w:p>
            <w:pPr>
              <w:pStyle w:val="null3"/>
            </w:pPr>
            <w:r>
              <w:rPr>
                <w:rFonts w:ascii="仿宋_GB2312" w:hAnsi="仿宋_GB2312" w:cs="仿宋_GB2312" w:eastAsia="仿宋_GB2312"/>
              </w:rPr>
              <w:t>采购包2：2,272,229.11元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国家计委《关于印发〈招标代理服务收费管理暂行办法〉的通知》（计价格〔2002〕1980号）及国家发展改革委办公厅《关于招标代理服务收费有关问题的通知》（发改办价格〔2003〕857号）</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三原高新技术产业开发区管理委员会</w:t>
      </w:r>
      <w:r>
        <w:rPr>
          <w:rFonts w:ascii="仿宋_GB2312" w:hAnsi="仿宋_GB2312" w:cs="仿宋_GB2312" w:eastAsia="仿宋_GB2312"/>
        </w:rPr>
        <w:t>和</w:t>
      </w:r>
      <w:r>
        <w:rPr>
          <w:rFonts w:ascii="仿宋_GB2312" w:hAnsi="仿宋_GB2312" w:cs="仿宋_GB2312" w:eastAsia="仿宋_GB2312"/>
        </w:rPr>
        <w:t>华智建项目管理有限公司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三原高新技术产业开发区管理委员会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华智建项目管理有限公司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三原高新技术产业开发区管理委员会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华智建项目管理有限公司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归甲方所有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项目全部施工内容完成，工程材料规格、施工工艺、实体质量、工程量满足采购文件、合同及国家现行相关规范标准；竣工资料齐全完整，外观质量合格，无松动破损缺陷，达到正常使用要求。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项目全部施工内容完成，工程材料规格、施工工艺、实体质量、工程量满足采购文件、合同及国家现行相关规范标准；竣工资料齐全完整，外观质量合格，无松动破损缺陷，达到正常使用要求。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联系人：吴工</w:t>
      </w:r>
    </w:p>
    <w:p>
      <w:pPr>
        <w:pStyle w:val="null3"/>
      </w:pPr>
      <w:r>
        <w:rPr>
          <w:rFonts w:ascii="仿宋_GB2312" w:hAnsi="仿宋_GB2312" w:cs="仿宋_GB2312" w:eastAsia="仿宋_GB2312"/>
        </w:rPr>
        <w:t>联系电话：13325304067</w:t>
      </w:r>
    </w:p>
    <w:p>
      <w:pPr>
        <w:pStyle w:val="null3"/>
      </w:pPr>
      <w:r>
        <w:rPr>
          <w:rFonts w:ascii="仿宋_GB2312" w:hAnsi="仿宋_GB2312" w:cs="仿宋_GB2312" w:eastAsia="仿宋_GB2312"/>
        </w:rPr>
        <w:t>地址：陕西省西安市莲湖区陕西省西安市莲湖区丰庆路48号1幢308室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1,239,558.29</w:t>
      </w:r>
    </w:p>
    <w:p>
      <w:pPr>
        <w:pStyle w:val="null3"/>
      </w:pPr>
      <w:r>
        <w:rPr>
          <w:rFonts w:ascii="仿宋_GB2312" w:hAnsi="仿宋_GB2312" w:cs="仿宋_GB2312" w:eastAsia="仿宋_GB2312"/>
        </w:rPr>
        <w:t>采购包最高限价（元）: 1,239,558.29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三原高新区创新三路、高新四路、绿草皮围挡工程（一标段）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1,239,558.29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2,272,229.11</w:t>
      </w:r>
    </w:p>
    <w:p>
      <w:pPr>
        <w:pStyle w:val="null3"/>
      </w:pPr>
      <w:r>
        <w:rPr>
          <w:rFonts w:ascii="仿宋_GB2312" w:hAnsi="仿宋_GB2312" w:cs="仿宋_GB2312" w:eastAsia="仿宋_GB2312"/>
        </w:rPr>
        <w:t>采购包最高限价（元）: 2,272,229.11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三原高新区创新三路、高新四路、绿草皮围挡工程（二标段）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2,272,229.11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标的名称：三原高新区创新三路、高新四路、绿草皮围挡工程（一标段）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4"/>
                <w:b/>
                <w:color w:val="000000"/>
              </w:rPr>
              <w:t>一、总体技术要求</w:t>
            </w:r>
          </w:p>
          <w:p>
            <w:pPr>
              <w:pStyle w:val="null3"/>
              <w:numPr>
                <w:ilvl w:val="0"/>
                <w:numId w:val="1"/>
              </w:numPr>
              <w:jc w:val="left"/>
            </w:pPr>
            <w:r>
              <w:rPr>
                <w:rFonts w:ascii="仿宋_GB2312" w:hAnsi="仿宋_GB2312" w:cs="仿宋_GB2312" w:eastAsia="仿宋_GB2312"/>
                <w:sz w:val="24"/>
                <w:color w:val="000000"/>
              </w:rPr>
              <w:t>本围挡工程整体采用钢结构体系，所有构件加工、制作、安装须符合国家、行业及地方现行相关规范、标准要求，整体结构安全可靠，具备足够强度、刚度与抗风能力，可满足户外露天长期使用工况，能够抵御区域常见风力作用，无变形、倾覆风险。</w:t>
            </w:r>
          </w:p>
          <w:p>
            <w:pPr>
              <w:pStyle w:val="null3"/>
              <w:numPr>
                <w:ilvl w:val="0"/>
                <w:numId w:val="1"/>
              </w:numPr>
              <w:jc w:val="left"/>
            </w:pPr>
            <w:r>
              <w:rPr>
                <w:rFonts w:ascii="仿宋_GB2312" w:hAnsi="仿宋_GB2312" w:cs="仿宋_GB2312" w:eastAsia="仿宋_GB2312"/>
                <w:sz w:val="24"/>
                <w:color w:val="000000"/>
              </w:rPr>
              <w:t>全部金属构件应做热镀锌防腐处理，防腐镀层均匀完整，无漏镀、起皮、鼓包、锈蚀缺陷，具备良好抗腐蚀、抗氧化性能，适应户外日晒雨淋环境，延长构件使用寿命。</w:t>
            </w:r>
          </w:p>
          <w:p>
            <w:pPr>
              <w:pStyle w:val="null3"/>
              <w:numPr>
                <w:ilvl w:val="0"/>
                <w:numId w:val="1"/>
              </w:numPr>
              <w:jc w:val="left"/>
            </w:pPr>
            <w:r>
              <w:rPr>
                <w:rFonts w:ascii="仿宋_GB2312" w:hAnsi="仿宋_GB2312" w:cs="仿宋_GB2312" w:eastAsia="仿宋_GB2312"/>
                <w:sz w:val="24"/>
                <w:color w:val="000000"/>
              </w:rPr>
              <w:t>围挡整体外观平整顺直，线形流畅，拼接缝隙均匀，整体观感整洁美观，起到环境美化、扬尘抑制、现场隔离防护作用。</w:t>
            </w:r>
          </w:p>
          <w:p>
            <w:pPr>
              <w:pStyle w:val="null3"/>
              <w:jc w:val="left"/>
              <w:outlineLvl w:val="1"/>
            </w:pPr>
            <w:r>
              <w:rPr>
                <w:rFonts w:ascii="仿宋_GB2312" w:hAnsi="仿宋_GB2312" w:cs="仿宋_GB2312" w:eastAsia="仿宋_GB2312"/>
                <w:sz w:val="24"/>
                <w:b/>
                <w:color w:val="000000"/>
              </w:rPr>
              <w:t>二、主体钢结构构件技术参数</w:t>
            </w:r>
          </w:p>
          <w:p>
            <w:pPr>
              <w:pStyle w:val="null3"/>
              <w:numPr>
                <w:ilvl w:val="0"/>
                <w:numId w:val="1"/>
              </w:numPr>
              <w:jc w:val="left"/>
            </w:pPr>
            <w:r>
              <w:rPr>
                <w:rFonts w:ascii="仿宋_GB2312" w:hAnsi="仿宋_GB2312" w:cs="仿宋_GB2312" w:eastAsia="仿宋_GB2312"/>
                <w:sz w:val="24"/>
                <w:b/>
                <w:color w:val="000000"/>
              </w:rPr>
              <w:t>主梁立柱</w:t>
            </w:r>
            <w:r>
              <w:rPr>
                <w:rFonts w:ascii="仿宋_GB2312" w:hAnsi="仿宋_GB2312" w:cs="仿宋_GB2312" w:eastAsia="仿宋_GB2312"/>
                <w:sz w:val="24"/>
                <w:color w:val="000000"/>
              </w:rPr>
              <w:t>：采用热镀锌圆管型材，管材壁厚均匀，材质力学性能满足钢结构相关规范，管材无弯曲、变形、裂纹、砂眼等质量缺陷，焊接部位焊缝饱满、牢固，焊接完成后对焊接破坏镀锌层位置做补防腐处理。</w:t>
            </w:r>
          </w:p>
          <w:p>
            <w:pPr>
              <w:pStyle w:val="null3"/>
              <w:numPr>
                <w:ilvl w:val="0"/>
                <w:numId w:val="1"/>
              </w:numPr>
              <w:jc w:val="left"/>
            </w:pPr>
            <w:r>
              <w:rPr>
                <w:rFonts w:ascii="仿宋_GB2312" w:hAnsi="仿宋_GB2312" w:cs="仿宋_GB2312" w:eastAsia="仿宋_GB2312"/>
                <w:sz w:val="24"/>
                <w:b/>
                <w:color w:val="000000"/>
              </w:rPr>
              <w:t>框架方管</w:t>
            </w:r>
            <w:r>
              <w:rPr>
                <w:rFonts w:ascii="仿宋_GB2312" w:hAnsi="仿宋_GB2312" w:cs="仿宋_GB2312" w:eastAsia="仿宋_GB2312"/>
                <w:sz w:val="24"/>
                <w:color w:val="000000"/>
              </w:rPr>
              <w:t>：采用热镀锌矩形方管，型材截面、壁厚满足结构受力要求，管材表面镀锌层完好，框架拼装后方正，对角线偏差、平面度满足规范限值，框架各节点连接牢固可靠。</w:t>
            </w:r>
          </w:p>
          <w:p>
            <w:pPr>
              <w:pStyle w:val="null3"/>
              <w:numPr>
                <w:ilvl w:val="0"/>
                <w:numId w:val="1"/>
              </w:numPr>
              <w:jc w:val="left"/>
            </w:pPr>
            <w:r>
              <w:rPr>
                <w:rFonts w:ascii="仿宋_GB2312" w:hAnsi="仿宋_GB2312" w:cs="仿宋_GB2312" w:eastAsia="仿宋_GB2312"/>
                <w:sz w:val="24"/>
                <w:b/>
                <w:color w:val="000000"/>
              </w:rPr>
              <w:t>围挡基层墙板</w:t>
            </w:r>
            <w:r>
              <w:rPr>
                <w:rFonts w:ascii="仿宋_GB2312" w:hAnsi="仿宋_GB2312" w:cs="仿宋_GB2312" w:eastAsia="仿宋_GB2312"/>
                <w:sz w:val="24"/>
                <w:color w:val="000000"/>
              </w:rPr>
              <w:t>：采用镀锌瓦楞板，板材厚度均匀，板面平整，瓦楞成型规整，无开裂、掉皮、锈蚀，板材搭接安装严密，接缝防水密闭性良好，不得出现翘边、鼓曲现象。</w:t>
            </w:r>
          </w:p>
          <w:p>
            <w:pPr>
              <w:pStyle w:val="null3"/>
              <w:jc w:val="left"/>
              <w:outlineLvl w:val="1"/>
            </w:pPr>
            <w:r>
              <w:rPr>
                <w:rFonts w:ascii="仿宋_GB2312" w:hAnsi="仿宋_GB2312" w:cs="仿宋_GB2312" w:eastAsia="仿宋_GB2312"/>
                <w:sz w:val="24"/>
                <w:b/>
                <w:color w:val="000000"/>
              </w:rPr>
              <w:t>三、围挡饰面材料（人工草皮）性能指标</w:t>
            </w:r>
          </w:p>
          <w:p>
            <w:pPr>
              <w:pStyle w:val="null3"/>
              <w:numPr>
                <w:ilvl w:val="0"/>
                <w:numId w:val="1"/>
              </w:numPr>
              <w:jc w:val="left"/>
            </w:pPr>
            <w:r>
              <w:rPr>
                <w:rFonts w:ascii="仿宋_GB2312" w:hAnsi="仿宋_GB2312" w:cs="仿宋_GB2312" w:eastAsia="仿宋_GB2312"/>
                <w:sz w:val="24"/>
                <w:color w:val="000000"/>
              </w:rPr>
              <w:t>采用背胶加密型人工草坪，草丝排布均匀，密度满足工程使用要求，背胶粘接牢固，不易开裂脱落；具备抗紫外线、耐老化、耐高低温性能，户外长期使用不易褪色、粉化、掉丝。</w:t>
            </w:r>
          </w:p>
          <w:p>
            <w:pPr>
              <w:pStyle w:val="null3"/>
              <w:numPr>
                <w:ilvl w:val="0"/>
                <w:numId w:val="1"/>
              </w:numPr>
              <w:jc w:val="left"/>
            </w:pPr>
            <w:r>
              <w:rPr>
                <w:rFonts w:ascii="仿宋_GB2312" w:hAnsi="仿宋_GB2312" w:cs="仿宋_GB2312" w:eastAsia="仿宋_GB2312"/>
                <w:sz w:val="24"/>
                <w:color w:val="000000"/>
              </w:rPr>
              <w:t>草坪铺贴平整、贴合基层板面，无起鼓、褶皱、翘边，拼接处衔接自然，整体外观连续统一，满足市容景观美化要求。</w:t>
            </w:r>
          </w:p>
          <w:p>
            <w:pPr>
              <w:pStyle w:val="null3"/>
              <w:jc w:val="left"/>
              <w:outlineLvl w:val="1"/>
            </w:pPr>
            <w:r>
              <w:rPr>
                <w:rFonts w:ascii="仿宋_GB2312" w:hAnsi="仿宋_GB2312" w:cs="仿宋_GB2312" w:eastAsia="仿宋_GB2312"/>
                <w:sz w:val="24"/>
                <w:b/>
                <w:color w:val="000000"/>
              </w:rPr>
              <w:t>四、混凝土基础预埋体系技术要求</w:t>
            </w:r>
          </w:p>
          <w:p>
            <w:pPr>
              <w:pStyle w:val="null3"/>
              <w:numPr>
                <w:ilvl w:val="0"/>
                <w:numId w:val="1"/>
              </w:numPr>
              <w:jc w:val="left"/>
            </w:pPr>
            <w:r>
              <w:rPr>
                <w:rFonts w:ascii="仿宋_GB2312" w:hAnsi="仿宋_GB2312" w:cs="仿宋_GB2312" w:eastAsia="仿宋_GB2312"/>
                <w:sz w:val="24"/>
                <w:b/>
                <w:color w:val="000000"/>
              </w:rPr>
              <w:t>垫层混凝土</w:t>
            </w:r>
            <w:r>
              <w:rPr>
                <w:rFonts w:ascii="仿宋_GB2312" w:hAnsi="仿宋_GB2312" w:cs="仿宋_GB2312" w:eastAsia="仿宋_GB2312"/>
                <w:sz w:val="24"/>
                <w:color w:val="000000"/>
              </w:rPr>
              <w:t>：采用商品混凝土浇筑，混凝土原材料、拌合、浇筑、振捣、养护均按照现行混凝土施工规范执行，垫层浇筑密实，基面平整，起到基础找平、隔离作用。</w:t>
            </w:r>
          </w:p>
          <w:p>
            <w:pPr>
              <w:pStyle w:val="null3"/>
              <w:numPr>
                <w:ilvl w:val="0"/>
                <w:numId w:val="1"/>
              </w:numPr>
              <w:jc w:val="left"/>
            </w:pPr>
            <w:r>
              <w:rPr>
                <w:rFonts w:ascii="仿宋_GB2312" w:hAnsi="仿宋_GB2312" w:cs="仿宋_GB2312" w:eastAsia="仿宋_GB2312"/>
                <w:sz w:val="24"/>
                <w:b/>
                <w:color w:val="000000"/>
              </w:rPr>
              <w:t>预埋基础混凝土</w:t>
            </w:r>
            <w:r>
              <w:rPr>
                <w:rFonts w:ascii="仿宋_GB2312" w:hAnsi="仿宋_GB2312" w:cs="仿宋_GB2312" w:eastAsia="仿宋_GB2312"/>
                <w:sz w:val="24"/>
                <w:color w:val="000000"/>
              </w:rPr>
              <w:t>：采用高强度商品混凝土，浇筑振捣密实，无蜂窝、麻面、空洞；钢结构立柱埋入基础内部锚固可靠，混凝土养护到位，保证基础整体承载力、抗拔、抗倾覆性能满足使用要求。</w:t>
            </w:r>
          </w:p>
          <w:p>
            <w:pPr>
              <w:pStyle w:val="null3"/>
              <w:numPr>
                <w:ilvl w:val="0"/>
                <w:numId w:val="1"/>
              </w:numPr>
              <w:jc w:val="left"/>
            </w:pPr>
            <w:r>
              <w:rPr>
                <w:rFonts w:ascii="仿宋_GB2312" w:hAnsi="仿宋_GB2312" w:cs="仿宋_GB2312" w:eastAsia="仿宋_GB2312"/>
                <w:sz w:val="24"/>
                <w:color w:val="000000"/>
              </w:rPr>
              <w:t>配套模板体系刚度充足，支模牢固，混凝土成型尺寸规整，拆模后构件外观质量合格。</w:t>
            </w:r>
          </w:p>
          <w:p>
            <w:pPr>
              <w:pStyle w:val="null3"/>
              <w:jc w:val="left"/>
              <w:outlineLvl w:val="1"/>
            </w:pPr>
            <w:r>
              <w:rPr>
                <w:rFonts w:ascii="仿宋_GB2312" w:hAnsi="仿宋_GB2312" w:cs="仿宋_GB2312" w:eastAsia="仿宋_GB2312"/>
                <w:sz w:val="24"/>
                <w:b/>
                <w:color w:val="000000"/>
              </w:rPr>
              <w:t>五、围挡宣传标识标语系统技术要求</w:t>
            </w:r>
          </w:p>
          <w:p>
            <w:pPr>
              <w:pStyle w:val="null3"/>
              <w:numPr>
                <w:ilvl w:val="0"/>
                <w:numId w:val="1"/>
              </w:numPr>
              <w:jc w:val="left"/>
            </w:pPr>
            <w:r>
              <w:rPr>
                <w:rFonts w:ascii="仿宋_GB2312" w:hAnsi="仿宋_GB2312" w:cs="仿宋_GB2312" w:eastAsia="仿宋_GB2312"/>
                <w:sz w:val="24"/>
                <w:color w:val="000000"/>
              </w:rPr>
              <w:t>标识底板、字体板材具备良好耐候性，抗紫外线、防水，户外长期使用不易变形、褪色、脆化。</w:t>
            </w:r>
          </w:p>
          <w:p>
            <w:pPr>
              <w:pStyle w:val="null3"/>
              <w:numPr>
                <w:ilvl w:val="0"/>
                <w:numId w:val="1"/>
              </w:numPr>
              <w:jc w:val="left"/>
            </w:pPr>
            <w:r>
              <w:rPr>
                <w:rFonts w:ascii="仿宋_GB2312" w:hAnsi="仿宋_GB2312" w:cs="仿宋_GB2312" w:eastAsia="仿宋_GB2312"/>
                <w:sz w:val="24"/>
                <w:color w:val="000000"/>
              </w:rPr>
              <w:t>标识字体、底板制作工艺精良，表面光洁；安装牢固平整，排布整齐，安装连接件防锈防腐，抗风振，不松动脱落；图案文字清晰完整，色彩均匀，满足观摩展示视觉效果。</w:t>
            </w:r>
          </w:p>
          <w:p>
            <w:pPr>
              <w:pStyle w:val="null3"/>
              <w:jc w:val="left"/>
              <w:outlineLvl w:val="1"/>
            </w:pPr>
            <w:r>
              <w:rPr>
                <w:rFonts w:ascii="仿宋_GB2312" w:hAnsi="仿宋_GB2312" w:cs="仿宋_GB2312" w:eastAsia="仿宋_GB2312"/>
                <w:sz w:val="24"/>
                <w:b/>
                <w:color w:val="000000"/>
              </w:rPr>
              <w:t>六、施工工艺与安装性能要求</w:t>
            </w:r>
          </w:p>
          <w:p>
            <w:pPr>
              <w:pStyle w:val="null3"/>
              <w:numPr>
                <w:ilvl w:val="0"/>
                <w:numId w:val="1"/>
              </w:numPr>
              <w:jc w:val="left"/>
            </w:pPr>
            <w:r>
              <w:rPr>
                <w:rFonts w:ascii="仿宋_GB2312" w:hAnsi="仿宋_GB2312" w:cs="仿宋_GB2312" w:eastAsia="仿宋_GB2312"/>
                <w:sz w:val="24"/>
                <w:color w:val="000000"/>
              </w:rPr>
              <w:t>土方开挖、回填作业应符合土方工程施工规范，回填分层压实，压实质量满足设计及规范要求。</w:t>
            </w:r>
          </w:p>
          <w:p>
            <w:pPr>
              <w:pStyle w:val="null3"/>
              <w:numPr>
                <w:ilvl w:val="0"/>
                <w:numId w:val="1"/>
              </w:numPr>
              <w:jc w:val="left"/>
            </w:pPr>
            <w:r>
              <w:rPr>
                <w:rFonts w:ascii="仿宋_GB2312" w:hAnsi="仿宋_GB2312" w:cs="仿宋_GB2312" w:eastAsia="仿宋_GB2312"/>
                <w:sz w:val="24"/>
                <w:color w:val="000000"/>
              </w:rPr>
              <w:t>钢结构构件拼装、吊装、安装工序规范，构件对位准确，连接节点紧固，整体垂直度、平整度控制在规范允许偏差范围内。</w:t>
            </w:r>
          </w:p>
          <w:p>
            <w:pPr>
              <w:pStyle w:val="null3"/>
              <w:numPr>
                <w:ilvl w:val="0"/>
                <w:numId w:val="1"/>
              </w:numPr>
              <w:jc w:val="left"/>
            </w:pPr>
            <w:r>
              <w:rPr>
                <w:rFonts w:ascii="仿宋_GB2312" w:hAnsi="仿宋_GB2312" w:cs="仿宋_GB2312" w:eastAsia="仿宋_GB2312"/>
                <w:sz w:val="24"/>
                <w:color w:val="000000"/>
              </w:rPr>
              <w:t>所有焊接作业，焊接材料与母材匹配，焊缝质量达标，清除焊渣，破损镀锌部位做防腐修补。</w:t>
            </w:r>
          </w:p>
          <w:p>
            <w:pPr>
              <w:pStyle w:val="null3"/>
              <w:numPr>
                <w:ilvl w:val="0"/>
                <w:numId w:val="1"/>
              </w:numPr>
              <w:jc w:val="left"/>
            </w:pPr>
            <w:r>
              <w:rPr>
                <w:rFonts w:ascii="仿宋_GB2312" w:hAnsi="仿宋_GB2312" w:cs="仿宋_GB2312" w:eastAsia="仿宋_GB2312"/>
                <w:sz w:val="24"/>
                <w:color w:val="000000"/>
              </w:rPr>
              <w:t>成品保护到位，施工过程不得损伤镀锌层、草皮饰面、标识构件，完工后清理施工现场建筑垃圾。</w:t>
            </w:r>
          </w:p>
          <w:p>
            <w:pPr>
              <w:pStyle w:val="null3"/>
              <w:jc w:val="left"/>
              <w:outlineLvl w:val="1"/>
            </w:pPr>
            <w:r>
              <w:rPr>
                <w:rFonts w:ascii="仿宋_GB2312" w:hAnsi="仿宋_GB2312" w:cs="仿宋_GB2312" w:eastAsia="仿宋_GB2312"/>
                <w:sz w:val="24"/>
                <w:b/>
                <w:color w:val="000000"/>
              </w:rPr>
              <w:t>七、质量、验收及售后性能要求</w:t>
            </w:r>
          </w:p>
          <w:p>
            <w:pPr>
              <w:pStyle w:val="null3"/>
              <w:numPr>
                <w:ilvl w:val="0"/>
                <w:numId w:val="1"/>
              </w:numPr>
              <w:jc w:val="left"/>
            </w:pPr>
            <w:r>
              <w:rPr>
                <w:rFonts w:ascii="仿宋_GB2312" w:hAnsi="仿宋_GB2312" w:cs="仿宋_GB2312" w:eastAsia="仿宋_GB2312"/>
                <w:sz w:val="24"/>
                <w:color w:val="000000"/>
              </w:rPr>
              <w:t>全部材料进场须提供产品质量合格证明，主要材料性能指标须满足国家及行业标准；所有工序、分部分项施工执行现行国家、陕西省、咸阳市相关工程施工及验收规范。</w:t>
            </w:r>
          </w:p>
          <w:p>
            <w:pPr>
              <w:pStyle w:val="null3"/>
              <w:numPr>
                <w:ilvl w:val="0"/>
                <w:numId w:val="1"/>
              </w:numPr>
              <w:jc w:val="left"/>
            </w:pPr>
            <w:r>
              <w:rPr>
                <w:rFonts w:ascii="仿宋_GB2312" w:hAnsi="仿宋_GB2312" w:cs="仿宋_GB2312" w:eastAsia="仿宋_GB2312"/>
                <w:sz w:val="24"/>
                <w:color w:val="000000"/>
              </w:rPr>
              <w:t>工程整体验收质量达到</w:t>
            </w:r>
            <w:r>
              <w:rPr>
                <w:rFonts w:ascii="仿宋_GB2312" w:hAnsi="仿宋_GB2312" w:cs="仿宋_GB2312" w:eastAsia="仿宋_GB2312"/>
                <w:sz w:val="24"/>
                <w:b/>
                <w:color w:val="000000"/>
              </w:rPr>
              <w:t>合格</w:t>
            </w:r>
            <w:r>
              <w:rPr>
                <w:rFonts w:ascii="仿宋_GB2312" w:hAnsi="仿宋_GB2312" w:cs="仿宋_GB2312" w:eastAsia="仿宋_GB2312"/>
                <w:sz w:val="24"/>
                <w:color w:val="000000"/>
              </w:rPr>
              <w:t>标准，完工后围挡结构稳定，饰面完好，标识完整，隔离、防尘、景观功能全部实现。</w:t>
            </w:r>
          </w:p>
          <w:p>
            <w:pPr>
              <w:pStyle w:val="null3"/>
              <w:numPr>
                <w:ilvl w:val="0"/>
                <w:numId w:val="1"/>
              </w:numPr>
              <w:jc w:val="left"/>
            </w:pPr>
            <w:r>
              <w:rPr>
                <w:rFonts w:ascii="仿宋_GB2312" w:hAnsi="仿宋_GB2312" w:cs="仿宋_GB2312" w:eastAsia="仿宋_GB2312"/>
                <w:sz w:val="24"/>
                <w:color w:val="000000"/>
              </w:rPr>
              <w:t>质保期内，针对钢结构锈蚀、构件松动、草皮脱落、标识损坏等质量问题，供应商须提供维修更换售后服务，及时处置工程缺陷。</w:t>
            </w:r>
          </w:p>
          <w:p>
            <w:pPr>
              <w:pStyle w:val="null3"/>
              <w:jc w:val="left"/>
              <w:outlineLvl w:val="1"/>
            </w:pPr>
            <w:r>
              <w:rPr>
                <w:rFonts w:ascii="仿宋_GB2312" w:hAnsi="仿宋_GB2312" w:cs="仿宋_GB2312" w:eastAsia="仿宋_GB2312"/>
                <w:sz w:val="24"/>
                <w:b/>
                <w:color w:val="000000"/>
              </w:rPr>
              <w:t>八、其他通用要求</w:t>
            </w:r>
          </w:p>
          <w:p>
            <w:pPr>
              <w:pStyle w:val="null3"/>
              <w:numPr>
                <w:ilvl w:val="0"/>
                <w:numId w:val="1"/>
              </w:numPr>
              <w:jc w:val="left"/>
            </w:pPr>
            <w:r>
              <w:rPr>
                <w:rFonts w:ascii="仿宋_GB2312" w:hAnsi="仿宋_GB2312" w:cs="仿宋_GB2312" w:eastAsia="仿宋_GB2312"/>
                <w:sz w:val="24"/>
                <w:color w:val="000000"/>
              </w:rPr>
              <w:t>工程实施全过程落实安全文明施工要求，落实冬雨季、夜间施工防护措施，做好测量定位复核，保证围挡位置、线形准确。</w:t>
            </w:r>
          </w:p>
          <w:p>
            <w:pPr>
              <w:pStyle w:val="null3"/>
              <w:numPr>
                <w:ilvl w:val="0"/>
                <w:numId w:val="1"/>
              </w:numPr>
              <w:jc w:val="left"/>
            </w:pPr>
            <w:r>
              <w:rPr>
                <w:rFonts w:ascii="仿宋_GB2312" w:hAnsi="仿宋_GB2312" w:cs="仿宋_GB2312" w:eastAsia="仿宋_GB2312"/>
                <w:sz w:val="24"/>
                <w:color w:val="000000"/>
              </w:rPr>
              <w:t>所有材料不得选用国家明令淘汰产品，不得使用回收劣质原材料，全部成品、半成品性能满足户外市政围挡长期使用条件。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标的名称：三原高新区创新三路、高新四路、绿草皮围挡工程（二标段）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1"/>
            </w:pPr>
            <w:r>
              <w:rPr>
                <w:rFonts w:ascii="仿宋_GB2312" w:hAnsi="仿宋_GB2312" w:cs="仿宋_GB2312" w:eastAsia="仿宋_GB2312"/>
                <w:sz w:val="24"/>
                <w:b/>
                <w:color w:val="000000"/>
              </w:rPr>
              <w:t>一、总体技术要求</w:t>
            </w:r>
          </w:p>
          <w:p>
            <w:pPr>
              <w:pStyle w:val="null3"/>
              <w:numPr>
                <w:ilvl w:val="0"/>
                <w:numId w:val="1"/>
              </w:numPr>
              <w:jc w:val="left"/>
            </w:pPr>
            <w:r>
              <w:rPr>
                <w:rFonts w:ascii="仿宋_GB2312" w:hAnsi="仿宋_GB2312" w:cs="仿宋_GB2312" w:eastAsia="仿宋_GB2312"/>
                <w:sz w:val="24"/>
                <w:color w:val="000000"/>
              </w:rPr>
              <w:t>本围挡工程整体采用钢结构体系，所有构件加工、制作、安装须符合国家、行业及地方现行相关规范、标准要求，整体结构安全可靠，具备足够强度、刚度与抗风能力，可满足户外露天长期使用工况，能够抵御区域常见风力作用，无变形、倾覆风险。</w:t>
            </w:r>
          </w:p>
          <w:p>
            <w:pPr>
              <w:pStyle w:val="null3"/>
              <w:numPr>
                <w:ilvl w:val="0"/>
                <w:numId w:val="1"/>
              </w:numPr>
              <w:jc w:val="left"/>
            </w:pPr>
            <w:r>
              <w:rPr>
                <w:rFonts w:ascii="仿宋_GB2312" w:hAnsi="仿宋_GB2312" w:cs="仿宋_GB2312" w:eastAsia="仿宋_GB2312"/>
                <w:sz w:val="24"/>
                <w:color w:val="000000"/>
              </w:rPr>
              <w:t>全部金属构件应做热镀锌防腐处理，防腐镀层均匀完整，无漏镀、起皮、鼓包、锈蚀缺陷，具备良好抗腐蚀、抗氧化性能，适应户外日晒雨淋环境，延长构件使用寿命。</w:t>
            </w:r>
          </w:p>
          <w:p>
            <w:pPr>
              <w:pStyle w:val="null3"/>
              <w:numPr>
                <w:ilvl w:val="0"/>
                <w:numId w:val="1"/>
              </w:numPr>
              <w:jc w:val="left"/>
            </w:pPr>
            <w:r>
              <w:rPr>
                <w:rFonts w:ascii="仿宋_GB2312" w:hAnsi="仿宋_GB2312" w:cs="仿宋_GB2312" w:eastAsia="仿宋_GB2312"/>
                <w:sz w:val="24"/>
                <w:color w:val="000000"/>
              </w:rPr>
              <w:t>围挡整体外观平整顺直，线形流畅，拼接缝隙均匀，整体观感整洁美观，起到环境美化、扬尘抑制、现场隔离防护作用。</w:t>
            </w:r>
          </w:p>
          <w:p>
            <w:pPr>
              <w:pStyle w:val="null3"/>
              <w:jc w:val="left"/>
              <w:outlineLvl w:val="1"/>
            </w:pPr>
            <w:r>
              <w:rPr>
                <w:rFonts w:ascii="仿宋_GB2312" w:hAnsi="仿宋_GB2312" w:cs="仿宋_GB2312" w:eastAsia="仿宋_GB2312"/>
                <w:sz w:val="24"/>
                <w:b/>
                <w:color w:val="000000"/>
              </w:rPr>
              <w:t>二、主体钢结构构件技术参数</w:t>
            </w:r>
          </w:p>
          <w:p>
            <w:pPr>
              <w:pStyle w:val="null3"/>
              <w:numPr>
                <w:ilvl w:val="0"/>
                <w:numId w:val="1"/>
              </w:numPr>
              <w:jc w:val="left"/>
            </w:pPr>
            <w:r>
              <w:rPr>
                <w:rFonts w:ascii="仿宋_GB2312" w:hAnsi="仿宋_GB2312" w:cs="仿宋_GB2312" w:eastAsia="仿宋_GB2312"/>
                <w:sz w:val="24"/>
                <w:b/>
                <w:color w:val="000000"/>
              </w:rPr>
              <w:t>主梁立柱</w:t>
            </w:r>
            <w:r>
              <w:rPr>
                <w:rFonts w:ascii="仿宋_GB2312" w:hAnsi="仿宋_GB2312" w:cs="仿宋_GB2312" w:eastAsia="仿宋_GB2312"/>
                <w:sz w:val="24"/>
                <w:color w:val="000000"/>
              </w:rPr>
              <w:t>：采用热镀锌圆管型材，管材壁厚均匀，材质力学性能满足钢结构相关规范，管材无弯曲、变形、裂纹、砂眼等质量缺陷，焊接部位焊缝饱满、牢固，焊接完成后对焊接破坏镀锌层位置做补防腐处理。</w:t>
            </w:r>
          </w:p>
          <w:p>
            <w:pPr>
              <w:pStyle w:val="null3"/>
              <w:numPr>
                <w:ilvl w:val="0"/>
                <w:numId w:val="1"/>
              </w:numPr>
              <w:jc w:val="left"/>
            </w:pPr>
            <w:r>
              <w:rPr>
                <w:rFonts w:ascii="仿宋_GB2312" w:hAnsi="仿宋_GB2312" w:cs="仿宋_GB2312" w:eastAsia="仿宋_GB2312"/>
                <w:sz w:val="24"/>
                <w:b/>
                <w:color w:val="000000"/>
              </w:rPr>
              <w:t>框架方管</w:t>
            </w:r>
            <w:r>
              <w:rPr>
                <w:rFonts w:ascii="仿宋_GB2312" w:hAnsi="仿宋_GB2312" w:cs="仿宋_GB2312" w:eastAsia="仿宋_GB2312"/>
                <w:sz w:val="24"/>
                <w:color w:val="000000"/>
              </w:rPr>
              <w:t>：采用热镀锌矩形方管，型材截面、壁厚满足结构受力要求，管材表面镀锌层完好，框架拼装后方正，对角线偏差、平面度满足规范限值，框架各节点连接牢固可靠。</w:t>
            </w:r>
          </w:p>
          <w:p>
            <w:pPr>
              <w:pStyle w:val="null3"/>
              <w:numPr>
                <w:ilvl w:val="0"/>
                <w:numId w:val="1"/>
              </w:numPr>
              <w:jc w:val="left"/>
            </w:pPr>
            <w:r>
              <w:rPr>
                <w:rFonts w:ascii="仿宋_GB2312" w:hAnsi="仿宋_GB2312" w:cs="仿宋_GB2312" w:eastAsia="仿宋_GB2312"/>
                <w:sz w:val="24"/>
                <w:b/>
                <w:color w:val="000000"/>
              </w:rPr>
              <w:t>围挡基层墙板</w:t>
            </w:r>
            <w:r>
              <w:rPr>
                <w:rFonts w:ascii="仿宋_GB2312" w:hAnsi="仿宋_GB2312" w:cs="仿宋_GB2312" w:eastAsia="仿宋_GB2312"/>
                <w:sz w:val="24"/>
                <w:color w:val="000000"/>
              </w:rPr>
              <w:t>：采用镀锌瓦楞板，板材厚度均匀，板面平整，瓦楞成型规整，无开裂、掉皮、锈蚀，板材搭接安装严密，接缝防水密闭性良好，不得出现翘边、鼓曲现象。</w:t>
            </w:r>
          </w:p>
          <w:p>
            <w:pPr>
              <w:pStyle w:val="null3"/>
              <w:jc w:val="left"/>
              <w:outlineLvl w:val="1"/>
            </w:pPr>
            <w:r>
              <w:rPr>
                <w:rFonts w:ascii="仿宋_GB2312" w:hAnsi="仿宋_GB2312" w:cs="仿宋_GB2312" w:eastAsia="仿宋_GB2312"/>
                <w:sz w:val="24"/>
                <w:b/>
                <w:color w:val="000000"/>
              </w:rPr>
              <w:t>三、围挡饰面材料（人工草皮）性能指标</w:t>
            </w:r>
          </w:p>
          <w:p>
            <w:pPr>
              <w:pStyle w:val="null3"/>
              <w:numPr>
                <w:ilvl w:val="0"/>
                <w:numId w:val="1"/>
              </w:numPr>
              <w:jc w:val="left"/>
            </w:pPr>
            <w:r>
              <w:rPr>
                <w:rFonts w:ascii="仿宋_GB2312" w:hAnsi="仿宋_GB2312" w:cs="仿宋_GB2312" w:eastAsia="仿宋_GB2312"/>
                <w:sz w:val="24"/>
                <w:color w:val="000000"/>
              </w:rPr>
              <w:t>采用背胶加密型人工草坪，草丝排布均匀，密度满足工程使用要求，背胶粘接牢固，不易开裂脱落；具备抗紫外线、耐老化、耐高低温性能，户外长期使用不易褪色、粉化、掉丝。</w:t>
            </w:r>
          </w:p>
          <w:p>
            <w:pPr>
              <w:pStyle w:val="null3"/>
              <w:numPr>
                <w:ilvl w:val="0"/>
                <w:numId w:val="1"/>
              </w:numPr>
              <w:jc w:val="left"/>
            </w:pPr>
            <w:r>
              <w:rPr>
                <w:rFonts w:ascii="仿宋_GB2312" w:hAnsi="仿宋_GB2312" w:cs="仿宋_GB2312" w:eastAsia="仿宋_GB2312"/>
                <w:sz w:val="24"/>
                <w:color w:val="000000"/>
              </w:rPr>
              <w:t>草坪铺贴平整、贴合基层板面，无起鼓、褶皱、翘边，拼接处衔接自然，整体外观连续统一，满足市容景观美化要求。</w:t>
            </w:r>
          </w:p>
          <w:p>
            <w:pPr>
              <w:pStyle w:val="null3"/>
              <w:jc w:val="left"/>
              <w:outlineLvl w:val="1"/>
            </w:pPr>
            <w:r>
              <w:rPr>
                <w:rFonts w:ascii="仿宋_GB2312" w:hAnsi="仿宋_GB2312" w:cs="仿宋_GB2312" w:eastAsia="仿宋_GB2312"/>
                <w:sz w:val="24"/>
                <w:b/>
                <w:color w:val="000000"/>
              </w:rPr>
              <w:t>四、混凝土基础预埋体系技术要求</w:t>
            </w:r>
          </w:p>
          <w:p>
            <w:pPr>
              <w:pStyle w:val="null3"/>
              <w:numPr>
                <w:ilvl w:val="0"/>
                <w:numId w:val="1"/>
              </w:numPr>
              <w:jc w:val="left"/>
            </w:pPr>
            <w:r>
              <w:rPr>
                <w:rFonts w:ascii="仿宋_GB2312" w:hAnsi="仿宋_GB2312" w:cs="仿宋_GB2312" w:eastAsia="仿宋_GB2312"/>
                <w:sz w:val="24"/>
                <w:b/>
                <w:color w:val="000000"/>
              </w:rPr>
              <w:t>垫层混凝土</w:t>
            </w:r>
            <w:r>
              <w:rPr>
                <w:rFonts w:ascii="仿宋_GB2312" w:hAnsi="仿宋_GB2312" w:cs="仿宋_GB2312" w:eastAsia="仿宋_GB2312"/>
                <w:sz w:val="24"/>
                <w:color w:val="000000"/>
              </w:rPr>
              <w:t>：采用商品混凝土浇筑，混凝土原材料、拌合、浇筑、振捣、养护均按照现行混凝土施工规范执行，垫层浇筑密实，基面平整，起到基础找平、隔离作用。</w:t>
            </w:r>
          </w:p>
          <w:p>
            <w:pPr>
              <w:pStyle w:val="null3"/>
              <w:numPr>
                <w:ilvl w:val="0"/>
                <w:numId w:val="1"/>
              </w:numPr>
              <w:jc w:val="left"/>
            </w:pPr>
            <w:r>
              <w:rPr>
                <w:rFonts w:ascii="仿宋_GB2312" w:hAnsi="仿宋_GB2312" w:cs="仿宋_GB2312" w:eastAsia="仿宋_GB2312"/>
                <w:sz w:val="24"/>
                <w:b/>
                <w:color w:val="000000"/>
              </w:rPr>
              <w:t>预埋基础混凝土</w:t>
            </w:r>
            <w:r>
              <w:rPr>
                <w:rFonts w:ascii="仿宋_GB2312" w:hAnsi="仿宋_GB2312" w:cs="仿宋_GB2312" w:eastAsia="仿宋_GB2312"/>
                <w:sz w:val="24"/>
                <w:color w:val="000000"/>
              </w:rPr>
              <w:t>：采用高强度商品混凝土，浇筑振捣密实，无蜂窝、麻面、空洞；钢结构立柱埋入基础内部锚固可靠，混凝土养护到位，保证基础整体承载力、抗拔、抗倾覆性能满足使用要求。</w:t>
            </w:r>
          </w:p>
          <w:p>
            <w:pPr>
              <w:pStyle w:val="null3"/>
              <w:numPr>
                <w:ilvl w:val="0"/>
                <w:numId w:val="1"/>
              </w:numPr>
              <w:jc w:val="left"/>
            </w:pPr>
            <w:r>
              <w:rPr>
                <w:rFonts w:ascii="仿宋_GB2312" w:hAnsi="仿宋_GB2312" w:cs="仿宋_GB2312" w:eastAsia="仿宋_GB2312"/>
                <w:sz w:val="24"/>
                <w:color w:val="000000"/>
              </w:rPr>
              <w:t>配套模板体系刚度充足，支模牢固，混凝土成型尺寸规整，拆模后构件外观质量合格。</w:t>
            </w:r>
          </w:p>
          <w:p>
            <w:pPr>
              <w:pStyle w:val="null3"/>
              <w:jc w:val="left"/>
              <w:outlineLvl w:val="1"/>
            </w:pPr>
            <w:r>
              <w:rPr>
                <w:rFonts w:ascii="仿宋_GB2312" w:hAnsi="仿宋_GB2312" w:cs="仿宋_GB2312" w:eastAsia="仿宋_GB2312"/>
                <w:sz w:val="24"/>
                <w:b/>
                <w:color w:val="000000"/>
              </w:rPr>
              <w:t>五、围挡宣传标识标语系统技术要求</w:t>
            </w:r>
          </w:p>
          <w:p>
            <w:pPr>
              <w:pStyle w:val="null3"/>
              <w:numPr>
                <w:ilvl w:val="0"/>
                <w:numId w:val="1"/>
              </w:numPr>
              <w:jc w:val="left"/>
            </w:pPr>
            <w:r>
              <w:rPr>
                <w:rFonts w:ascii="仿宋_GB2312" w:hAnsi="仿宋_GB2312" w:cs="仿宋_GB2312" w:eastAsia="仿宋_GB2312"/>
                <w:sz w:val="24"/>
                <w:color w:val="000000"/>
              </w:rPr>
              <w:t>标识底板、字体板材具备良好耐候性，抗紫外线、防水，户外长期使用不易变形、褪色、脆化。</w:t>
            </w:r>
          </w:p>
          <w:p>
            <w:pPr>
              <w:pStyle w:val="null3"/>
              <w:numPr>
                <w:ilvl w:val="0"/>
                <w:numId w:val="1"/>
              </w:numPr>
              <w:jc w:val="left"/>
            </w:pPr>
            <w:r>
              <w:rPr>
                <w:rFonts w:ascii="仿宋_GB2312" w:hAnsi="仿宋_GB2312" w:cs="仿宋_GB2312" w:eastAsia="仿宋_GB2312"/>
                <w:sz w:val="24"/>
                <w:color w:val="000000"/>
              </w:rPr>
              <w:t>标识字体、底板制作工艺精良，表面光洁；安装牢固平整，排布整齐，安装连接件防锈防腐，抗风振，不松动脱落；图案文字清晰完整，色彩均匀，满足观摩展示视觉效果。</w:t>
            </w:r>
          </w:p>
          <w:p>
            <w:pPr>
              <w:pStyle w:val="null3"/>
              <w:jc w:val="left"/>
              <w:outlineLvl w:val="1"/>
            </w:pPr>
            <w:r>
              <w:rPr>
                <w:rFonts w:ascii="仿宋_GB2312" w:hAnsi="仿宋_GB2312" w:cs="仿宋_GB2312" w:eastAsia="仿宋_GB2312"/>
                <w:sz w:val="24"/>
                <w:b/>
                <w:color w:val="000000"/>
              </w:rPr>
              <w:t>六、施工工艺与安装性能要求</w:t>
            </w:r>
          </w:p>
          <w:p>
            <w:pPr>
              <w:pStyle w:val="null3"/>
              <w:numPr>
                <w:ilvl w:val="0"/>
                <w:numId w:val="1"/>
              </w:numPr>
              <w:jc w:val="left"/>
            </w:pPr>
            <w:r>
              <w:rPr>
                <w:rFonts w:ascii="仿宋_GB2312" w:hAnsi="仿宋_GB2312" w:cs="仿宋_GB2312" w:eastAsia="仿宋_GB2312"/>
                <w:sz w:val="24"/>
                <w:color w:val="000000"/>
              </w:rPr>
              <w:t>土方开挖、回填作业应符合土方工程施工规范，回填分层压实，压实质量满足设计及规范要求。</w:t>
            </w:r>
          </w:p>
          <w:p>
            <w:pPr>
              <w:pStyle w:val="null3"/>
              <w:numPr>
                <w:ilvl w:val="0"/>
                <w:numId w:val="1"/>
              </w:numPr>
              <w:jc w:val="left"/>
            </w:pPr>
            <w:r>
              <w:rPr>
                <w:rFonts w:ascii="仿宋_GB2312" w:hAnsi="仿宋_GB2312" w:cs="仿宋_GB2312" w:eastAsia="仿宋_GB2312"/>
                <w:sz w:val="24"/>
                <w:color w:val="000000"/>
              </w:rPr>
              <w:t>钢结构构件拼装、吊装、安装工序规范，构件对位准确，连接节点紧固，整体垂直度、平整度控制在规范允许偏差范围内。</w:t>
            </w:r>
          </w:p>
          <w:p>
            <w:pPr>
              <w:pStyle w:val="null3"/>
              <w:numPr>
                <w:ilvl w:val="0"/>
                <w:numId w:val="1"/>
              </w:numPr>
              <w:jc w:val="left"/>
            </w:pPr>
            <w:r>
              <w:rPr>
                <w:rFonts w:ascii="仿宋_GB2312" w:hAnsi="仿宋_GB2312" w:cs="仿宋_GB2312" w:eastAsia="仿宋_GB2312"/>
                <w:sz w:val="24"/>
                <w:color w:val="000000"/>
              </w:rPr>
              <w:t>所有焊接作业，焊接材料与母材匹配，焊缝质量达标，清除焊渣，破损镀锌部位做防腐修补。</w:t>
            </w:r>
          </w:p>
          <w:p>
            <w:pPr>
              <w:pStyle w:val="null3"/>
              <w:numPr>
                <w:ilvl w:val="0"/>
                <w:numId w:val="1"/>
              </w:numPr>
              <w:jc w:val="left"/>
            </w:pPr>
            <w:r>
              <w:rPr>
                <w:rFonts w:ascii="仿宋_GB2312" w:hAnsi="仿宋_GB2312" w:cs="仿宋_GB2312" w:eastAsia="仿宋_GB2312"/>
                <w:sz w:val="24"/>
                <w:color w:val="000000"/>
              </w:rPr>
              <w:t>成品保护到位，施工过程不得损伤镀锌层、草皮饰面、标识构件，完工后清理施工现场建筑垃圾。</w:t>
            </w:r>
          </w:p>
          <w:p>
            <w:pPr>
              <w:pStyle w:val="null3"/>
              <w:jc w:val="left"/>
              <w:outlineLvl w:val="1"/>
            </w:pPr>
            <w:r>
              <w:rPr>
                <w:rFonts w:ascii="仿宋_GB2312" w:hAnsi="仿宋_GB2312" w:cs="仿宋_GB2312" w:eastAsia="仿宋_GB2312"/>
                <w:sz w:val="24"/>
                <w:b/>
                <w:color w:val="000000"/>
              </w:rPr>
              <w:t>七、质量、验收及售后性能要求</w:t>
            </w:r>
          </w:p>
          <w:p>
            <w:pPr>
              <w:pStyle w:val="null3"/>
              <w:numPr>
                <w:ilvl w:val="0"/>
                <w:numId w:val="1"/>
              </w:numPr>
              <w:jc w:val="left"/>
            </w:pPr>
            <w:r>
              <w:rPr>
                <w:rFonts w:ascii="仿宋_GB2312" w:hAnsi="仿宋_GB2312" w:cs="仿宋_GB2312" w:eastAsia="仿宋_GB2312"/>
                <w:sz w:val="24"/>
                <w:color w:val="000000"/>
              </w:rPr>
              <w:t>全部材料进场须提供产品质量合格证明，主要材料性能指标须满足国家及行业标准；所有工序、分部分项施工执行现行国家、陕西省、咸阳市相关工程施工及验收规范。</w:t>
            </w:r>
          </w:p>
          <w:p>
            <w:pPr>
              <w:pStyle w:val="null3"/>
              <w:numPr>
                <w:ilvl w:val="0"/>
                <w:numId w:val="1"/>
              </w:numPr>
              <w:jc w:val="left"/>
            </w:pPr>
            <w:r>
              <w:rPr>
                <w:rFonts w:ascii="仿宋_GB2312" w:hAnsi="仿宋_GB2312" w:cs="仿宋_GB2312" w:eastAsia="仿宋_GB2312"/>
                <w:sz w:val="24"/>
                <w:color w:val="000000"/>
              </w:rPr>
              <w:t>工程整体验收质量达到</w:t>
            </w:r>
            <w:r>
              <w:rPr>
                <w:rFonts w:ascii="仿宋_GB2312" w:hAnsi="仿宋_GB2312" w:cs="仿宋_GB2312" w:eastAsia="仿宋_GB2312"/>
                <w:sz w:val="24"/>
                <w:b/>
                <w:color w:val="000000"/>
              </w:rPr>
              <w:t>合格</w:t>
            </w:r>
            <w:r>
              <w:rPr>
                <w:rFonts w:ascii="仿宋_GB2312" w:hAnsi="仿宋_GB2312" w:cs="仿宋_GB2312" w:eastAsia="仿宋_GB2312"/>
                <w:sz w:val="24"/>
                <w:color w:val="000000"/>
              </w:rPr>
              <w:t>标准，完工后围挡结构稳定，饰面完好，标识完整，隔离、防尘、景观功能全部实现。</w:t>
            </w:r>
          </w:p>
          <w:p>
            <w:pPr>
              <w:pStyle w:val="null3"/>
              <w:numPr>
                <w:ilvl w:val="0"/>
                <w:numId w:val="1"/>
              </w:numPr>
              <w:jc w:val="left"/>
            </w:pPr>
            <w:r>
              <w:rPr>
                <w:rFonts w:ascii="仿宋_GB2312" w:hAnsi="仿宋_GB2312" w:cs="仿宋_GB2312" w:eastAsia="仿宋_GB2312"/>
                <w:sz w:val="24"/>
                <w:color w:val="000000"/>
              </w:rPr>
              <w:t>质保期内，针对钢结构锈蚀、构件松动、草皮脱落、标识损坏等质量问题，供应商须提供维修更换售后服务，及时处置工程缺陷。</w:t>
            </w:r>
          </w:p>
          <w:p>
            <w:pPr>
              <w:pStyle w:val="null3"/>
              <w:jc w:val="left"/>
              <w:outlineLvl w:val="1"/>
            </w:pPr>
            <w:r>
              <w:rPr>
                <w:rFonts w:ascii="仿宋_GB2312" w:hAnsi="仿宋_GB2312" w:cs="仿宋_GB2312" w:eastAsia="仿宋_GB2312"/>
                <w:sz w:val="24"/>
                <w:b/>
                <w:color w:val="000000"/>
              </w:rPr>
              <w:t>八、其他通用要求</w:t>
            </w:r>
          </w:p>
          <w:p>
            <w:pPr>
              <w:pStyle w:val="null3"/>
              <w:numPr>
                <w:ilvl w:val="0"/>
                <w:numId w:val="1"/>
              </w:numPr>
              <w:jc w:val="left"/>
            </w:pPr>
            <w:r>
              <w:rPr>
                <w:rFonts w:ascii="仿宋_GB2312" w:hAnsi="仿宋_GB2312" w:cs="仿宋_GB2312" w:eastAsia="仿宋_GB2312"/>
                <w:sz w:val="24"/>
                <w:color w:val="000000"/>
              </w:rPr>
              <w:t>工程实施全过程落实安全文明施工要求，落实冬雨季、夜间施工防护措施，做好测量定位复核，保证围挡位置、线形准确。</w:t>
            </w:r>
          </w:p>
          <w:p>
            <w:pPr>
              <w:pStyle w:val="null3"/>
              <w:numPr>
                <w:ilvl w:val="0"/>
                <w:numId w:val="1"/>
              </w:numPr>
              <w:jc w:val="left"/>
            </w:pPr>
            <w:r>
              <w:rPr>
                <w:rFonts w:ascii="仿宋_GB2312" w:hAnsi="仿宋_GB2312" w:cs="仿宋_GB2312" w:eastAsia="仿宋_GB2312"/>
                <w:sz w:val="24"/>
                <w:color w:val="000000"/>
              </w:rPr>
              <w:t>所有材料不得选用国家明令淘汰产品，不得使用回收劣质原材料，全部成品、半成品性能满足户外市政围挡长期使用条件。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符合国家技术规范要求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符合国家技术规范要求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方案说明书.1docx.docx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方案说明书.1docx.docx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营业执照及主体</w:t>
            </w:r>
          </w:p>
        </w:tc>
        <w:tc>
          <w:tcPr>
            <w:tcW w:type="dxa" w:w="3322"/>
          </w:tcPr>
          <w:p>
            <w:pPr>
              <w:pStyle w:val="null3"/>
            </w:pPr>
            <w:r>
              <w:rPr>
                <w:rFonts w:ascii="仿宋_GB2312" w:hAnsi="仿宋_GB2312" w:cs="仿宋_GB2312" w:eastAsia="仿宋_GB2312"/>
              </w:rPr>
              <w:t>独立承担民事责任的法人或其他组织有效的营业执照(或统一社会信用代码的营业执照)等相应证明文件，自然人的提供身份证明文件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法定代表人或负责人参加投标时，提供本人身份证，并与营业执照中法定代表人或负责人信息相符;授权代表参加投标时，提供援权书和被授权人身份证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具备市政公用工程施工总承包三级(含三级)及以上资质。具备有效的安全生产许可证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拟派项⽬负责⼈</w:t>
            </w:r>
          </w:p>
        </w:tc>
        <w:tc>
          <w:tcPr>
            <w:tcW w:type="dxa" w:w="3322"/>
          </w:tcPr>
          <w:p>
            <w:pPr>
              <w:pStyle w:val="null3"/>
            </w:pPr>
            <w:r>
              <w:rPr>
                <w:rFonts w:ascii="仿宋_GB2312" w:hAnsi="仿宋_GB2312" w:cs="仿宋_GB2312" w:eastAsia="仿宋_GB2312"/>
              </w:rPr>
              <w:t>具备市政公⽤⼯程专业⼆级及以上注册建造师执业资格，并具备相应有效的安全⽣产考核合格证书，须在本单位注册，且未担任其他在建⼯程项目的项目经理（提供项⽬经理⽆在建⼯程承诺书）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提供2024年度或2025年度经审计的财务报告，报告须具有注册会计师⾏业统⼀监 管平台赋予的验证码(成⽴时间⾄提交投标⽂件截⽌时间不⾜⼀年的可提供成⽴后 任意时段的资产负债表)，或其开标前三个⽉内基本开⼾银⾏出具的资信证明，或 信⽤担保机构出具的投标担保函(以上三种形式的资料提供任何⼀种即可)。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提供开标截⽌时间前6个⽉内⾄少已缴纳1个⽉的纳税证明或完税证明（时间以税 款所属⽇期为准、税种须包含增值税或企业所得税），依法免税的单位应提供相关 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提供开标截⽌时间前6个⽉内⾄少已缴纳1个⽉的社会保障资⾦缴存单据或社保机 构开具的社会保险参保缴费情况证明，依法不需要缴纳社会保障资⾦的单位应提供 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信⽤中国</w:t>
            </w:r>
          </w:p>
        </w:tc>
        <w:tc>
          <w:tcPr>
            <w:tcW w:type="dxa" w:w="3322"/>
          </w:tcPr>
          <w:p>
            <w:pPr>
              <w:pStyle w:val="null3"/>
            </w:pPr>
            <w:r>
              <w:rPr>
                <w:rFonts w:ascii="仿宋_GB2312" w:hAnsi="仿宋_GB2312" w:cs="仿宋_GB2312" w:eastAsia="仿宋_GB2312"/>
              </w:rPr>
              <w:t>不得为“信⽤中国”⽹站(http://www.creditchina.gov.cn)列⼊“失信被执⾏⼈（ ⻚⾯跳转⾄“中国执⾏信息公开⽹”http://zxgk.court.gov.cn/shixin/）、重⼤税 收违法失信主体、政府采购严重违法失信⾏为记录名单”的供应商；不得为中国政 府采购⽹(http://www.ccgp.gov.cn)“政府采购严重违法失信⾏为记录名单”中的 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本项⽬不接受联合体投标，单位负责⼈为同⼀⼈或者存在直接控股、管理关系的不 同投标⼈，不得参加同⼀合同项下的政府采购活动（提供⾮联合体投标声明，包括 控股管理声明）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重⼤违法声明</w:t>
            </w:r>
          </w:p>
        </w:tc>
        <w:tc>
          <w:tcPr>
            <w:tcW w:type="dxa" w:w="3322"/>
          </w:tcPr>
          <w:p>
            <w:pPr>
              <w:pStyle w:val="null3"/>
            </w:pPr>
            <w:r>
              <w:rPr>
                <w:rFonts w:ascii="仿宋_GB2312" w:hAnsi="仿宋_GB2312" w:cs="仿宋_GB2312" w:eastAsia="仿宋_GB2312"/>
              </w:rPr>
              <w:t>供应商参加采购活动近3年内经营活动中没有重⼤违法记录声明，以及未被列⼊失 信被执⾏⼈、重⼤税收违法案件当事⼈名单、政府采购严重违法失信⾏为记录名单 的书⾯声明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营业执照及主体资格</w:t>
            </w:r>
          </w:p>
        </w:tc>
        <w:tc>
          <w:tcPr>
            <w:tcW w:type="dxa" w:w="3322"/>
          </w:tcPr>
          <w:p>
            <w:pPr>
              <w:pStyle w:val="null3"/>
            </w:pPr>
            <w:r>
              <w:rPr>
                <w:rFonts w:ascii="仿宋_GB2312" w:hAnsi="仿宋_GB2312" w:cs="仿宋_GB2312" w:eastAsia="仿宋_GB2312"/>
              </w:rPr>
              <w:t>独⽴承担⺠事责任的法⼈或其他组织有效的营业执照（或统⼀社会信⽤代码的营业执照）等相应证明⽂件，⾃然⼈的提供⾝份证明⽂件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法定代表⼈或负责⼈参加投标时，提供本⼈⾝份证，并与营业执照中法定代表⼈或负责⼈信息相符；授权代表参加投标时，提供授权书和被授权⼈⾝份证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具备市政公⽤⼯程施⼯总承包三级（含三级）及以上资质。具备有效的安全⽣产许可证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具备市政公⽤⼯程专业⼆级及以上注册建造师执业资格，并具备相应有效的安全⽣产考核合格证书，须在本单位注册，且未担任其他在建⼯程项⽬的项⽬经理（提供项⽬经理⽆在建⼯程承诺书）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业统⼀监管平台赋予的验证码(成⽴时间⾄提交投标⽂件截⽌时间不⾜⼀年的可提供成⽴后任意时段的资产负债表)，或其开标前三个⽉内基本开⼾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提供开标截⽌时间前6个⽉内⾄少已缴纳1个⽉的纳税证明或完税证明（时间以税款所属⽇期为准、税种须包含增值税或企业所得税），依法免税的单位应提供相关证明材料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提供开标截⽌时间前6个⽉内⾄少已缴纳1个⽉的社会保障资⾦缴存单据或社保机 构开具的社会保险参保缴费情况证明，依法不需要缴纳社会保障资⾦的单位应提供 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信⽤中国</w:t>
            </w:r>
          </w:p>
        </w:tc>
        <w:tc>
          <w:tcPr>
            <w:tcW w:type="dxa" w:w="3322"/>
          </w:tcPr>
          <w:p>
            <w:pPr>
              <w:pStyle w:val="null3"/>
            </w:pPr>
            <w:r>
              <w:rPr>
                <w:rFonts w:ascii="仿宋_GB2312" w:hAnsi="仿宋_GB2312" w:cs="仿宋_GB2312" w:eastAsia="仿宋_GB2312"/>
              </w:rPr>
              <w:t>不得为“信⽤中国”⽹站(http://www.creditchina.gov.cn)列⼊“失信被执⾏⼈（ ⻚⾯跳转⾄“中国执⾏信息公开⽹”http://zxgk.court.gov.cn/shixin/）、重⼤税 收违法失信主体、政府采购严重违法失信⾏为记录名单”的供应商；不得为中国政 府采购⽹(http://www.ccgp.gov.cn)“政府采购严重违法失信⾏为记录名单”中的 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本项⽬不接受联合体投标，单位负责⼈为同⼀⼈或者存在直接控股、管理关系的不 同投标⼈，不得参加同⼀合同项下的政府采购活动（提供⾮联合体投标声明，包括 控股管理声明）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重⼤违法声明</w:t>
            </w:r>
          </w:p>
        </w:tc>
        <w:tc>
          <w:tcPr>
            <w:tcW w:type="dxa" w:w="3322"/>
          </w:tcPr>
          <w:p>
            <w:pPr>
              <w:pStyle w:val="null3"/>
            </w:pPr>
            <w:r>
              <w:rPr>
                <w:rFonts w:ascii="仿宋_GB2312" w:hAnsi="仿宋_GB2312" w:cs="仿宋_GB2312" w:eastAsia="仿宋_GB2312"/>
              </w:rPr>
              <w:t>供应商参加采购活动近3年内经营活动中没有重⼤违法记录声明，以及未被列⼊失 信被执⾏⼈、重⼤税收违法案件当事⼈名单、政府采购严重违法失信⾏为记录名单 的书⾯声明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施⼯⽅案</w:t>
            </w:r>
          </w:p>
        </w:tc>
        <w:tc>
          <w:tcPr>
            <w:tcW w:type="dxa" w:w="2492"/>
          </w:tcPr>
          <w:p>
            <w:pPr>
              <w:pStyle w:val="null3"/>
            </w:pPr>
            <w:r>
              <w:rPr>
                <w:rFonts w:ascii="仿宋_GB2312" w:hAnsi="仿宋_GB2312" w:cs="仿宋_GB2312" w:eastAsia="仿宋_GB2312"/>
              </w:rPr>
              <w:t>针对本项⽬提供的项⽬施⼯⽅案，内容包括但不限于①前期筹备全⾯部署②施⼯流程科 学规划及成本控制精准⾼③安全管理全程覆盖 ④⼯程质量保证措施⑤施⼯机械设备配备 ⑥劳动⼒计划及主要材料供应计划计划效评审标准：⽅案内容详细完整、针对性强、可 ⾏性⾼，符合项目实际要求。每项满分2分，缺项不得分，每项内容存在缺陷扣1分，扣完为止。 缺陷是指内容不合理、虽有内容但不完善、内容表述前后不⼀致、套⽤其他项⽬⽅案或 与项目需求不匹配及其他不利于项目实施的任意⼀种情形。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项⽬管理机构及项目经理部组成</w:t>
            </w:r>
          </w:p>
        </w:tc>
        <w:tc>
          <w:tcPr>
            <w:tcW w:type="dxa" w:w="2492"/>
          </w:tcPr>
          <w:p>
            <w:pPr>
              <w:pStyle w:val="null3"/>
            </w:pPr>
            <w:r>
              <w:rPr>
                <w:rFonts w:ascii="仿宋_GB2312" w:hAnsi="仿宋_GB2312" w:cs="仿宋_GB2312" w:eastAsia="仿宋_GB2312"/>
              </w:rPr>
              <w:t>针对本项⽬提供的项⽬管理机构及项⽬经理部组成，内容包括但不限于①项⽬管理机构 ②项⽬经理部组成③专业化项⽬经理部组建原则评审标准：⽅案内容详细完整、针对性 强、可⾏性⾼，符合项⽬实际要求。每项满分2分，缺项不得分，每项内容存在缺陷扣 1分，扣完为止。缺陷是指内容不合理、虽有内容但不完善、内容表述前后不⼀致、套⽤其他项⽬ ⽅案或与项⽬需求不匹配及其他不利于项⽬实施的任意⼀种情形。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 安全 ⽣产 的技 术组 织措 施及 应急 预案</w:t>
            </w:r>
          </w:p>
        </w:tc>
        <w:tc>
          <w:tcPr>
            <w:tcW w:type="dxa" w:w="2492"/>
          </w:tcPr>
          <w:p>
            <w:pPr>
              <w:pStyle w:val="null3"/>
            </w:pPr>
            <w:r>
              <w:rPr>
                <w:rFonts w:ascii="仿宋_GB2312" w:hAnsi="仿宋_GB2312" w:cs="仿宋_GB2312" w:eastAsia="仿宋_GB2312"/>
              </w:rPr>
              <w:t>针对本项⽬确保安全⽣产的技术组织措施及应急预案，内容包括但不限于①确保安全⽣ 产的技术组织措施②应急预案③危险源分级管控与技术防护体系④安全防护与⽂明施⼯ 措施⑤多场景应急处置预案与演练机制评审标准：⽅案内容详细完整、针对性强、可⾏ 性⾼，符合项⽬实际要求。每项满分2分，缺项不得分，每项内容存在缺陷扣1分，扣完为止。缺 陷是指内容不合理、虽有内容但不完善、内容表述前后不⼀致、套⽤其他项⽬⽅案或与 项⽬需求不匹配及其他不利于项⽬实施的任意⼀种情形。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 ⽂明 施⼯ 的技 术措 施及 环境 保护 措施</w:t>
            </w:r>
          </w:p>
        </w:tc>
        <w:tc>
          <w:tcPr>
            <w:tcW w:type="dxa" w:w="2492"/>
          </w:tcPr>
          <w:p>
            <w:pPr>
              <w:pStyle w:val="null3"/>
            </w:pPr>
            <w:r>
              <w:rPr>
                <w:rFonts w:ascii="仿宋_GB2312" w:hAnsi="仿宋_GB2312" w:cs="仿宋_GB2312" w:eastAsia="仿宋_GB2312"/>
              </w:rPr>
              <w:t>针对本项⽬确保⽂明施⼯的技术措施及环境保护措施，内容包括但不限于①确保⽂明施 ⼯的技术措施②环境保护措施③施⼯区域标准化封闭管理措施④精细化扬尘与噪⾳防控 技术⽅案⑤施⼯废弃物分类处理与资源化利⽤措施评审标准：⽅案内容详细完整、针对 性强、可⾏性⾼，符合项⽬实际要求。每项满分2分，缺项不得分，每项内容存在缺陷 扣1分，扣完为止。缺陷是指内容不合理、虽有内容但不完善、内容表述前后不⼀致、套⽤其他项 ⽬⽅案或与项⽬需求不匹配及其他不利于项⽬实施的任意⼀种情形。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 进度 计划 及确 保⼯ 期的 技术 措施</w:t>
            </w:r>
          </w:p>
        </w:tc>
        <w:tc>
          <w:tcPr>
            <w:tcW w:type="dxa" w:w="2492"/>
          </w:tcPr>
          <w:p>
            <w:pPr>
              <w:pStyle w:val="null3"/>
            </w:pPr>
            <w:r>
              <w:rPr>
                <w:rFonts w:ascii="仿宋_GB2312" w:hAnsi="仿宋_GB2312" w:cs="仿宋_GB2312" w:eastAsia="仿宋_GB2312"/>
              </w:rPr>
              <w:t>针对本项⽬施⼯进度计划及确保⼯期的技术措施，内容包括但不限于①施⼯进度计划② 确保⼯期的技术措施③分阶段精细化施⼯进度计划编制评审标准：⽅案内容详细完整、 针对性强、可⾏性⾼，符合项⽬实际要求。每项满分2分，缺项不得分，每项内容存在 缺陷扣1分，扣完为止。缺陷是指内容不合理、虽有内容但不完善、内容表述前后不⼀致、套⽤其 他项⽬⽅案或与项⽬需求不匹配及其他不利于项⽬实施的任意⼀种情形。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季节 性施 ⼯管 理防 范措 施</w:t>
            </w:r>
          </w:p>
        </w:tc>
        <w:tc>
          <w:tcPr>
            <w:tcW w:type="dxa" w:w="2492"/>
          </w:tcPr>
          <w:p>
            <w:pPr>
              <w:pStyle w:val="null3"/>
            </w:pPr>
            <w:r>
              <w:rPr>
                <w:rFonts w:ascii="仿宋_GB2312" w:hAnsi="仿宋_GB2312" w:cs="仿宋_GB2312" w:eastAsia="仿宋_GB2312"/>
              </w:rPr>
              <w:t>针对本项⽬季节性施⼯管理防范措施，内容包括但不限于①场地适配系统升级与动态监 测措施②⼯序优化与季节适配作业保障机制③季节性施⼯管理防范综合措施评审标准： ⽅案内容详 细完整、针对性强、可⾏性⾼，符合项⽬实际要求。每项满分2分，缺项不 得分，每项 内容存在缺陷扣1分，扣完为止。缺陷是指内容不合理、虽有内容但不完善、内容表述 前后不⼀致 、套⽤其他项⽬⽅案或与项⽬需求不匹配及其他不利于项⽬实施的任意⼀ 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垃圾 清运 ⽅案</w:t>
            </w:r>
          </w:p>
        </w:tc>
        <w:tc>
          <w:tcPr>
            <w:tcW w:type="dxa" w:w="2492"/>
          </w:tcPr>
          <w:p>
            <w:pPr>
              <w:pStyle w:val="null3"/>
            </w:pPr>
            <w:r>
              <w:rPr>
                <w:rFonts w:ascii="仿宋_GB2312" w:hAnsi="仿宋_GB2312" w:cs="仿宋_GB2312" w:eastAsia="仿宋_GB2312"/>
              </w:rPr>
              <w:t>针对本项⽬垃圾清运⽅案，内容包括但不限于①清运管控与环境防护措施②垃圾清运⽅ 案 评审标准：⽅案内容详细完整、针对性强、可⾏性⾼，符合项⽬实际要求。每项满 分2分，缺项不得分，每项内容存在缺陷扣1分。缺陷是指内容不合理、虽有内容但不 完善、内容表述前后不⼀致、套⽤其他项⽬⽅案或与项⽬需求不匹配及其他不利于项⽬ 实施的任意⼀种情形。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 承诺</w:t>
            </w:r>
          </w:p>
        </w:tc>
        <w:tc>
          <w:tcPr>
            <w:tcW w:type="dxa" w:w="2492"/>
          </w:tcPr>
          <w:p>
            <w:pPr>
              <w:pStyle w:val="null3"/>
            </w:pPr>
            <w:r>
              <w:rPr>
                <w:rFonts w:ascii="仿宋_GB2312" w:hAnsi="仿宋_GB2312" w:cs="仿宋_GB2312" w:eastAsia="仿宋_GB2312"/>
              </w:rPr>
              <w:t>针对本项⽬服务承诺，内容包括但不限于①服务过程中的相关承诺②投⼊材料质量承诺 ③质量保修期内的服务承诺④合理化建议评审标准：⽅案内容详细完整、针对性强、可 ⾏性⾼，符合项⽬实际要求。每项满分2分，缺项不得分，每项内容存在缺陷扣1分。 缺陷是指内容不合理、虽有内容但不完善、内容表述前后不⼀致、套⽤其他项⽬⽅案或 与项⽬需求不匹配及其他不利于项⽬实施的任意⼀种情形。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提供供应商近三年内(2023年1⽉-⾄今)⾄今类似项⽬业绩，每提供1个有效业绩得2分 ，满分8分。(附完整合同复印件并加盖供应商公章，未提供或提供不完整或不清晰均不 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满⾜磋商⽂件要求且最后报价最低的供应商的价格为磋商基准价，其价格分为满分。其 他供应商的价格分统⼀按照下列公式计算： 磋商报价得分=（磋商基准价/最终磋商报 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 ⽅案</w:t>
            </w:r>
          </w:p>
        </w:tc>
        <w:tc>
          <w:tcPr>
            <w:tcW w:type="dxa" w:w="2492"/>
          </w:tcPr>
          <w:p>
            <w:pPr>
              <w:pStyle w:val="null3"/>
            </w:pPr>
            <w:r>
              <w:rPr>
                <w:rFonts w:ascii="仿宋_GB2312" w:hAnsi="仿宋_GB2312" w:cs="仿宋_GB2312" w:eastAsia="仿宋_GB2312"/>
              </w:rPr>
              <w:t>针对本项⽬提供的项⽬施⼯⽅案，内容包括但不限于①前期筹备全⾯部署②施⼯流程科 学规划及成本控制精准⾼③安全管理全程覆盖 ④⼯程质量保证措施⑤施⼯机械设备配备 ⑥劳动⼒计划及主要材料供应计划计划效评审标准：⽅案内容详细完整、针对性强、可 ⾏性⾼，符合项⽬实际要求。每项满分2分，缺项不得分，每项内容存在缺陷扣1分，扣完为止。 缺陷是指内容不合理、虽有内容但不完善、内容表述前后不⼀致、套⽤其他项⽬⽅案或 与项⽬需求不匹配及其他不利于项⽬实施的任意⼀种情形。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 管理 机构 及项 ⽬经 理部 组成</w:t>
            </w:r>
          </w:p>
        </w:tc>
        <w:tc>
          <w:tcPr>
            <w:tcW w:type="dxa" w:w="2492"/>
          </w:tcPr>
          <w:p>
            <w:pPr>
              <w:pStyle w:val="null3"/>
            </w:pPr>
            <w:r>
              <w:rPr>
                <w:rFonts w:ascii="仿宋_GB2312" w:hAnsi="仿宋_GB2312" w:cs="仿宋_GB2312" w:eastAsia="仿宋_GB2312"/>
              </w:rPr>
              <w:t>针对本项⽬提供的项⽬管理机构及项⽬经理部组成，内容包括但不限于①项⽬管理机构 ②项⽬经理部组成③专业化项⽬经理部组建原则评审标准：⽅案内容详细完整、针对性 强、可⾏性⾼，符合项⽬实际要求。每项满分2分，缺项不得分，每项内容存在缺陷扣 1分，扣完为止。缺陷是指内容不合理、虽有内容但不完善、内容表述前后不⼀致、套⽤其他项⽬ ⽅案或与项⽬需求不匹配及其他不利于项⽬实施的任意⼀种情形。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 安全 ⽣产 的技 术组 织措 施及 应急 预案</w:t>
            </w:r>
          </w:p>
        </w:tc>
        <w:tc>
          <w:tcPr>
            <w:tcW w:type="dxa" w:w="2492"/>
          </w:tcPr>
          <w:p>
            <w:pPr>
              <w:pStyle w:val="null3"/>
            </w:pPr>
            <w:r>
              <w:rPr>
                <w:rFonts w:ascii="仿宋_GB2312" w:hAnsi="仿宋_GB2312" w:cs="仿宋_GB2312" w:eastAsia="仿宋_GB2312"/>
              </w:rPr>
              <w:t>针对本项⽬确保安全⽣产的技术组织措施及应急预案，内容包括但不限于①确保安全⽣ 产的技术组织措施②应急预案③危险源分级管控与技术防护体系④安全防护与⽂明施⼯ 措施⑤多场景应急处置预案与演练机制评审标准：⽅案内容详细完整、针对性强、可⾏ 性⾼，符合项⽬实际要求。每项满分2分，缺项不得分，每项内容存在缺陷扣1分，扣完为止。缺 陷是指内容不合理、虽有内容但不完善、内容表述前后不⼀致、套⽤其他项⽬⽅案或与 项⽬需求不匹配及其他不利于项⽬实施的任意⼀种情形。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 ⽂明 施⼯ 的技 术措 施及 环境 保护 措施</w:t>
            </w:r>
          </w:p>
        </w:tc>
        <w:tc>
          <w:tcPr>
            <w:tcW w:type="dxa" w:w="2492"/>
          </w:tcPr>
          <w:p>
            <w:pPr>
              <w:pStyle w:val="null3"/>
            </w:pPr>
            <w:r>
              <w:rPr>
                <w:rFonts w:ascii="仿宋_GB2312" w:hAnsi="仿宋_GB2312" w:cs="仿宋_GB2312" w:eastAsia="仿宋_GB2312"/>
              </w:rPr>
              <w:t>针对本项⽬确保⽂明施⼯的技术措施及环境保护措施，内容包括但不限于①确保⽂明施 ⼯的技术措施②环境保护措施③施⼯区域标准化封闭管理措施④精细化扬尘与噪⾳防控 技术⽅案⑤施⼯废弃物分类处理与资源化利⽤措施评审标准：⽅案内容详细完整、针对 性强、可⾏性⾼，符合项⽬实际要求。每项满分2分，缺项不得分，每项内容存在缺陷 扣1分，扣完为止。缺陷是指内容不合理、虽有内容但不完善、内容表述前后不⼀致、套⽤其他项 ⽬⽅案或与项⽬需求不匹配及其他不利于项⽬实施的任意⼀种情形。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 进度 计划 及确 保⼯ 期的 技术 措施</w:t>
            </w:r>
          </w:p>
        </w:tc>
        <w:tc>
          <w:tcPr>
            <w:tcW w:type="dxa" w:w="2492"/>
          </w:tcPr>
          <w:p>
            <w:pPr>
              <w:pStyle w:val="null3"/>
            </w:pPr>
            <w:r>
              <w:rPr>
                <w:rFonts w:ascii="仿宋_GB2312" w:hAnsi="仿宋_GB2312" w:cs="仿宋_GB2312" w:eastAsia="仿宋_GB2312"/>
              </w:rPr>
              <w:t>针对本项⽬施⼯进度计划及确保⼯期的技术措施，内容包括但不限于①施⼯进度计划② 确保⼯期的技术措施③分阶段精细化施⼯进度计划编制评审标准：⽅案内容详细完整、 针对性强、可⾏性⾼，符合项⽬实际要求。每项满分2分，缺项不得分，每项内容存在 缺陷扣1分，扣完为止。缺陷是指内容不合理、虽有内容但不完善、内容表述前后不⼀致、套⽤其 他项⽬⽅案或与项⽬需求不匹配及其他不利于项⽬实施的任意⼀种情形。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季节 性施 ⼯管 理防 范措 施</w:t>
            </w:r>
          </w:p>
        </w:tc>
        <w:tc>
          <w:tcPr>
            <w:tcW w:type="dxa" w:w="2492"/>
          </w:tcPr>
          <w:p>
            <w:pPr>
              <w:pStyle w:val="null3"/>
            </w:pPr>
            <w:r>
              <w:rPr>
                <w:rFonts w:ascii="仿宋_GB2312" w:hAnsi="仿宋_GB2312" w:cs="仿宋_GB2312" w:eastAsia="仿宋_GB2312"/>
              </w:rPr>
              <w:t>针对本项⽬季节性施⼯管理防范措施，内容包括但不限于①场地适配系统升级与动态监 测措施②⼯序优化与季节适配作业保障机制③季节性施⼯管理防范综合措施评审标准： ⽅案内容详 细完整、针对性强、可⾏性⾼，符合项⽬实际要求。每项满分2分，缺项不 得分，每项 内容存在缺陷扣1分，扣完为止。缺陷是指内容不合理、虽有内容但不完善、内容表述 前后不⼀致 、套⽤其他项⽬⽅案或与项⽬需求不匹配及其他不利于项⽬实施的任意⼀ 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垃圾 清运 ⽅案</w:t>
            </w:r>
          </w:p>
        </w:tc>
        <w:tc>
          <w:tcPr>
            <w:tcW w:type="dxa" w:w="2492"/>
          </w:tcPr>
          <w:p>
            <w:pPr>
              <w:pStyle w:val="null3"/>
            </w:pPr>
            <w:r>
              <w:rPr>
                <w:rFonts w:ascii="仿宋_GB2312" w:hAnsi="仿宋_GB2312" w:cs="仿宋_GB2312" w:eastAsia="仿宋_GB2312"/>
              </w:rPr>
              <w:t>针对本项⽬垃圾清运⽅案，内容包括但不限于①清运管控与环境防护措施②垃圾清运⽅ 案 评审标准：⽅案内容详细完整、针对性强、可⾏性⾼，符合项⽬实际要求。每项满 分2分，缺项不得分，每项内容存在缺陷扣1分。缺陷是指内容不合理、虽有内容但不 完善、内容表述前后不⼀致、套⽤其他项⽬⽅案或与项⽬需求不匹配及其他不利于项⽬ 实施的任意⼀种情形。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 承诺</w:t>
            </w:r>
          </w:p>
        </w:tc>
        <w:tc>
          <w:tcPr>
            <w:tcW w:type="dxa" w:w="2492"/>
          </w:tcPr>
          <w:p>
            <w:pPr>
              <w:pStyle w:val="null3"/>
            </w:pPr>
            <w:r>
              <w:rPr>
                <w:rFonts w:ascii="仿宋_GB2312" w:hAnsi="仿宋_GB2312" w:cs="仿宋_GB2312" w:eastAsia="仿宋_GB2312"/>
              </w:rPr>
              <w:t>针对本项⽬服务承诺，内容包括但不限于①服务过程中的相关承诺②投⼊材料质量承诺 ③质量保修期内的服务承诺④合理化建议评审标准：⽅案内容详细完整、针对性强、可 ⾏性⾼，符合项⽬实际要求。每项满分2分，缺项不得分，每项内容存在缺陷扣1分。 缺陷是指内容不合理、虽有内容但不完善、内容表述前后不⼀致、套⽤其他项⽬⽅案或 与项⽬需求不匹配及其他不利于项⽬实施的任意⼀种情形。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提供供应商近三年内(2023年1⽉-⾄今)⾄今类似项⽬业绩，每提供1个有效业绩得2分 ，满分8分。(附完整合同复印件并加盖供应商公章，未提供或提供不完整或不清晰均不 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满⾜磋商⽂件要求且最后报价最低的供应商的价格为磋商基准价，其价格分为满分。其 他供应商的价格分统⼀按照下列公式计算： 磋商报价得分=（磋商基准价/最终磋商报 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详见附件：方案说明书.1docx.docx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详见附件：方案说明书.1docx.docx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