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FBB96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48"/>
          <w:szCs w:val="18"/>
          <w:highlight w:val="none"/>
          <w:lang w:eastAsia="zh-CN"/>
        </w:rPr>
      </w:pPr>
    </w:p>
    <w:p w14:paraId="000F2F8F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48"/>
          <w:szCs w:val="18"/>
          <w:highlight w:val="none"/>
          <w:lang w:eastAsia="zh-CN"/>
        </w:rPr>
      </w:pPr>
    </w:p>
    <w:p w14:paraId="0D9A30FC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sz w:val="4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48"/>
          <w:szCs w:val="18"/>
          <w:highlight w:val="none"/>
          <w:lang w:eastAsia="zh-CN"/>
        </w:rPr>
        <w:t>韩城市经济技术开发区地下水环境状况详细调查与风险评估</w:t>
      </w:r>
      <w:r>
        <w:rPr>
          <w:rFonts w:hint="eastAsia" w:ascii="宋体" w:hAnsi="宋体" w:eastAsia="宋体" w:cs="宋体"/>
          <w:b/>
          <w:sz w:val="48"/>
          <w:szCs w:val="18"/>
          <w:highlight w:val="none"/>
          <w:lang w:val="en-US" w:eastAsia="zh-CN"/>
        </w:rPr>
        <w:t>项目</w:t>
      </w:r>
    </w:p>
    <w:p w14:paraId="3A2C4485">
      <w:pPr>
        <w:pStyle w:val="4"/>
        <w:keepNext/>
        <w:pageBreakBefore w:val="0"/>
        <w:widowControl w:val="0"/>
        <w:kinsoku/>
        <w:wordWrap/>
        <w:overflowPunct/>
        <w:topLinePunct w:val="0"/>
        <w:bidi w:val="0"/>
        <w:textAlignment w:val="auto"/>
        <w:rPr>
          <w:rFonts w:hint="eastAsia"/>
          <w:highlight w:val="none"/>
          <w:lang w:eastAsia="zh-CN"/>
        </w:rPr>
      </w:pPr>
    </w:p>
    <w:p w14:paraId="10556763">
      <w:pPr>
        <w:keepNext/>
        <w:pageBreakBefore w:val="0"/>
        <w:widowControl w:val="0"/>
        <w:kinsoku/>
        <w:wordWrap/>
        <w:overflowPunct/>
        <w:topLinePunct w:val="0"/>
        <w:bidi w:val="0"/>
        <w:textAlignment w:val="auto"/>
        <w:rPr>
          <w:rFonts w:hint="eastAsia"/>
          <w:highlight w:val="none"/>
          <w:lang w:eastAsia="zh-CN"/>
        </w:rPr>
      </w:pPr>
    </w:p>
    <w:p w14:paraId="162CF0F1">
      <w:pPr>
        <w:pStyle w:val="4"/>
        <w:keepNext/>
        <w:pageBreakBefore w:val="0"/>
        <w:widowControl w:val="0"/>
        <w:kinsoku/>
        <w:wordWrap/>
        <w:overflowPunct/>
        <w:topLinePunct w:val="0"/>
        <w:bidi w:val="0"/>
        <w:textAlignment w:val="auto"/>
        <w:rPr>
          <w:rFonts w:hint="eastAsia"/>
          <w:highlight w:val="none"/>
          <w:lang w:eastAsia="zh-CN"/>
        </w:rPr>
      </w:pPr>
    </w:p>
    <w:p w14:paraId="34DBC76F">
      <w:pPr>
        <w:keepNext/>
        <w:pageBreakBefore w:val="0"/>
        <w:widowControl w:val="0"/>
        <w:kinsoku/>
        <w:wordWrap/>
        <w:overflowPunct/>
        <w:topLinePunct w:val="0"/>
        <w:bidi w:val="0"/>
        <w:jc w:val="center"/>
        <w:textAlignment w:val="auto"/>
        <w:rPr>
          <w:rFonts w:hint="eastAsia" w:ascii="宋体" w:hAnsi="宋体" w:eastAsia="宋体" w:cs="宋体"/>
          <w:b/>
          <w:bCs/>
          <w:sz w:val="52"/>
          <w:highlight w:val="none"/>
        </w:rPr>
      </w:pPr>
      <w:r>
        <w:rPr>
          <w:rFonts w:hint="eastAsia" w:ascii="宋体" w:hAnsi="宋体" w:eastAsia="宋体" w:cs="宋体"/>
          <w:b/>
          <w:bCs/>
          <w:sz w:val="52"/>
          <w:highlight w:val="none"/>
        </w:rPr>
        <w:t>政府采购合同</w:t>
      </w:r>
    </w:p>
    <w:p w14:paraId="3C348FCD">
      <w:pPr>
        <w:keepNext/>
        <w:pageBreakBefore w:val="0"/>
        <w:widowControl w:val="0"/>
        <w:kinsoku/>
        <w:wordWrap/>
        <w:overflowPunct/>
        <w:topLinePunct w:val="0"/>
        <w:bidi w:val="0"/>
        <w:textAlignment w:val="auto"/>
        <w:rPr>
          <w:rFonts w:ascii="宋体" w:hAnsi="宋体"/>
          <w:sz w:val="52"/>
          <w:highlight w:val="none"/>
        </w:rPr>
      </w:pPr>
    </w:p>
    <w:p w14:paraId="40DFD0FE">
      <w:pPr>
        <w:pStyle w:val="5"/>
        <w:keepNext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hAnsi="宋体"/>
          <w:sz w:val="24"/>
          <w:szCs w:val="24"/>
          <w:highlight w:val="none"/>
        </w:rPr>
      </w:pPr>
    </w:p>
    <w:p w14:paraId="27527B1F">
      <w:pPr>
        <w:pStyle w:val="5"/>
        <w:keepNext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Ansi="宋体"/>
          <w:sz w:val="24"/>
          <w:szCs w:val="24"/>
          <w:highlight w:val="none"/>
        </w:rPr>
      </w:pPr>
    </w:p>
    <w:p w14:paraId="59B6D889">
      <w:pPr>
        <w:pStyle w:val="5"/>
        <w:keepNext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Ansi="宋体"/>
          <w:sz w:val="24"/>
          <w:szCs w:val="24"/>
          <w:highlight w:val="none"/>
        </w:rPr>
      </w:pPr>
    </w:p>
    <w:p w14:paraId="7FA60F01">
      <w:pPr>
        <w:pStyle w:val="5"/>
        <w:keepNext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Ansi="宋体"/>
          <w:sz w:val="24"/>
          <w:szCs w:val="24"/>
          <w:highlight w:val="none"/>
        </w:rPr>
      </w:pPr>
    </w:p>
    <w:p w14:paraId="6137CAD7">
      <w:pPr>
        <w:pStyle w:val="5"/>
        <w:keepNext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Ansi="宋体"/>
          <w:sz w:val="24"/>
          <w:szCs w:val="24"/>
          <w:highlight w:val="none"/>
        </w:rPr>
      </w:pPr>
    </w:p>
    <w:p w14:paraId="318087BE">
      <w:pPr>
        <w:pStyle w:val="9"/>
        <w:keepNext/>
        <w:pageBreakBefore w:val="0"/>
        <w:widowControl w:val="0"/>
        <w:kinsoku/>
        <w:wordWrap/>
        <w:overflowPunct/>
        <w:topLinePunct w:val="0"/>
        <w:bidi w:val="0"/>
        <w:ind w:firstLine="1124" w:firstLineChars="400"/>
        <w:jc w:val="both"/>
        <w:textAlignment w:val="auto"/>
        <w:rPr>
          <w:rFonts w:hint="eastAsia" w:ascii="宋体" w:hAnsi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eastAsia="zh-CN"/>
        </w:rPr>
        <w:t>甲方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：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CN"/>
        </w:rPr>
        <w:t>韩城市生态环境局</w:t>
      </w:r>
    </w:p>
    <w:p w14:paraId="087A5397">
      <w:pPr>
        <w:pStyle w:val="9"/>
        <w:keepNext/>
        <w:pageBreakBefore w:val="0"/>
        <w:widowControl w:val="0"/>
        <w:kinsoku/>
        <w:wordWrap/>
        <w:overflowPunct/>
        <w:topLinePunct w:val="0"/>
        <w:bidi w:val="0"/>
        <w:ind w:left="0" w:leftChars="0" w:firstLine="2530" w:firstLineChars="900"/>
        <w:jc w:val="both"/>
        <w:textAlignment w:val="auto"/>
        <w:rPr>
          <w:rFonts w:hint="eastAsia" w:ascii="宋体" w:hAnsi="宋体"/>
          <w:b/>
          <w:bCs/>
          <w:sz w:val="28"/>
          <w:szCs w:val="28"/>
          <w:highlight w:val="none"/>
          <w:lang w:eastAsia="zh-CN"/>
        </w:rPr>
      </w:pPr>
    </w:p>
    <w:p w14:paraId="61F333D3">
      <w:pPr>
        <w:keepNext/>
        <w:pageBreakBefore w:val="0"/>
        <w:widowControl w:val="0"/>
        <w:kinsoku/>
        <w:wordWrap/>
        <w:overflowPunct/>
        <w:topLinePunct w:val="0"/>
        <w:bidi w:val="0"/>
        <w:ind w:firstLine="1124" w:firstLineChars="400"/>
        <w:jc w:val="both"/>
        <w:textAlignment w:val="auto"/>
        <w:rPr>
          <w:rFonts w:hint="eastAsia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highlight w:val="none"/>
          <w:lang w:val="en-US" w:eastAsia="zh-CN" w:bidi="ar-SA"/>
        </w:rPr>
        <w:t>乙方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：</w:t>
      </w:r>
    </w:p>
    <w:p w14:paraId="2C47CAB1">
      <w:pPr>
        <w:keepNext/>
        <w:pageBreakBefore w:val="0"/>
        <w:widowControl w:val="0"/>
        <w:kinsoku/>
        <w:wordWrap/>
        <w:overflowPunct/>
        <w:topLinePunct w:val="0"/>
        <w:bidi w:val="0"/>
        <w:ind w:left="1998" w:leftChars="399" w:hanging="1120" w:hangingChars="400"/>
        <w:jc w:val="center"/>
        <w:textAlignment w:val="auto"/>
        <w:rPr>
          <w:sz w:val="28"/>
          <w:szCs w:val="28"/>
          <w:highlight w:val="none"/>
        </w:rPr>
      </w:pPr>
    </w:p>
    <w:p w14:paraId="273C2508">
      <w:pPr>
        <w:pStyle w:val="9"/>
        <w:keepNext/>
        <w:pageBreakBefore w:val="0"/>
        <w:widowControl w:val="0"/>
        <w:kinsoku/>
        <w:wordWrap/>
        <w:overflowPunct/>
        <w:topLinePunct w:val="0"/>
        <w:bidi w:val="0"/>
        <w:ind w:firstLine="0" w:firstLineChars="0"/>
        <w:jc w:val="center"/>
        <w:textAlignment w:val="auto"/>
        <w:rPr>
          <w:rFonts w:hint="eastAsia"/>
          <w:sz w:val="28"/>
          <w:szCs w:val="28"/>
          <w:highlight w:val="none"/>
        </w:rPr>
      </w:pPr>
    </w:p>
    <w:p w14:paraId="51F0C46A">
      <w:pPr>
        <w:keepNext/>
        <w:pageBreakBefore w:val="0"/>
        <w:widowControl w:val="0"/>
        <w:kinsoku/>
        <w:wordWrap/>
        <w:overflowPunct/>
        <w:topLinePunct w:val="0"/>
        <w:bidi w:val="0"/>
        <w:jc w:val="center"/>
        <w:textAlignment w:val="auto"/>
        <w:rPr>
          <w:sz w:val="28"/>
          <w:szCs w:val="28"/>
          <w:highlight w:val="none"/>
        </w:rPr>
      </w:pPr>
    </w:p>
    <w:p w14:paraId="516FBDC7">
      <w:pPr>
        <w:pStyle w:val="9"/>
        <w:keepNext/>
        <w:pageBreakBefore w:val="0"/>
        <w:widowControl w:val="0"/>
        <w:kinsoku/>
        <w:wordWrap/>
        <w:overflowPunct/>
        <w:topLinePunct w:val="0"/>
        <w:bidi w:val="0"/>
        <w:ind w:left="0" w:leftChars="0" w:firstLine="2530" w:firstLineChars="900"/>
        <w:jc w:val="both"/>
        <w:textAlignment w:val="auto"/>
        <w:rPr>
          <w:rFonts w:hint="eastAsia" w:ascii="宋体" w:hAnsi="宋体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highlight w:val="none"/>
          <w:lang w:eastAsia="zh-CN"/>
        </w:rPr>
        <w:t>时间：  年  月  日</w:t>
      </w:r>
    </w:p>
    <w:p w14:paraId="2C193518">
      <w:pPr>
        <w:keepNext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bidi="ar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3AF2859">
      <w:pPr>
        <w:keepNext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bidi="ar"/>
        </w:rPr>
        <w:t xml:space="preserve">甲方（采购人）：               </w:t>
      </w:r>
    </w:p>
    <w:p w14:paraId="70DA6DE0">
      <w:pPr>
        <w:keepNext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bidi="ar"/>
        </w:rPr>
        <w:t xml:space="preserve">乙方（供应商）：                </w:t>
      </w:r>
    </w:p>
    <w:p w14:paraId="4009B903">
      <w:pPr>
        <w:keepNext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bidi="ar"/>
        </w:rPr>
        <w:t>甲乙双方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 w:bidi="ar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665A9B58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条、项目概况：</w:t>
      </w:r>
    </w:p>
    <w:p w14:paraId="114C748A">
      <w:pPr>
        <w:keepNext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 w:bidi="ar-SA"/>
        </w:rPr>
        <w:t>1、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项目名称：韩城市经济技术开发区地下水环境状况详细调查与风险评估项目。</w:t>
      </w:r>
    </w:p>
    <w:p w14:paraId="13399109">
      <w:pPr>
        <w:keepNext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项目地点：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韩城市。</w:t>
      </w:r>
    </w:p>
    <w:p w14:paraId="04136E3B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3、项目内容：</w:t>
      </w:r>
    </w:p>
    <w:p w14:paraId="6FB2C227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 xml:space="preserve">4、合同履行期限： </w:t>
      </w:r>
    </w:p>
    <w:p w14:paraId="7C50FD75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质量要求：合格。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符合国家、省、市相关标准、规范。</w:t>
      </w:r>
    </w:p>
    <w:p w14:paraId="5F9FC08D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第二条、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合同价款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 w14:paraId="785B90ED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合同总价款为人民币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（大写）（￥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）。</w:t>
      </w:r>
    </w:p>
    <w:p w14:paraId="1EECE604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2、合同总价不受国家政策调价或原材料市场价格变化的影响，并作为最终结算的唯一依据。</w:t>
      </w:r>
    </w:p>
    <w:p w14:paraId="2C4AE4EE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第三条、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款项结算</w:t>
      </w:r>
    </w:p>
    <w:p w14:paraId="4E0DA02D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付款方式：</w:t>
      </w:r>
    </w:p>
    <w:p w14:paraId="029F93EB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支付方式：银行转账。</w:t>
      </w:r>
    </w:p>
    <w:p w14:paraId="1B150FE0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第四条、验收</w:t>
      </w:r>
    </w:p>
    <w:p w14:paraId="6C08EFFD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甲方自行验收,验收合格须交接项目实施的全部资料，并填写政府采购项目验收报告单。验收须以合同、招标文件及投标文件、澄清及国家相应的标准、规范等为依据。</w:t>
      </w:r>
    </w:p>
    <w:p w14:paraId="4F1E43C9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第五条、知识产权</w:t>
      </w:r>
    </w:p>
    <w:p w14:paraId="5CC988D2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1、知识产权归甲方所有。</w:t>
      </w:r>
    </w:p>
    <w:p w14:paraId="56F1DFDC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2、乙方应保证所提供的作品、软件及服务或其任何一部分均不会侵犯任何第三方的专利权、商标权或著作权。如有相关侵权行为的，视为乙方违约。乙方应负担由此而产生的一切损失。 </w:t>
      </w:r>
    </w:p>
    <w:p w14:paraId="461693DD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3、乙方保证所提供的作品、软件及服务无任何抵押、查封等产权瑕疵。如有产权瑕疵的，视为乙方违约。乙方应负担由此而产生的一切损失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0BB42B55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第六条、双方的权利和义务</w:t>
      </w:r>
    </w:p>
    <w:p w14:paraId="2E51E735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（一）甲方的权利和义务</w:t>
      </w:r>
    </w:p>
    <w:p w14:paraId="0D333256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1．甲方有权对合同规定范围内乙方的服务行为进行监督和检查，拥有监管权。有权定期核对乙方提供服务所配备的人员数量。对甲方认为不合理的部分有权下达整改通知书，并要求乙方限期整改。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0F800C1A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2．甲方有权依据双方签订的考评办法对乙方提供的服务进行定期考评。</w:t>
      </w:r>
    </w:p>
    <w:p w14:paraId="5041A54C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3．负责检查监督乙方管理工作的实施及制度的执行情况。</w:t>
      </w:r>
    </w:p>
    <w:p w14:paraId="13B7C88A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4．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甲方须向乙方提供必需的资料、文件、图片，并保证其所提供资料、文件、图片的真实合法；如因资料、文件、图片侵犯第三人权利，甲方承担由此产生的法律责任。</w:t>
      </w:r>
    </w:p>
    <w:p w14:paraId="3DB4FF71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．根据本合同规定，按时向乙方支付应付服务费用。</w:t>
      </w:r>
    </w:p>
    <w:p w14:paraId="2B35331D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．国家法律、法规所规定由甲方承担的其它责任。</w:t>
      </w:r>
    </w:p>
    <w:p w14:paraId="4BF777F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（二）乙方的权利和义务</w:t>
      </w:r>
    </w:p>
    <w:p w14:paraId="4ABBDA71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1．对本合同规定的委托服务范围内的项目享有管理权及服务义务。</w:t>
      </w:r>
    </w:p>
    <w:p w14:paraId="64263988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2．根据本合同的规定向甲方收取相关服务费用，并有权在本项目管理范围内管理及合理使用。</w:t>
      </w:r>
    </w:p>
    <w:p w14:paraId="6EA4C29A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3．及时向甲方通告本项目服务范围内有关服务的重大事项，及时配合处理投诉。</w:t>
      </w:r>
    </w:p>
    <w:p w14:paraId="07428D5A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4．接受项目行业管理部门及政府有关部门的指导，接受甲方的监督。</w:t>
      </w:r>
    </w:p>
    <w:p w14:paraId="18162FD1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5．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按照合同文件的要求及时提供相关报告及文件。</w:t>
      </w:r>
    </w:p>
    <w:p w14:paraId="1C0FDB82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．国家法律、法规所规定由乙方承担的其它责任。</w:t>
      </w:r>
    </w:p>
    <w:p w14:paraId="1BC86B71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第七条、违约责任</w:t>
      </w:r>
    </w:p>
    <w:p w14:paraId="48DCC51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 xml:space="preserve">1、甲乙双方必须遵守本合同并执行合同中的各项规定，保证本合同的正常履行。 </w:t>
      </w:r>
    </w:p>
    <w:p w14:paraId="31439517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2、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401AC001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第八条、不可抗力事件处理</w:t>
      </w:r>
    </w:p>
    <w:p w14:paraId="06B51422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1．在合同有效期内，任何一方因不可抗力事件导致不能履行合同，则合同履行期可延长，其延长期与不可抗力影响期相同。</w:t>
      </w:r>
    </w:p>
    <w:p w14:paraId="75A318FD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2．不可抗力事件发生后，应立即通知对方，并寄送有关权威机构出具的证明。</w:t>
      </w:r>
    </w:p>
    <w:p w14:paraId="2015BD5B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3．不可抗力事件延续15个日历日以上，双方应通过友好协商，确定是否继续履行合同。</w:t>
      </w:r>
    </w:p>
    <w:p w14:paraId="55487AF4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第九条、合同的变更和终止</w:t>
      </w:r>
    </w:p>
    <w:p w14:paraId="0D3602EC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除《中华人民共和国政府采购法》第49条、第50条第二款规定的情形外，本合同一经签订，甲乙双方不得擅自变更、中止或终止合同。</w:t>
      </w:r>
    </w:p>
    <w:p w14:paraId="274C51E3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第十条、解决合同纠纷的方式</w:t>
      </w:r>
    </w:p>
    <w:p w14:paraId="3E2F1722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1．在执行本合同中发生的或与本合同有关的争端，双方应通过友好协商解决，经协商不能达成协议时，则采取以下第（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）种方式解决争议：</w:t>
      </w:r>
    </w:p>
    <w:p w14:paraId="0ED2BACD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（1）向甲方所在地有管辖权的人民法院提起诉讼；</w:t>
      </w:r>
    </w:p>
    <w:p w14:paraId="73FAD1CC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（2）向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韩城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仲裁委员会按其仲裁规则申请仲裁。</w:t>
      </w:r>
    </w:p>
    <w:p w14:paraId="581C8FF6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2．在仲裁期间，本合同应继续履行。</w:t>
      </w:r>
    </w:p>
    <w:p w14:paraId="12217777">
      <w:pPr>
        <w:keepNext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第十一条、合同生效及其他</w:t>
      </w:r>
    </w:p>
    <w:p w14:paraId="596BCCC1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1．乙方不具备检验检测机构资质CMA认定证书（土壤、地下水、地表水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污染监测因子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）需委托监测的，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委托的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监测单位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不得将承揽的监测服务工作全部转包给他人承担，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再委托的监测指标，选择的监测单位需经甲方书面同意。乙方具备检验检测机构资质CMA认定证书的（土壤、地下水、地表水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污染监测因子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），如再委托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其他监测单位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，选择的监测单位需经甲方书面同意。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乙方、监测单位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需签订保密协议、保密承诺书并明确保密责任人。</w:t>
      </w:r>
    </w:p>
    <w:p w14:paraId="76EE7FBE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合同经双方法定代表人（单位负责人）或授权委托代理人签名并加盖单位公章后生效。</w:t>
      </w:r>
    </w:p>
    <w:p w14:paraId="1907381B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．本合同一式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份，自双方签章之日起起效。甲方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份乙方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份，具有同等法律效力。</w:t>
      </w:r>
    </w:p>
    <w:p w14:paraId="5F8C8B41">
      <w:pPr>
        <w:pStyle w:val="3"/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第十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条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附件</w:t>
      </w:r>
    </w:p>
    <w:p w14:paraId="13969790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1．项目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文件</w:t>
      </w:r>
    </w:p>
    <w:p w14:paraId="474E1459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2．项目修改澄清文件</w:t>
      </w:r>
    </w:p>
    <w:p w14:paraId="4C5EF511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3．项目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文件</w:t>
      </w:r>
    </w:p>
    <w:p w14:paraId="5615AD80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4．成交通知书</w:t>
      </w:r>
    </w:p>
    <w:p w14:paraId="6B899736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5．其他</w:t>
      </w:r>
    </w:p>
    <w:p w14:paraId="7CEAC76D">
      <w:pPr>
        <w:keepNext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（以下无正文）</w:t>
      </w:r>
    </w:p>
    <w:tbl>
      <w:tblPr>
        <w:tblStyle w:val="7"/>
        <w:tblW w:w="8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527"/>
        <w:gridCol w:w="1762"/>
        <w:gridCol w:w="2672"/>
      </w:tblGrid>
      <w:tr w14:paraId="52F48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4EA5FAA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甲方（盖章）：</w:t>
            </w:r>
          </w:p>
        </w:tc>
        <w:tc>
          <w:tcPr>
            <w:tcW w:w="2527" w:type="dxa"/>
            <w:noWrap w:val="0"/>
            <w:vAlign w:val="center"/>
          </w:tcPr>
          <w:p w14:paraId="14E8CC2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E668F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乙方（盖章）：</w:t>
            </w:r>
          </w:p>
        </w:tc>
        <w:tc>
          <w:tcPr>
            <w:tcW w:w="2672" w:type="dxa"/>
            <w:noWrap w:val="0"/>
            <w:vAlign w:val="center"/>
          </w:tcPr>
          <w:p w14:paraId="30F6ECF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2B1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20305E1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法定代表人（委托代理人）：</w:t>
            </w:r>
          </w:p>
        </w:tc>
        <w:tc>
          <w:tcPr>
            <w:tcW w:w="2527" w:type="dxa"/>
            <w:noWrap w:val="0"/>
            <w:vAlign w:val="center"/>
          </w:tcPr>
          <w:p w14:paraId="449F8EB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3EA50A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法定代表人（委托代理人）：</w:t>
            </w:r>
          </w:p>
        </w:tc>
        <w:tc>
          <w:tcPr>
            <w:tcW w:w="2672" w:type="dxa"/>
            <w:noWrap w:val="0"/>
            <w:vAlign w:val="center"/>
          </w:tcPr>
          <w:p w14:paraId="31F44B5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57D8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1F1CAEE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地址：</w:t>
            </w:r>
          </w:p>
        </w:tc>
        <w:tc>
          <w:tcPr>
            <w:tcW w:w="2527" w:type="dxa"/>
            <w:noWrap w:val="0"/>
            <w:vAlign w:val="center"/>
          </w:tcPr>
          <w:p w14:paraId="5FA0321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39A43F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地址：</w:t>
            </w:r>
          </w:p>
        </w:tc>
        <w:tc>
          <w:tcPr>
            <w:tcW w:w="2672" w:type="dxa"/>
            <w:noWrap w:val="0"/>
            <w:vAlign w:val="center"/>
          </w:tcPr>
          <w:p w14:paraId="6CFD297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C92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3622A30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社会信用代码：</w:t>
            </w:r>
          </w:p>
        </w:tc>
        <w:tc>
          <w:tcPr>
            <w:tcW w:w="2527" w:type="dxa"/>
            <w:noWrap w:val="0"/>
            <w:vAlign w:val="center"/>
          </w:tcPr>
          <w:p w14:paraId="0BBB63E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44247AD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社会信用代码：</w:t>
            </w:r>
          </w:p>
        </w:tc>
        <w:tc>
          <w:tcPr>
            <w:tcW w:w="2672" w:type="dxa"/>
            <w:noWrap w:val="0"/>
            <w:vAlign w:val="center"/>
          </w:tcPr>
          <w:p w14:paraId="3DF3910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91E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6D98692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开户银行：</w:t>
            </w:r>
          </w:p>
        </w:tc>
        <w:tc>
          <w:tcPr>
            <w:tcW w:w="2527" w:type="dxa"/>
            <w:noWrap w:val="0"/>
            <w:vAlign w:val="center"/>
          </w:tcPr>
          <w:p w14:paraId="6E236CA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FA5428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开户银行：</w:t>
            </w:r>
          </w:p>
        </w:tc>
        <w:tc>
          <w:tcPr>
            <w:tcW w:w="2672" w:type="dxa"/>
            <w:noWrap w:val="0"/>
            <w:vAlign w:val="center"/>
          </w:tcPr>
          <w:p w14:paraId="24795A7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7581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13AEA4E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银行帐号：</w:t>
            </w:r>
          </w:p>
        </w:tc>
        <w:tc>
          <w:tcPr>
            <w:tcW w:w="2527" w:type="dxa"/>
            <w:noWrap w:val="0"/>
            <w:vAlign w:val="center"/>
          </w:tcPr>
          <w:p w14:paraId="2F2F558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0BB70A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银行帐号：</w:t>
            </w:r>
          </w:p>
        </w:tc>
        <w:tc>
          <w:tcPr>
            <w:tcW w:w="2672" w:type="dxa"/>
            <w:noWrap w:val="0"/>
            <w:vAlign w:val="center"/>
          </w:tcPr>
          <w:p w14:paraId="2F61802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D8C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1E8980C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电话：</w:t>
            </w:r>
          </w:p>
        </w:tc>
        <w:tc>
          <w:tcPr>
            <w:tcW w:w="2527" w:type="dxa"/>
            <w:noWrap w:val="0"/>
            <w:vAlign w:val="center"/>
          </w:tcPr>
          <w:p w14:paraId="6AC0757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822360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电话：</w:t>
            </w:r>
          </w:p>
        </w:tc>
        <w:tc>
          <w:tcPr>
            <w:tcW w:w="2672" w:type="dxa"/>
            <w:noWrap w:val="0"/>
            <w:vAlign w:val="center"/>
          </w:tcPr>
          <w:p w14:paraId="2F1362E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55E7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74AC3BC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传真：</w:t>
            </w:r>
          </w:p>
        </w:tc>
        <w:tc>
          <w:tcPr>
            <w:tcW w:w="2527" w:type="dxa"/>
            <w:noWrap w:val="0"/>
            <w:vAlign w:val="center"/>
          </w:tcPr>
          <w:p w14:paraId="1E558C7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01127A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传真：</w:t>
            </w:r>
          </w:p>
        </w:tc>
        <w:tc>
          <w:tcPr>
            <w:tcW w:w="2672" w:type="dxa"/>
            <w:noWrap w:val="0"/>
            <w:vAlign w:val="center"/>
          </w:tcPr>
          <w:p w14:paraId="479A7D5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F327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noWrap w:val="0"/>
            <w:vAlign w:val="center"/>
          </w:tcPr>
          <w:p w14:paraId="75C243B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签约日期：</w:t>
            </w:r>
          </w:p>
        </w:tc>
        <w:tc>
          <w:tcPr>
            <w:tcW w:w="2527" w:type="dxa"/>
            <w:noWrap w:val="0"/>
            <w:vAlign w:val="center"/>
          </w:tcPr>
          <w:p w14:paraId="2BC08EC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年月日</w:t>
            </w:r>
          </w:p>
        </w:tc>
        <w:tc>
          <w:tcPr>
            <w:tcW w:w="1762" w:type="dxa"/>
            <w:noWrap w:val="0"/>
            <w:vAlign w:val="center"/>
          </w:tcPr>
          <w:p w14:paraId="056E914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签约日期：</w:t>
            </w:r>
          </w:p>
        </w:tc>
        <w:tc>
          <w:tcPr>
            <w:tcW w:w="2672" w:type="dxa"/>
            <w:noWrap w:val="0"/>
            <w:vAlign w:val="center"/>
          </w:tcPr>
          <w:p w14:paraId="6426639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年月日</w:t>
            </w:r>
          </w:p>
        </w:tc>
      </w:tr>
    </w:tbl>
    <w:p w14:paraId="7DC0982E">
      <w:pPr>
        <w:keepNext/>
        <w:pageBreakBefore w:val="0"/>
        <w:widowControl w:val="0"/>
        <w:kinsoku/>
        <w:wordWrap/>
        <w:overflowPunct/>
        <w:topLinePunct w:val="0"/>
        <w:bidi w:val="0"/>
        <w:textAlignment w:val="auto"/>
      </w:pPr>
    </w:p>
    <w:p w14:paraId="5C4075B1">
      <w:pPr>
        <w:keepNext/>
        <w:pageBreakBefore w:val="0"/>
        <w:widowControl w:val="0"/>
        <w:kinsoku/>
        <w:wordWrap/>
        <w:overflowPunct/>
        <w:topLinePunct w:val="0"/>
        <w:bidi w:val="0"/>
        <w:textAlignment w:val="auto"/>
      </w:pPr>
    </w:p>
    <w:p w14:paraId="769BCA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A216C"/>
    <w:rsid w:val="078057A6"/>
    <w:rsid w:val="0D9A1458"/>
    <w:rsid w:val="2AEA2DB3"/>
    <w:rsid w:val="2E201824"/>
    <w:rsid w:val="32080EFC"/>
    <w:rsid w:val="33631E26"/>
    <w:rsid w:val="3B5050B9"/>
    <w:rsid w:val="443E5D83"/>
    <w:rsid w:val="58263601"/>
    <w:rsid w:val="654A7479"/>
    <w:rsid w:val="709142DB"/>
    <w:rsid w:val="725325B9"/>
    <w:rsid w:val="750B717B"/>
    <w:rsid w:val="77B04009"/>
    <w:rsid w:val="7DC4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240" w:lineRule="auto"/>
      <w:jc w:val="center"/>
      <w:outlineLvl w:val="0"/>
    </w:pPr>
    <w:rPr>
      <w:rFonts w:ascii="Tahoma" w:hAnsi="Tahoma" w:eastAsia="宋体"/>
      <w:b/>
      <w:kern w:val="44"/>
      <w:sz w:val="32"/>
      <w:szCs w:val="22"/>
    </w:rPr>
  </w:style>
  <w:style w:type="paragraph" w:styleId="3">
    <w:name w:val="heading 2"/>
    <w:basedOn w:val="1"/>
    <w:next w:val="1"/>
    <w:qFormat/>
    <w:uiPriority w:val="99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Arial" w:hAnsi="Arial" w:eastAsia="黑体" w:cs="Arial"/>
      <w:b/>
      <w:bCs/>
      <w:kern w:val="2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2001</Words>
  <Characters>2009</Characters>
  <Lines>0</Lines>
  <Paragraphs>0</Paragraphs>
  <TotalTime>1</TotalTime>
  <ScaleCrop>false</ScaleCrop>
  <LinksUpToDate>false</LinksUpToDate>
  <CharactersWithSpaces>2081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2022-08-16T08:05:00Z</dcterms:created>
  <dc:creator>Administrator</dc:creator>
  <cp:lastModifiedBy>Mr.Xu</cp:lastModifiedBy>
  <dcterms:modified xsi:type="dcterms:W3CDTF">2026-05-11T03:16:34Z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4C08B1ABA15F45C6AF7385E5F1D7CC8F</vt:lpwstr>
  </property>
  <property fmtid="{D5CDD505-2E9C-101B-9397-08002B2CF9AE}" pid="4" name="KSOTemplateDocerSaveRecord">
    <vt:lpwstr>eyJoZGlkIjoiYzc1NjgxOTk3OTA1NzRiZDEyN2IxNTk1OWJiYWNmYjkiLCJ1c2VySWQiOiIzMzg0NTQ0NTYifQ==</vt:lpwstr>
  </property>
</Properties>
</file>