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45EBF">
      <w:pPr>
        <w:pStyle w:val="2"/>
        <w:widowControl/>
        <w:spacing w:line="360" w:lineRule="auto"/>
        <w:jc w:val="center"/>
        <w:rPr>
          <w:rFonts w:hint="default"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采购需求</w:t>
      </w:r>
    </w:p>
    <w:p w14:paraId="7E5B8E98">
      <w:pPr>
        <w:pStyle w:val="2"/>
        <w:widowControl/>
        <w:spacing w:line="360" w:lineRule="auto"/>
        <w:jc w:val="both"/>
        <w:rPr>
          <w:rFonts w:ascii="宋体" w:hAnsi="宋体" w:cs="宋体"/>
          <w:b/>
          <w:bCs/>
          <w:color w:val="auto"/>
          <w:sz w:val="21"/>
          <w:szCs w:val="21"/>
          <w:highlight w:val="none"/>
        </w:rPr>
      </w:pPr>
      <w:r>
        <w:rPr>
          <w:rFonts w:hint="eastAsia" w:ascii="宋体" w:hAnsi="宋体" w:cs="宋体"/>
          <w:b/>
          <w:bCs/>
          <w:color w:val="auto"/>
          <w:sz w:val="21"/>
          <w:szCs w:val="21"/>
          <w:highlight w:val="none"/>
        </w:rPr>
        <w:t>一、项目概况</w:t>
      </w:r>
    </w:p>
    <w:p w14:paraId="656C01CE">
      <w:pPr>
        <w:pStyle w:val="5"/>
        <w:spacing w:line="360" w:lineRule="auto"/>
        <w:ind w:firstLine="420" w:firstLineChars="200"/>
        <w:rPr>
          <w:rFonts w:hint="default" w:ascii="宋体" w:hAnsi="宋体"/>
          <w:color w:val="auto"/>
          <w:sz w:val="21"/>
          <w:szCs w:val="21"/>
          <w:highlight w:val="none"/>
        </w:rPr>
      </w:pPr>
      <w:bookmarkStart w:id="0" w:name="_GoBack"/>
      <w:r>
        <w:rPr>
          <w:rFonts w:hint="eastAsia" w:ascii="宋体" w:hAnsi="宋体"/>
          <w:color w:val="auto"/>
          <w:sz w:val="21"/>
          <w:szCs w:val="21"/>
          <w:lang w:eastAsia="zh-CN"/>
        </w:rPr>
        <w:t>西安市铁一中学2号教学楼加固改造工程</w:t>
      </w:r>
      <w:r>
        <w:rPr>
          <w:rFonts w:ascii="宋体" w:hAnsi="宋体"/>
          <w:color w:val="auto"/>
          <w:sz w:val="21"/>
          <w:szCs w:val="21"/>
        </w:rPr>
        <w:t>，</w:t>
      </w:r>
      <w:r>
        <w:rPr>
          <w:rFonts w:hint="eastAsia" w:ascii="宋体" w:hAnsi="宋体"/>
          <w:color w:val="auto"/>
          <w:sz w:val="21"/>
          <w:szCs w:val="21"/>
        </w:rPr>
        <w:t>改造内容主要包括对地基采用坑式静压桩进行加固并进行局部抬升处理及室外钢结构雨棚拆除及新做等其他。内容包含室内装饰装修工程、室内给排水工程、管网工程、</w:t>
      </w:r>
      <w:r>
        <w:rPr>
          <w:rFonts w:hint="eastAsia" w:ascii="宋体" w:hAnsi="宋体"/>
          <w:color w:val="auto"/>
          <w:sz w:val="21"/>
          <w:szCs w:val="21"/>
          <w:lang w:eastAsia="zh-CN"/>
        </w:rPr>
        <w:t>管网</w:t>
      </w:r>
      <w:r>
        <w:rPr>
          <w:rFonts w:hint="eastAsia" w:ascii="宋体" w:hAnsi="宋体"/>
          <w:color w:val="auto"/>
          <w:sz w:val="21"/>
          <w:szCs w:val="21"/>
        </w:rPr>
        <w:t>土建工程、雨棚工程及桩基工程等各专业内容。</w:t>
      </w:r>
      <w:r>
        <w:rPr>
          <w:rFonts w:ascii="宋体" w:hAnsi="宋体"/>
          <w:color w:val="auto"/>
          <w:sz w:val="21"/>
          <w:szCs w:val="21"/>
        </w:rPr>
        <w:t>具体以工程量清单为准。</w:t>
      </w:r>
    </w:p>
    <w:p w14:paraId="2652B480">
      <w:pPr>
        <w:pStyle w:val="5"/>
        <w:spacing w:line="360" w:lineRule="auto"/>
        <w:ind w:firstLine="420" w:firstLineChars="200"/>
        <w:rPr>
          <w:rFonts w:hint="default" w:ascii="宋体" w:hAnsi="宋体"/>
          <w:color w:val="auto"/>
          <w:sz w:val="21"/>
          <w:szCs w:val="21"/>
          <w:highlight w:val="none"/>
        </w:rPr>
      </w:pPr>
      <w:r>
        <w:rPr>
          <w:rFonts w:ascii="宋体" w:hAnsi="宋体"/>
          <w:color w:val="auto"/>
          <w:sz w:val="21"/>
          <w:szCs w:val="21"/>
          <w:highlight w:val="none"/>
        </w:rPr>
        <w:t>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E282B0B">
      <w:pPr>
        <w:pStyle w:val="2"/>
        <w:widowControl/>
        <w:spacing w:beforeAutospacing="0" w:afterAutospacing="0" w:line="360" w:lineRule="auto"/>
        <w:jc w:val="both"/>
        <w:rPr>
          <w:rFonts w:ascii="宋体" w:hAnsi="宋体" w:cs="宋体"/>
          <w:b/>
          <w:bCs/>
          <w:color w:val="auto"/>
          <w:sz w:val="21"/>
          <w:szCs w:val="21"/>
          <w:highlight w:val="none"/>
        </w:rPr>
      </w:pPr>
      <w:r>
        <w:rPr>
          <w:rFonts w:hint="eastAsia" w:ascii="宋体" w:hAnsi="宋体" w:cs="宋体"/>
          <w:b/>
          <w:bCs/>
          <w:color w:val="auto"/>
          <w:sz w:val="21"/>
          <w:szCs w:val="21"/>
          <w:highlight w:val="none"/>
        </w:rPr>
        <w:t>二、工程内容和施工地点、计划工期、缺陷责任期、质量保修期</w:t>
      </w:r>
    </w:p>
    <w:p w14:paraId="44CEA6F6">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rPr>
        <w:t>（一）工程内容：本项目主要包含室内装饰装修工程、室内给排水工程、管网工程、</w:t>
      </w:r>
      <w:r>
        <w:rPr>
          <w:rFonts w:hint="eastAsia" w:ascii="宋体" w:hAnsi="宋体" w:cs="宋体"/>
          <w:color w:val="auto"/>
          <w:sz w:val="21"/>
          <w:szCs w:val="21"/>
          <w:highlight w:val="none"/>
          <w:lang w:eastAsia="zh-CN"/>
        </w:rPr>
        <w:t>管网</w:t>
      </w:r>
      <w:r>
        <w:rPr>
          <w:rFonts w:hint="eastAsia" w:ascii="宋体" w:hAnsi="宋体" w:cs="宋体"/>
          <w:color w:val="auto"/>
          <w:sz w:val="21"/>
          <w:szCs w:val="21"/>
          <w:highlight w:val="none"/>
        </w:rPr>
        <w:t>土建工程、雨棚工程及桩基工程等各专业内容，具体以工程量清单为准。</w:t>
      </w:r>
    </w:p>
    <w:bookmarkEnd w:id="0"/>
    <w:p w14:paraId="2C8ABFF4">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rPr>
        <w:t>（二）工程地点：</w:t>
      </w:r>
      <w:r>
        <w:rPr>
          <w:rFonts w:hint="eastAsia" w:ascii="宋体" w:hAnsi="宋体" w:cs="宋体"/>
          <w:color w:val="auto"/>
          <w:sz w:val="21"/>
          <w:szCs w:val="21"/>
          <w:highlight w:val="none"/>
          <w:lang w:eastAsia="zh-CN"/>
        </w:rPr>
        <w:t>西安市铁一中学2 号教学楼</w:t>
      </w:r>
      <w:r>
        <w:rPr>
          <w:rFonts w:hint="eastAsia" w:ascii="宋体" w:hAnsi="宋体" w:cs="宋体"/>
          <w:color w:val="auto"/>
          <w:sz w:val="21"/>
          <w:szCs w:val="21"/>
          <w:highlight w:val="none"/>
        </w:rPr>
        <w:t>。</w:t>
      </w:r>
    </w:p>
    <w:p w14:paraId="01EC4886">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rPr>
        <w:t>（三）计划工期：</w:t>
      </w:r>
      <w:r>
        <w:rPr>
          <w:rFonts w:hint="eastAsia" w:ascii="宋体" w:hAnsi="宋体" w:cs="宋体"/>
          <w:color w:val="auto"/>
          <w:sz w:val="21"/>
          <w:szCs w:val="21"/>
          <w:highlight w:val="none"/>
          <w:lang w:eastAsia="zh-CN"/>
        </w:rPr>
        <w:t>自进场之日起60个日历日内竣工</w:t>
      </w:r>
      <w:r>
        <w:rPr>
          <w:rFonts w:hint="eastAsia" w:ascii="宋体" w:hAnsi="宋体" w:cs="宋体"/>
          <w:color w:val="auto"/>
          <w:sz w:val="21"/>
          <w:szCs w:val="21"/>
          <w:highlight w:val="none"/>
        </w:rPr>
        <w:t>。</w:t>
      </w:r>
    </w:p>
    <w:p w14:paraId="220CC568">
      <w:pPr>
        <w:pStyle w:val="5"/>
        <w:spacing w:before="90" w:after="90" w:line="360" w:lineRule="auto"/>
        <w:jc w:val="both"/>
        <w:rPr>
          <w:rFonts w:hint="default" w:ascii="宋体" w:hAnsi="宋体"/>
          <w:color w:val="auto"/>
          <w:sz w:val="21"/>
          <w:szCs w:val="21"/>
          <w:highlight w:val="none"/>
        </w:rPr>
      </w:pPr>
      <w:r>
        <w:rPr>
          <w:rFonts w:ascii="宋体" w:hAnsi="宋体"/>
          <w:color w:val="auto"/>
          <w:sz w:val="21"/>
          <w:szCs w:val="21"/>
          <w:highlight w:val="none"/>
        </w:rPr>
        <w:t>（四）缺陷责任期：本工程缺陷责任期为2年，缺陷责任期自工程竣工验收合格之日起计算。</w:t>
      </w:r>
    </w:p>
    <w:p w14:paraId="76981F8E">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rPr>
        <w:t>（五）质量保修期：按照国家民用建筑相关规定执行。</w:t>
      </w:r>
    </w:p>
    <w:p w14:paraId="79F9DF65">
      <w:pPr>
        <w:pStyle w:val="5"/>
        <w:spacing w:before="90" w:after="90" w:line="360" w:lineRule="auto"/>
        <w:jc w:val="both"/>
        <w:rPr>
          <w:rFonts w:hint="default" w:ascii="宋体" w:hAnsi="宋体"/>
          <w:color w:val="auto"/>
          <w:sz w:val="21"/>
          <w:szCs w:val="21"/>
          <w:highlight w:val="none"/>
        </w:rPr>
      </w:pPr>
      <w:r>
        <w:rPr>
          <w:rFonts w:ascii="宋体" w:hAnsi="宋体"/>
          <w:color w:val="auto"/>
          <w:sz w:val="21"/>
          <w:szCs w:val="21"/>
          <w:highlight w:val="none"/>
        </w:rPr>
        <w:t>（六）质量要求：合格。</w:t>
      </w:r>
    </w:p>
    <w:p w14:paraId="7D367399">
      <w:pPr>
        <w:pStyle w:val="2"/>
        <w:widowControl/>
        <w:spacing w:beforeAutospacing="0" w:afterAutospacing="0" w:line="360" w:lineRule="auto"/>
        <w:jc w:val="both"/>
        <w:rPr>
          <w:rFonts w:ascii="宋体" w:hAnsi="宋体" w:cs="宋体"/>
          <w:b/>
          <w:bCs/>
          <w:color w:val="auto"/>
          <w:sz w:val="21"/>
          <w:szCs w:val="21"/>
          <w:highlight w:val="none"/>
        </w:rPr>
      </w:pPr>
      <w:r>
        <w:rPr>
          <w:rFonts w:hint="eastAsia" w:ascii="宋体" w:hAnsi="宋体" w:cs="宋体"/>
          <w:b/>
          <w:bCs/>
          <w:color w:val="auto"/>
          <w:sz w:val="21"/>
          <w:szCs w:val="21"/>
          <w:highlight w:val="none"/>
        </w:rPr>
        <w:t>三、工程量清单和编制依据</w:t>
      </w:r>
    </w:p>
    <w:p w14:paraId="1FFF61A4">
      <w:pPr>
        <w:pStyle w:val="2"/>
        <w:widowControl/>
        <w:spacing w:beforeAutospacing="0" w:afterAutospacing="0" w:line="360" w:lineRule="auto"/>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（一）编制依据：</w:t>
      </w:r>
    </w:p>
    <w:p w14:paraId="56C8D9F8">
      <w:pPr>
        <w:spacing w:line="360" w:lineRule="auto"/>
        <w:ind w:firstLine="411" w:firstLineChars="196"/>
        <w:jc w:val="left"/>
        <w:rPr>
          <w:rFonts w:hint="eastAsia" w:ascii="宋体" w:hAnsi="宋体" w:eastAsia="宋体" w:cs="宋体"/>
          <w:sz w:val="21"/>
          <w:szCs w:val="21"/>
          <w:lang w:eastAsia="zh-CN"/>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工程量</w:t>
      </w:r>
      <w:r>
        <w:rPr>
          <w:rFonts w:hint="eastAsia" w:ascii="宋体" w:hAnsi="宋体" w:eastAsia="宋体" w:cs="宋体"/>
          <w:sz w:val="21"/>
          <w:szCs w:val="21"/>
          <w:highlight w:val="none"/>
          <w:lang w:eastAsia="zh-CN"/>
        </w:rPr>
        <w:t>依据</w:t>
      </w:r>
      <w:r>
        <w:rPr>
          <w:rFonts w:hint="eastAsia" w:ascii="宋体" w:hAnsi="宋体" w:eastAsia="宋体" w:cs="宋体"/>
          <w:kern w:val="2"/>
          <w:sz w:val="21"/>
          <w:szCs w:val="21"/>
          <w:highlight w:val="none"/>
          <w:lang w:val="en-US" w:eastAsia="zh-CN" w:bidi="ar-SA"/>
        </w:rPr>
        <w:t>西安建筑科技大学设计研究总院有限公司</w:t>
      </w:r>
      <w:r>
        <w:rPr>
          <w:rFonts w:hint="eastAsia" w:ascii="宋体" w:hAnsi="宋体" w:eastAsia="宋体" w:cs="宋体"/>
          <w:sz w:val="21"/>
          <w:szCs w:val="21"/>
          <w:highlight w:val="none"/>
        </w:rPr>
        <w:t>的</w:t>
      </w:r>
      <w:r>
        <w:rPr>
          <w:rFonts w:hint="eastAsia" w:ascii="宋体" w:hAnsi="宋体" w:eastAsia="宋体" w:cs="宋体"/>
          <w:sz w:val="21"/>
          <w:szCs w:val="21"/>
          <w:highlight w:val="none"/>
          <w:lang w:eastAsia="zh-CN"/>
        </w:rPr>
        <w:t>西安市铁一中学2号教学楼加固改造工程</w:t>
      </w:r>
      <w:r>
        <w:rPr>
          <w:rFonts w:hint="eastAsia" w:ascii="宋体" w:hAnsi="宋体" w:eastAsia="宋体" w:cs="宋体"/>
          <w:sz w:val="21"/>
          <w:szCs w:val="21"/>
          <w:highlight w:val="none"/>
        </w:rPr>
        <w:t>各专业</w:t>
      </w:r>
      <w:r>
        <w:rPr>
          <w:rFonts w:hint="eastAsia" w:ascii="宋体" w:hAnsi="宋体" w:eastAsia="宋体" w:cs="宋体"/>
          <w:sz w:val="21"/>
          <w:szCs w:val="21"/>
        </w:rPr>
        <w:t>施工图及设计答疑回复编制</w:t>
      </w:r>
      <w:r>
        <w:rPr>
          <w:rFonts w:hint="eastAsia" w:ascii="宋体" w:hAnsi="宋体" w:eastAsia="宋体" w:cs="宋体"/>
          <w:sz w:val="21"/>
          <w:szCs w:val="21"/>
          <w:lang w:eastAsia="zh-CN"/>
        </w:rPr>
        <w:t>；</w:t>
      </w:r>
    </w:p>
    <w:p w14:paraId="30C3DCF7">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关于批准发布《绿色生态小区建设评价标准》等7项陕西省工程建设标准的通告</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陕建标发〔2025〕2号</w:t>
      </w:r>
      <w:r>
        <w:rPr>
          <w:rFonts w:hint="eastAsia" w:ascii="宋体" w:hAnsi="宋体" w:eastAsia="宋体" w:cs="宋体"/>
          <w:b w:val="0"/>
          <w:bCs w:val="0"/>
          <w:sz w:val="21"/>
          <w:szCs w:val="21"/>
          <w:highlight w:val="none"/>
          <w:lang w:eastAsia="zh-CN"/>
        </w:rPr>
        <w:t>，</w:t>
      </w:r>
      <w:r>
        <w:rPr>
          <w:rFonts w:hint="eastAsia" w:ascii="宋体" w:hAnsi="宋体" w:eastAsia="宋体" w:cs="宋体"/>
          <w:sz w:val="21"/>
          <w:szCs w:val="21"/>
          <w:highlight w:val="none"/>
        </w:rPr>
        <w:t>《</w:t>
      </w:r>
      <w:r>
        <w:rPr>
          <w:rFonts w:ascii="宋体" w:hAnsi="宋体" w:eastAsia="宋体" w:cs="宋体"/>
          <w:sz w:val="21"/>
          <w:szCs w:val="21"/>
        </w:rPr>
        <w:t>建设工程工程量清单计价标准</w:t>
      </w:r>
      <w:r>
        <w:rPr>
          <w:rFonts w:hint="eastAsia" w:ascii="宋体" w:hAnsi="宋体" w:eastAsia="宋体" w:cs="宋体"/>
          <w:sz w:val="21"/>
          <w:szCs w:val="21"/>
        </w:rPr>
        <w:t>》（</w:t>
      </w:r>
      <w:r>
        <w:rPr>
          <w:rFonts w:hint="eastAsia" w:ascii="宋体" w:hAnsi="宋体" w:eastAsia="宋体" w:cs="宋体"/>
          <w:sz w:val="21"/>
          <w:szCs w:val="21"/>
          <w:lang w:val="en-US" w:eastAsia="zh-CN"/>
        </w:rPr>
        <w:t>DB 61/T5126-</w:t>
      </w:r>
      <w:r>
        <w:rPr>
          <w:rFonts w:hint="eastAsia" w:ascii="宋体" w:hAnsi="宋体" w:eastAsia="宋体" w:cs="宋体"/>
          <w:sz w:val="21"/>
          <w:szCs w:val="21"/>
        </w:rPr>
        <w:t>2025）、《市政工程工程量计算标准》（</w:t>
      </w:r>
      <w:r>
        <w:rPr>
          <w:rFonts w:hint="eastAsia" w:ascii="宋体" w:hAnsi="宋体" w:eastAsia="宋体" w:cs="宋体"/>
          <w:sz w:val="21"/>
          <w:szCs w:val="21"/>
          <w:lang w:val="en-US" w:eastAsia="zh-CN"/>
        </w:rPr>
        <w:t>DB 61/T5128-</w:t>
      </w:r>
      <w:r>
        <w:rPr>
          <w:rFonts w:hint="eastAsia" w:ascii="宋体" w:hAnsi="宋体" w:eastAsia="宋体" w:cs="宋体"/>
          <w:sz w:val="21"/>
          <w:szCs w:val="21"/>
        </w:rPr>
        <w:t>2025）</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ascii="宋体" w:hAnsi="宋体" w:eastAsia="宋体" w:cs="宋体"/>
          <w:sz w:val="21"/>
          <w:szCs w:val="21"/>
        </w:rPr>
        <w:t>房屋建筑与装饰工程工程量计算标准</w:t>
      </w:r>
      <w:r>
        <w:rPr>
          <w:rFonts w:hint="eastAsia" w:ascii="宋体" w:hAnsi="宋体" w:eastAsia="宋体" w:cs="宋体"/>
          <w:sz w:val="21"/>
          <w:szCs w:val="21"/>
        </w:rPr>
        <w:t>》（</w:t>
      </w:r>
      <w:r>
        <w:rPr>
          <w:rFonts w:hint="eastAsia" w:ascii="宋体" w:hAnsi="宋体" w:eastAsia="宋体" w:cs="宋体"/>
          <w:sz w:val="21"/>
          <w:szCs w:val="21"/>
          <w:lang w:val="en-US" w:eastAsia="zh-CN"/>
        </w:rPr>
        <w:t>DB 61/T5129-</w:t>
      </w:r>
      <w:r>
        <w:rPr>
          <w:rFonts w:hint="eastAsia" w:ascii="宋体" w:hAnsi="宋体" w:eastAsia="宋体" w:cs="宋体"/>
          <w:sz w:val="21"/>
          <w:szCs w:val="21"/>
        </w:rPr>
        <w:t>2025）、《</w:t>
      </w:r>
      <w:r>
        <w:rPr>
          <w:rFonts w:ascii="宋体" w:hAnsi="宋体" w:eastAsia="宋体" w:cs="宋体"/>
          <w:sz w:val="21"/>
          <w:szCs w:val="21"/>
        </w:rPr>
        <w:t>通用安装工程工程量计算标准</w:t>
      </w:r>
      <w:r>
        <w:rPr>
          <w:rFonts w:hint="eastAsia" w:ascii="宋体" w:hAnsi="宋体" w:eastAsia="宋体" w:cs="宋体"/>
          <w:sz w:val="21"/>
          <w:szCs w:val="21"/>
        </w:rPr>
        <w:t>》（</w:t>
      </w:r>
      <w:r>
        <w:rPr>
          <w:rFonts w:hint="eastAsia" w:ascii="宋体" w:hAnsi="宋体" w:eastAsia="宋体" w:cs="宋体"/>
          <w:sz w:val="21"/>
          <w:szCs w:val="21"/>
          <w:lang w:val="en-US" w:eastAsia="zh-CN"/>
        </w:rPr>
        <w:t>DB 61/T5130-</w:t>
      </w:r>
      <w:r>
        <w:rPr>
          <w:rFonts w:hint="eastAsia" w:ascii="宋体" w:hAnsi="宋体" w:eastAsia="宋体" w:cs="宋体"/>
          <w:sz w:val="21"/>
          <w:szCs w:val="21"/>
        </w:rPr>
        <w:t>2025）、《</w:t>
      </w:r>
      <w:r>
        <w:rPr>
          <w:rFonts w:ascii="宋体" w:hAnsi="宋体" w:eastAsia="宋体" w:cs="宋体"/>
          <w:sz w:val="21"/>
          <w:szCs w:val="21"/>
        </w:rPr>
        <w:t>园林绿化工程工程量计算标准</w:t>
      </w:r>
      <w:r>
        <w:rPr>
          <w:rFonts w:hint="eastAsia" w:ascii="宋体" w:hAnsi="宋体" w:eastAsia="宋体" w:cs="宋体"/>
          <w:sz w:val="21"/>
          <w:szCs w:val="21"/>
        </w:rPr>
        <w:t>》（</w:t>
      </w:r>
      <w:r>
        <w:rPr>
          <w:rFonts w:hint="eastAsia" w:ascii="宋体" w:hAnsi="宋体" w:eastAsia="宋体" w:cs="宋体"/>
          <w:sz w:val="21"/>
          <w:szCs w:val="21"/>
          <w:lang w:val="en-US" w:eastAsia="zh-CN"/>
        </w:rPr>
        <w:t>DB 61/T5131-</w:t>
      </w:r>
      <w:r>
        <w:rPr>
          <w:rFonts w:hint="eastAsia" w:ascii="宋体" w:hAnsi="宋体" w:eastAsia="宋体" w:cs="宋体"/>
          <w:sz w:val="21"/>
          <w:szCs w:val="21"/>
        </w:rPr>
        <w:t>2025）；</w:t>
      </w:r>
    </w:p>
    <w:p w14:paraId="6FB3272C">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3.</w:t>
      </w:r>
      <w:r>
        <w:rPr>
          <w:rFonts w:hint="eastAsia" w:ascii="宋体" w:hAnsi="宋体" w:eastAsia="宋体" w:cs="宋体"/>
          <w:sz w:val="21"/>
          <w:szCs w:val="21"/>
        </w:rPr>
        <w:t>工程特点及常规施工方案，现行施工规范</w:t>
      </w:r>
      <w:r>
        <w:rPr>
          <w:rFonts w:hint="eastAsia" w:ascii="宋体" w:hAnsi="宋体" w:eastAsia="宋体" w:cs="宋体"/>
          <w:sz w:val="21"/>
          <w:szCs w:val="21"/>
          <w:lang w:eastAsia="zh-CN"/>
        </w:rPr>
        <w:t>；</w:t>
      </w:r>
    </w:p>
    <w:p w14:paraId="03FF1A92">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4.</w:t>
      </w:r>
      <w:r>
        <w:rPr>
          <w:rFonts w:hint="eastAsia" w:ascii="宋体" w:hAnsi="宋体" w:eastAsia="宋体" w:cs="宋体"/>
          <w:sz w:val="21"/>
          <w:szCs w:val="21"/>
        </w:rPr>
        <w:t>与建设工程项目有关的标准、规范、图集、技术资料</w:t>
      </w:r>
      <w:r>
        <w:rPr>
          <w:rFonts w:hint="eastAsia" w:ascii="宋体" w:hAnsi="宋体" w:eastAsia="宋体" w:cs="宋体"/>
          <w:sz w:val="21"/>
          <w:szCs w:val="21"/>
          <w:lang w:eastAsia="zh-CN"/>
        </w:rPr>
        <w:t>；</w:t>
      </w:r>
    </w:p>
    <w:p w14:paraId="55A250F4">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eastAsia="zh-CN"/>
        </w:rPr>
        <w:t>图纸问题答疑回复；</w:t>
      </w:r>
    </w:p>
    <w:p w14:paraId="5A30E0DC">
      <w:pPr>
        <w:pStyle w:val="2"/>
        <w:widowControl/>
        <w:spacing w:beforeAutospacing="0" w:afterAutospacing="0" w:line="360" w:lineRule="auto"/>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（二）编制说明：</w:t>
      </w:r>
    </w:p>
    <w:p w14:paraId="0723C4D5">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sz w:val="21"/>
          <w:szCs w:val="21"/>
          <w:highlight w:val="none"/>
        </w:rPr>
      </w:pPr>
      <w:r>
        <w:rPr>
          <w:rFonts w:hint="eastAsia" w:ascii="宋体" w:hAnsi="宋体" w:cs="宋体"/>
          <w:sz w:val="21"/>
          <w:szCs w:val="21"/>
          <w:highlight w:val="none"/>
          <w:lang w:eastAsia="zh-CN"/>
        </w:rPr>
        <w:t>1.</w:t>
      </w:r>
      <w:r>
        <w:rPr>
          <w:rFonts w:hint="eastAsia" w:ascii="宋体" w:hAnsi="宋体" w:eastAsia="宋体" w:cs="宋体"/>
          <w:sz w:val="21"/>
          <w:szCs w:val="21"/>
          <w:highlight w:val="none"/>
        </w:rPr>
        <w:t>本工程量清单所提供工程项目特征仅表达了主要工程做法，组价时应依据</w:t>
      </w:r>
      <w:r>
        <w:rPr>
          <w:rFonts w:hint="eastAsia" w:ascii="宋体" w:hAnsi="宋体" w:eastAsia="宋体" w:cs="宋体"/>
          <w:sz w:val="21"/>
          <w:szCs w:val="21"/>
          <w:highlight w:val="none"/>
          <w:lang w:eastAsia="zh-CN"/>
        </w:rPr>
        <w:t>施工</w:t>
      </w:r>
      <w:r>
        <w:rPr>
          <w:rFonts w:hint="eastAsia" w:ascii="宋体" w:hAnsi="宋体" w:eastAsia="宋体" w:cs="宋体"/>
          <w:sz w:val="21"/>
          <w:szCs w:val="21"/>
          <w:highlight w:val="none"/>
        </w:rPr>
        <w:t>图纸、相关图集</w:t>
      </w:r>
      <w:r>
        <w:rPr>
          <w:rFonts w:hint="eastAsia" w:ascii="宋体" w:hAnsi="宋体" w:eastAsia="宋体" w:cs="宋体"/>
          <w:sz w:val="21"/>
          <w:szCs w:val="21"/>
          <w:highlight w:val="none"/>
          <w:lang w:eastAsia="zh-CN"/>
        </w:rPr>
        <w:t>、招标文件、</w:t>
      </w:r>
      <w:r>
        <w:rPr>
          <w:rFonts w:hint="eastAsia" w:ascii="宋体" w:hAnsi="宋体" w:eastAsia="宋体" w:cs="宋体"/>
          <w:sz w:val="21"/>
          <w:szCs w:val="21"/>
          <w:highlight w:val="none"/>
        </w:rPr>
        <w:t>技术规范、答疑</w:t>
      </w:r>
      <w:r>
        <w:rPr>
          <w:rFonts w:hint="eastAsia" w:ascii="宋体" w:hAnsi="宋体" w:eastAsia="宋体" w:cs="宋体"/>
          <w:sz w:val="21"/>
          <w:szCs w:val="21"/>
          <w:highlight w:val="none"/>
          <w:lang w:eastAsia="zh-CN"/>
        </w:rPr>
        <w:t>回复</w:t>
      </w:r>
      <w:r>
        <w:rPr>
          <w:rFonts w:hint="eastAsia" w:ascii="宋体" w:hAnsi="宋体" w:eastAsia="宋体" w:cs="宋体"/>
          <w:sz w:val="21"/>
          <w:szCs w:val="21"/>
          <w:highlight w:val="none"/>
        </w:rPr>
        <w:t>等进行组价；</w:t>
      </w:r>
    </w:p>
    <w:p w14:paraId="4ED41C75">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2.</w:t>
      </w:r>
      <w:r>
        <w:rPr>
          <w:rFonts w:hint="eastAsia" w:ascii="宋体" w:hAnsi="宋体" w:eastAsia="宋体" w:cs="宋体"/>
          <w:sz w:val="21"/>
          <w:szCs w:val="21"/>
          <w:highlight w:val="none"/>
          <w:lang w:eastAsia="zh-CN"/>
        </w:rPr>
        <w:t>本工程采用一般计税:组成税前工程造价的分部分项工程项目费、措施项目费、其他项目费均不包含进项税税额</w:t>
      </w:r>
      <w:r>
        <w:rPr>
          <w:rFonts w:hint="eastAsia" w:ascii="宋体" w:hAnsi="宋体" w:eastAsia="宋体" w:cs="宋体"/>
          <w:sz w:val="21"/>
          <w:szCs w:val="21"/>
          <w:highlight w:val="none"/>
        </w:rPr>
        <w:t>；</w:t>
      </w:r>
    </w:p>
    <w:p w14:paraId="376F6D39">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本工程</w:t>
      </w:r>
      <w:r>
        <w:rPr>
          <w:rFonts w:hint="eastAsia" w:ascii="宋体" w:hAnsi="宋体" w:eastAsia="宋体" w:cs="宋体"/>
          <w:sz w:val="21"/>
          <w:szCs w:val="21"/>
          <w:highlight w:val="none"/>
          <w:lang w:eastAsia="zh-CN"/>
        </w:rPr>
        <w:t>砂浆采用预拌砂浆，混凝土采用商品混凝土；</w:t>
      </w:r>
    </w:p>
    <w:p w14:paraId="6FDB6975">
      <w:pPr>
        <w:keepNext w:val="0"/>
        <w:keepLines w:val="0"/>
        <w:pageBreakBefore w:val="0"/>
        <w:widowControl w:val="0"/>
        <w:kinsoku/>
        <w:wordWrap/>
        <w:overflowPunct/>
        <w:topLinePunct w:val="0"/>
        <w:autoSpaceDE/>
        <w:autoSpaceDN/>
        <w:bidi w:val="0"/>
        <w:adjustRightInd/>
        <w:snapToGrid/>
        <w:spacing w:line="360" w:lineRule="auto"/>
        <w:ind w:firstLine="411" w:firstLineChars="196"/>
        <w:jc w:val="left"/>
        <w:textAlignment w:val="auto"/>
        <w:rPr>
          <w:rFonts w:hint="eastAsia" w:ascii="宋体" w:hAnsi="宋体" w:cs="宋体"/>
          <w:color w:val="auto"/>
          <w:sz w:val="21"/>
          <w:szCs w:val="21"/>
          <w:highlight w:val="yellow"/>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rPr>
        <w:t>电子版使用广联达云计价软件GCCP</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.0（版本：</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50</w:t>
      </w:r>
      <w:r>
        <w:rPr>
          <w:rFonts w:hint="eastAsia" w:ascii="宋体" w:hAnsi="宋体" w:eastAsia="宋体" w:cs="宋体"/>
          <w:sz w:val="21"/>
          <w:szCs w:val="21"/>
          <w:highlight w:val="none"/>
        </w:rPr>
        <w:t>00.23.</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w:t>
      </w:r>
    </w:p>
    <w:p w14:paraId="6D7F6C20">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rPr>
        <w:t>（三）暂列金额：本工程暂列金额共计184000.00元（不含税），计入单位工程暂列金额其他项目费中。</w:t>
      </w:r>
    </w:p>
    <w:p w14:paraId="6E3BBC56">
      <w:pPr>
        <w:pStyle w:val="2"/>
        <w:widowControl/>
        <w:spacing w:beforeAutospacing="0" w:afterAutospacing="0" w:line="360" w:lineRule="auto"/>
        <w:jc w:val="both"/>
        <w:rPr>
          <w:rFonts w:ascii="宋体" w:hAnsi="宋体" w:cs="宋体"/>
          <w:b/>
          <w:bCs/>
          <w:color w:val="auto"/>
          <w:sz w:val="21"/>
          <w:szCs w:val="21"/>
          <w:highlight w:val="none"/>
        </w:rPr>
      </w:pPr>
      <w:r>
        <w:rPr>
          <w:rFonts w:hint="eastAsia" w:ascii="宋体" w:hAnsi="宋体" w:cs="宋体"/>
          <w:b/>
          <w:bCs/>
          <w:color w:val="auto"/>
          <w:sz w:val="21"/>
          <w:szCs w:val="21"/>
          <w:highlight w:val="none"/>
        </w:rPr>
        <w:t>四、施工要求</w:t>
      </w:r>
    </w:p>
    <w:p w14:paraId="76B591F7">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rPr>
        <w:t>1.在施工期间，供应商必须注意施工现场人员安全，加强安全措施，并对施工人员进行安全教育。施工人员必须持证上岗。</w:t>
      </w:r>
    </w:p>
    <w:p w14:paraId="177EF2D5">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.供应商在本工程中的项目负责人(项目经理)，要求技术水平高、组织能力强、有丰富的工程业绩和实践经验，懂管理、善于协调。施工人员中特殊工程人员要求有上岗证。施工队伍稳定，保证整个工程顺利完工。</w:t>
      </w:r>
    </w:p>
    <w:p w14:paraId="28AE0063">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.施工过程中，严格遵守</w:t>
      </w:r>
      <w:r>
        <w:rPr>
          <w:rFonts w:hint="eastAsia" w:ascii="宋体" w:hAnsi="宋体" w:cs="宋体"/>
          <w:color w:val="auto"/>
          <w:sz w:val="21"/>
          <w:szCs w:val="21"/>
          <w:highlight w:val="none"/>
          <w:lang w:val="en-US" w:eastAsia="zh-CN"/>
        </w:rPr>
        <w:t>采购人</w:t>
      </w:r>
      <w:r>
        <w:rPr>
          <w:rFonts w:hint="eastAsia" w:ascii="宋体" w:hAnsi="宋体" w:cs="宋体"/>
          <w:color w:val="auto"/>
          <w:sz w:val="21"/>
          <w:szCs w:val="21"/>
          <w:highlight w:val="none"/>
        </w:rPr>
        <w:t>各种管理规定及规章制度，做到文明施工。发生工伤及意外事故由施工单位负责。</w:t>
      </w:r>
    </w:p>
    <w:p w14:paraId="39B72BB3">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.严格按照国家和省上有关规定施工、规范施工，确保工程合格，如有更改须事先征得有关方面的同意，并在采购人落实后实施，并出具书面说明。</w:t>
      </w:r>
    </w:p>
    <w:p w14:paraId="10F95D5F">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.工程实行包工包料，供应商必须具备相应的资质，不得转包、分包。</w:t>
      </w:r>
    </w:p>
    <w:p w14:paraId="19210262">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.供应商根据工程实际情况编制施工方案，制定工期进度安排表，并随磋商响应文件一并提交。</w:t>
      </w:r>
    </w:p>
    <w:p w14:paraId="57F9BAEF">
      <w:pPr>
        <w:pStyle w:val="2"/>
        <w:widowControl/>
        <w:spacing w:beforeAutospacing="0" w:afterAutospacing="0" w:line="360" w:lineRule="auto"/>
        <w:jc w:val="both"/>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.所有进场材料需携带合格证等质量证明文件，所有提供的材料均需使用环保产品，对小区内住户的健康无危害，由采购人现场代表对所进场材料予以验收并签字确认。</w:t>
      </w:r>
    </w:p>
    <w:p w14:paraId="1A565DE2">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rPr>
        <w:t>.施工期间需采取必要措施确保现场正常运行。</w:t>
      </w:r>
    </w:p>
    <w:p w14:paraId="61A493FC">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rPr>
        <w:t>.所有施工人员需统一着装统一单位标识，严禁随意通行。</w:t>
      </w:r>
    </w:p>
    <w:p w14:paraId="20E9A1B7">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10</w:t>
      </w:r>
      <w:r>
        <w:rPr>
          <w:rFonts w:hint="eastAsia" w:ascii="宋体" w:hAnsi="宋体" w:cs="宋体"/>
          <w:color w:val="auto"/>
          <w:sz w:val="21"/>
          <w:szCs w:val="21"/>
          <w:highlight w:val="none"/>
        </w:rPr>
        <w:t>.选用的主材、设备、辅材必须使用国家名优产品，并明确其品牌、规格、型号、产地，并附鉴定证书，对主要设备材料</w:t>
      </w:r>
      <w:r>
        <w:rPr>
          <w:rFonts w:hint="eastAsia" w:ascii="宋体" w:hAnsi="宋体" w:cs="宋体"/>
          <w:color w:val="auto"/>
          <w:sz w:val="21"/>
          <w:szCs w:val="21"/>
          <w:highlight w:val="none"/>
          <w:lang w:val="en-US" w:eastAsia="zh-CN"/>
        </w:rPr>
        <w:t>需</w:t>
      </w:r>
      <w:r>
        <w:rPr>
          <w:rFonts w:hint="eastAsia" w:ascii="宋体" w:hAnsi="宋体" w:cs="宋体"/>
          <w:color w:val="auto"/>
          <w:sz w:val="21"/>
          <w:szCs w:val="21"/>
          <w:highlight w:val="none"/>
        </w:rPr>
        <w:t>先提交样品，经认质后，方可订货，不得使用未经检验或不合格的设备、材料，若发生此种情况，将追究相关人员责任，并赔偿由此造成的一切经济损失。</w:t>
      </w:r>
    </w:p>
    <w:p w14:paraId="0A432FBA">
      <w:pPr>
        <w:pStyle w:val="2"/>
        <w:widowControl/>
        <w:spacing w:beforeAutospacing="0" w:afterAutospacing="0" w:line="360" w:lineRule="auto"/>
        <w:jc w:val="both"/>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.供应商必须向采购人及时提供合格证及材料检验单。在征得有关方面认可后，方可进行施工，并做好相应的检验环节。</w:t>
      </w:r>
    </w:p>
    <w:p w14:paraId="272E442A">
      <w:pPr>
        <w:pStyle w:val="2"/>
        <w:widowControl/>
        <w:spacing w:beforeAutospacing="0" w:afterAutospacing="0" w:line="360" w:lineRule="auto"/>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.供应商未经采购人同意，不得擅自更换本工程在磋商响应文件中指定的项目施工负责人(项目经理)及施工队伍。不得分包、转包。确需分包时须征得采购人同意。否则将终止合同并按政府采购有关规定进行处理。</w:t>
      </w:r>
    </w:p>
    <w:p w14:paraId="11AB35CB">
      <w:pPr>
        <w:pStyle w:val="2"/>
        <w:widowControl/>
        <w:spacing w:beforeAutospacing="0" w:afterAutospacing="0" w:line="360" w:lineRule="auto"/>
        <w:jc w:val="both"/>
        <w:rPr>
          <w:rFonts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六</w:t>
      </w:r>
      <w:r>
        <w:rPr>
          <w:rFonts w:hint="eastAsia" w:ascii="宋体" w:hAnsi="宋体" w:cs="宋体"/>
          <w:b/>
          <w:bCs/>
          <w:color w:val="auto"/>
          <w:sz w:val="21"/>
          <w:szCs w:val="21"/>
          <w:highlight w:val="none"/>
        </w:rPr>
        <w:t>、商务要求（如合同价款及结算方式等）</w:t>
      </w:r>
    </w:p>
    <w:p w14:paraId="73CAB2E1">
      <w:pPr>
        <w:spacing w:line="360" w:lineRule="auto"/>
      </w:pPr>
      <w:r>
        <w:rPr>
          <w:rFonts w:hint="eastAsia" w:ascii="宋体" w:hAnsi="宋体" w:cs="宋体"/>
          <w:color w:val="auto"/>
          <w:sz w:val="21"/>
          <w:szCs w:val="21"/>
          <w:highlight w:val="none"/>
        </w:rPr>
        <w:t>款项结算：合同签订后15个工作日内，采购人向供应商支付合同总价（</w:t>
      </w:r>
      <w:r>
        <w:rPr>
          <w:rFonts w:hint="eastAsia" w:ascii="宋体" w:hAnsi="宋体" w:cs="宋体"/>
          <w:color w:val="auto"/>
          <w:sz w:val="21"/>
          <w:szCs w:val="21"/>
          <w:highlight w:val="none"/>
          <w:lang w:eastAsia="zh-CN"/>
        </w:rPr>
        <w:t>扣除暂列金额、安全文明施工费</w:t>
      </w:r>
      <w:r>
        <w:rPr>
          <w:rFonts w:hint="eastAsia" w:ascii="宋体" w:hAnsi="宋体" w:cs="宋体"/>
          <w:color w:val="auto"/>
          <w:sz w:val="21"/>
          <w:szCs w:val="21"/>
          <w:highlight w:val="none"/>
        </w:rPr>
        <w:t>）40%</w:t>
      </w:r>
      <w:r>
        <w:rPr>
          <w:rFonts w:hint="eastAsia" w:ascii="宋体" w:hAnsi="宋体" w:cs="宋体"/>
          <w:color w:val="auto"/>
          <w:sz w:val="21"/>
          <w:szCs w:val="21"/>
          <w:highlight w:val="none"/>
          <w:lang w:val="en-US" w:eastAsia="zh-CN"/>
        </w:rPr>
        <w:t>作为</w:t>
      </w:r>
      <w:r>
        <w:rPr>
          <w:rFonts w:hint="eastAsia" w:ascii="宋体" w:hAnsi="宋体" w:cs="宋体"/>
          <w:color w:val="auto"/>
          <w:sz w:val="21"/>
          <w:szCs w:val="21"/>
          <w:highlight w:val="none"/>
        </w:rPr>
        <w:t>工程预付款；工程竣工验收合格后，由成交供应商报送完整结算资料，结算资料经审核审定完毕后 15 个工作日内，采购人支付至审定结算工程总价的100%。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54344F"/>
    <w:rsid w:val="3B5E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kern w:val="0"/>
      <w:sz w:val="24"/>
    </w:rPr>
  </w:style>
  <w:style w:type="paragraph" w:customStyle="1" w:styleId="5">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1846</Words>
  <Characters>1992</Characters>
  <Lines>0</Lines>
  <Paragraphs>0</Paragraphs>
  <TotalTime>0</TotalTime>
  <ScaleCrop>false</ScaleCrop>
  <LinksUpToDate>false</LinksUpToDate>
  <CharactersWithSpaces>2000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2026-06-30T05:25:00Z</dcterms:created>
  <dc:creator>LX</dc:creator>
  <cp:lastModifiedBy>哆啦A梦</cp:lastModifiedBy>
  <dcterms:modified xsi:type="dcterms:W3CDTF">2026-06-30T06:19:17Z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B6D6EDC163374C41AEF7FF193DF33816_12</vt:lpwstr>
  </property>
</Properties>
</file>