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版本号：YC2631000720260807002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2026年西安市政务数据中心及园区统一运维服务项目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YC26310007</w:t>
      </w:r>
      <w:r>
        <w:br/>
      </w:r>
      <w:r>
        <w:br/>
      </w:r>
      <w:r>
        <w:br/>
      </w:r>
    </w:p>
    <w:p>
      <w:pPr>
        <w:pStyle w:val="null3"/>
        <w:jc w:val="center"/>
        <w:outlineLvl w:val="2"/>
      </w:pPr>
      <w:r>
        <w:rPr>
          <w:rFonts w:ascii="仿宋_GB2312" w:hAnsi="仿宋_GB2312" w:cs="仿宋_GB2312" w:eastAsia="仿宋_GB2312"/>
          <w:sz w:val="28"/>
          <w:b/>
        </w:rPr>
        <w:t>西安市数据局</w:t>
      </w:r>
    </w:p>
    <w:p>
      <w:pPr>
        <w:pStyle w:val="null3"/>
        <w:jc w:val="center"/>
        <w:outlineLvl w:val="2"/>
      </w:pPr>
      <w:r>
        <w:rPr>
          <w:rFonts w:ascii="仿宋_GB2312" w:hAnsi="仿宋_GB2312" w:cs="仿宋_GB2312" w:eastAsia="仿宋_GB2312"/>
          <w:sz w:val="28"/>
          <w:b/>
        </w:rPr>
        <w:t>亿诚建设项目管理有限公司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亿诚建设项目管理有限公司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西安市数据局</w:t>
      </w:r>
      <w:r>
        <w:rPr>
          <w:rFonts w:ascii="仿宋_GB2312" w:hAnsi="仿宋_GB2312" w:cs="仿宋_GB2312" w:eastAsia="仿宋_GB2312"/>
        </w:rPr>
        <w:t>委托，拟对</w:t>
      </w:r>
      <w:r>
        <w:rPr>
          <w:rFonts w:ascii="仿宋_GB2312" w:hAnsi="仿宋_GB2312" w:cs="仿宋_GB2312" w:eastAsia="仿宋_GB2312"/>
        </w:rPr>
        <w:t>2026年西安市政务数据中心及园区统一运维服务项目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YC26310007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2026年西安市政务数据中心及园区统一运维服务项目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服务范围覆盖数据中心核心机房、灾备机房、屏蔽机房及托管机房的306架设备机柜，凤八新行政中心市委、市政府、综合（人大、政协、武警后勤、政务大厅、地震监测中心、文件销毁中心）各园区，劳动南路集中办公区园区的208个弱电井，全面保障基础环境与政务网络的安全稳定运行.</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采购包2（信息化工程监理服务）：属于专门面向中小企业采购。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是独立承担民事责任能力的法人、其他组织或自然人：法人需提供合法有效的营业执照，其他组织需提供合法有效的营业执照或事业单位法人证书或民办非企业单位登记证书或非企业专业服务机构执业许可证等证明资料，自然人须提供身份证明；</w:t>
      </w:r>
    </w:p>
    <w:p>
      <w:pPr>
        <w:pStyle w:val="null3"/>
      </w:pPr>
      <w:r>
        <w:rPr>
          <w:rFonts w:ascii="仿宋_GB2312" w:hAnsi="仿宋_GB2312" w:cs="仿宋_GB2312" w:eastAsia="仿宋_GB2312"/>
        </w:rPr>
        <w:t>2、财务状况报告（带赋码）：提供具有财务审计资质单位出具的2025年完整的财务审计报告或提供开标前三个月内由基本账户开户银行出具的资信证明（附开户许可证或开户备案证明或基本账户信息）或成立时间至提交投标文件截止时间不足一年的可提供成立后任意时段的资产负债表、利润表和现金流量表（以上三种形式的资料提供任何一种即可）；</w:t>
      </w:r>
    </w:p>
    <w:p>
      <w:pPr>
        <w:pStyle w:val="null3"/>
      </w:pPr>
      <w:r>
        <w:rPr>
          <w:rFonts w:ascii="仿宋_GB2312" w:hAnsi="仿宋_GB2312" w:cs="仿宋_GB2312" w:eastAsia="仿宋_GB2312"/>
        </w:rPr>
        <w:t>3、税收缴纳证明：提供投标人2025年7月至今已缴纳任意一个月完税凭证或税务机关开具的完税证明（时间以税款所属日期为准，凭据应有税务机关或代收机关的公章或业务专用章）；依法免税的应提供相关文件证明；</w:t>
      </w:r>
    </w:p>
    <w:p>
      <w:pPr>
        <w:pStyle w:val="null3"/>
      </w:pPr>
      <w:r>
        <w:rPr>
          <w:rFonts w:ascii="仿宋_GB2312" w:hAnsi="仿宋_GB2312" w:cs="仿宋_GB2312" w:eastAsia="仿宋_GB2312"/>
        </w:rPr>
        <w:t>4、社会保障资金缴纳证明：提供投标人2025年7月至今已缴纳任意一个月完税凭证或税务机关开具的完税证明（时间以税款所属日期为准，凭据应有税务机关或代收机关的公章或业务专用章）；</w:t>
      </w:r>
    </w:p>
    <w:p>
      <w:pPr>
        <w:pStyle w:val="null3"/>
      </w:pPr>
      <w:r>
        <w:rPr>
          <w:rFonts w:ascii="仿宋_GB2312" w:hAnsi="仿宋_GB2312" w:cs="仿宋_GB2312" w:eastAsia="仿宋_GB2312"/>
        </w:rPr>
        <w:t>5、书面声明：提供具有履行本合同所必需的设备和专业技术能力的书面声明及承诺；</w:t>
      </w:r>
    </w:p>
    <w:p>
      <w:pPr>
        <w:pStyle w:val="null3"/>
      </w:pPr>
      <w:r>
        <w:rPr>
          <w:rFonts w:ascii="仿宋_GB2312" w:hAnsi="仿宋_GB2312" w:cs="仿宋_GB2312" w:eastAsia="仿宋_GB2312"/>
        </w:rPr>
        <w:t>6、无重大违法记录：提供参加本次政府采购活动前三年内在经营活动中没有重大违法记录的书面声明；</w:t>
      </w:r>
    </w:p>
    <w:p>
      <w:pPr>
        <w:pStyle w:val="null3"/>
      </w:pPr>
      <w:r>
        <w:rPr>
          <w:rFonts w:ascii="仿宋_GB2312" w:hAnsi="仿宋_GB2312" w:cs="仿宋_GB2312" w:eastAsia="仿宋_GB2312"/>
        </w:rPr>
        <w:t>7、信用记录：供应商未被列入中国执行信息公开网（https://zxgk.court.gov.cn/）“失信被执行人”；信用中国网站(www.creditchina.gov.cn)“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8、法人代表授权委托书：法定代表人授权委托书、被授权人身份证（法定代表人参加开标时,只需提供法定代表人身份证）；</w:t>
      </w:r>
    </w:p>
    <w:p>
      <w:pPr>
        <w:pStyle w:val="null3"/>
      </w:pPr>
      <w:r>
        <w:rPr>
          <w:rFonts w:ascii="仿宋_GB2312" w:hAnsi="仿宋_GB2312" w:cs="仿宋_GB2312" w:eastAsia="仿宋_GB2312"/>
        </w:rPr>
        <w:t>9、联合体投标：不接受联合体投标。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供应商应是独立承担民事责任能力的法人、其他组织或自然人：法人需提供合法有效的营业执照，其他组织需提供合法有效的营业执照或事业单位法人证书或民办非企业单位登记证书或非企业专业服务机构执业许可证等证明资料，自然人须提供身份证明；</w:t>
      </w:r>
    </w:p>
    <w:p>
      <w:pPr>
        <w:pStyle w:val="null3"/>
      </w:pPr>
      <w:r>
        <w:rPr>
          <w:rFonts w:ascii="仿宋_GB2312" w:hAnsi="仿宋_GB2312" w:cs="仿宋_GB2312" w:eastAsia="仿宋_GB2312"/>
        </w:rPr>
        <w:t>2、财务状况报告（带赋码）：提供具有财务审计资质单位出具的2025年完整的财务审计报告或提供开标前三个月内由基本账户开户银行出具的资信证明（附开户许可证或开户备案证明或基本账户信息）或成立时间至提交投标文件截止时间不足一年的可提供成立后任意时段的资产负债表、利润表和现金流量表（以上三种形式的资料提供任何一种即可）；</w:t>
      </w:r>
    </w:p>
    <w:p>
      <w:pPr>
        <w:pStyle w:val="null3"/>
      </w:pPr>
      <w:r>
        <w:rPr>
          <w:rFonts w:ascii="仿宋_GB2312" w:hAnsi="仿宋_GB2312" w:cs="仿宋_GB2312" w:eastAsia="仿宋_GB2312"/>
        </w:rPr>
        <w:t>3、税收缴纳证明：提供投标人2025年7月至今已缴纳任意一个月完税凭证或税务机关开具的完税证明（时间以税款所属日期为准，凭据应有税务机关或代收机关的公章或业务专用章）；依法免税的应提供相关文件证明；</w:t>
      </w:r>
    </w:p>
    <w:p>
      <w:pPr>
        <w:pStyle w:val="null3"/>
      </w:pPr>
      <w:r>
        <w:rPr>
          <w:rFonts w:ascii="仿宋_GB2312" w:hAnsi="仿宋_GB2312" w:cs="仿宋_GB2312" w:eastAsia="仿宋_GB2312"/>
        </w:rPr>
        <w:t>4、社会保障资金缴纳证明：提供投标人2025年7月至今已缴纳任意一个月完税凭证或税务机关开具的完税证明（时间以税款所属日期为准，凭据应有税务机关或代收机关的公章或业务专用章）；</w:t>
      </w:r>
    </w:p>
    <w:p>
      <w:pPr>
        <w:pStyle w:val="null3"/>
      </w:pPr>
      <w:r>
        <w:rPr>
          <w:rFonts w:ascii="仿宋_GB2312" w:hAnsi="仿宋_GB2312" w:cs="仿宋_GB2312" w:eastAsia="仿宋_GB2312"/>
        </w:rPr>
        <w:t>5、书面声明：提供具有履行本合同所必需的设备和专业技术能力的书面声明及承诺；</w:t>
      </w:r>
    </w:p>
    <w:p>
      <w:pPr>
        <w:pStyle w:val="null3"/>
      </w:pPr>
      <w:r>
        <w:rPr>
          <w:rFonts w:ascii="仿宋_GB2312" w:hAnsi="仿宋_GB2312" w:cs="仿宋_GB2312" w:eastAsia="仿宋_GB2312"/>
        </w:rPr>
        <w:t>6、无重大违法记录：提供参加本次政府采购活动前三年内在经营活动中没有重大违法记录的书面声明；</w:t>
      </w:r>
    </w:p>
    <w:p>
      <w:pPr>
        <w:pStyle w:val="null3"/>
      </w:pPr>
      <w:r>
        <w:rPr>
          <w:rFonts w:ascii="仿宋_GB2312" w:hAnsi="仿宋_GB2312" w:cs="仿宋_GB2312" w:eastAsia="仿宋_GB2312"/>
        </w:rPr>
        <w:t>7、信用记录：供应商未被列入中国执行信息公开网（https://zxgk.court.gov.cn/）“失信被执行人”；信用中国网站(www.creditchina.gov.cn)“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8、法人代表授权委托书：法定代表人授权委托书、被授权人身份证（法定代表人参加开标时,只需提供法定代表人身份证）；</w:t>
      </w:r>
    </w:p>
    <w:p>
      <w:pPr>
        <w:pStyle w:val="null3"/>
      </w:pPr>
      <w:r>
        <w:rPr>
          <w:rFonts w:ascii="仿宋_GB2312" w:hAnsi="仿宋_GB2312" w:cs="仿宋_GB2312" w:eastAsia="仿宋_GB2312"/>
        </w:rPr>
        <w:t>9、联合体投标：不接受联合体投标。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西安市数据局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西安市数据局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029-67095503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亿诚建设项目管理有限公司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陕西省西安市高新区丈八五路高科尚都ONE尚城A座10F</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郭会云、赵醒文、 张耀峰， 赵利科， 李楠， 董海龙， 屈小军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029-68688088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采购包1：16,725,381.00元</w:t>
            </w:r>
          </w:p>
          <w:p>
            <w:pPr>
              <w:pStyle w:val="null3"/>
            </w:pPr>
            <w:r>
              <w:rPr>
                <w:rFonts w:ascii="仿宋_GB2312" w:hAnsi="仿宋_GB2312" w:cs="仿宋_GB2312" w:eastAsia="仿宋_GB2312"/>
              </w:rPr>
              <w:t>采购包2：227,143.00元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 xml:space="preserve"> 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代理服务费收费标准：代理服务费用收取对象：中标/成交供应商 代理服务费收费标准：各采购包以成交金额为基数，参照国家计委颁布《招标代理服务收费管理暂行办法》（计价格[2002]1980号）和国家发改委办公厅颁发的《关于招标代理服务收费有关问题的通知》（发改办价格[2003]857号）文件规定，采购包1定额收取代理费人民币伍万伍仟元整（￥55000.00）；采购包2定额收取代理费人民币伍仟元整（￥5000.00）。</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西安市数据局</w:t>
      </w:r>
      <w:r>
        <w:rPr>
          <w:rFonts w:ascii="仿宋_GB2312" w:hAnsi="仿宋_GB2312" w:cs="仿宋_GB2312" w:eastAsia="仿宋_GB2312"/>
        </w:rPr>
        <w:t>和</w:t>
      </w:r>
      <w:r>
        <w:rPr>
          <w:rFonts w:ascii="仿宋_GB2312" w:hAnsi="仿宋_GB2312" w:cs="仿宋_GB2312" w:eastAsia="仿宋_GB2312"/>
        </w:rPr>
        <w:t>亿诚建设项目管理有限公司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西安市数据局</w:t>
      </w:r>
      <w:r>
        <w:rPr>
          <w:rFonts w:ascii="仿宋_GB2312" w:hAnsi="仿宋_GB2312" w:cs="仿宋_GB2312" w:eastAsia="仿宋_GB2312"/>
        </w:rPr>
        <w:t>负责解释。除上述招标文件内容，其他内容由</w:t>
      </w:r>
      <w:r>
        <w:rPr>
          <w:rFonts w:ascii="仿宋_GB2312" w:hAnsi="仿宋_GB2312" w:cs="仿宋_GB2312" w:eastAsia="仿宋_GB2312"/>
        </w:rPr>
        <w:t>亿诚建设项目管理有限公司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西安市数据局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亿诚建设项目管理有限公司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财政部关于进一步加强政府采购需求和履约验收管理的指导意见》（财库〔2016〕205号）、《政府采购需求管理办法》（财库〔2021〕22号）等相关法律法规、技术标准、规范流程、采购文件、响应文件及合同进行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严格按照《财政部关于进一步加强政府采购需求和履约验收管理的指导意见》（财库〔2016〕205号）、《政府采购需求管理办法》（财库〔2021〕22号）等相关法律法规、技术标准、规范流程、采购文件、响应文件及合同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联系人：郭会云</w:t>
      </w:r>
    </w:p>
    <w:p>
      <w:pPr>
        <w:pStyle w:val="null3"/>
      </w:pPr>
      <w:r>
        <w:rPr>
          <w:rFonts w:ascii="仿宋_GB2312" w:hAnsi="仿宋_GB2312" w:cs="仿宋_GB2312" w:eastAsia="仿宋_GB2312"/>
        </w:rPr>
        <w:t>联系电话：029-68688088</w:t>
      </w:r>
    </w:p>
    <w:p>
      <w:pPr>
        <w:pStyle w:val="null3"/>
      </w:pPr>
      <w:r>
        <w:rPr>
          <w:rFonts w:ascii="仿宋_GB2312" w:hAnsi="仿宋_GB2312" w:cs="仿宋_GB2312" w:eastAsia="仿宋_GB2312"/>
        </w:rPr>
        <w:t>地址：陕西省西安市高新区丈八五路高科尚都ONE尚城A座10F</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服务范围覆盖数据中心核心机房、灾备机房、屏蔽机房及托管机房的306架设备机柜，凤八新行政中心市委、市政府、综合（人大、政协、武警后勤、政务大厅、地震监测中心、文件销毁中心）各园区，劳动南路集中办公区园区的208个弱电井，全面保障基础环境与政务网络的安全稳定运行.</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16,725,381.00</w:t>
      </w:r>
    </w:p>
    <w:p>
      <w:pPr>
        <w:pStyle w:val="null3"/>
      </w:pPr>
      <w:r>
        <w:rPr>
          <w:rFonts w:ascii="仿宋_GB2312" w:hAnsi="仿宋_GB2312" w:cs="仿宋_GB2312" w:eastAsia="仿宋_GB2312"/>
        </w:rPr>
        <w:t>采购包最高限价（元）: 16,725,381.00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2026年西安市政务数据中心及园区统一运维服务项目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16,725,381.00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227,143.00</w:t>
      </w:r>
    </w:p>
    <w:p>
      <w:pPr>
        <w:pStyle w:val="null3"/>
      </w:pPr>
      <w:r>
        <w:rPr>
          <w:rFonts w:ascii="仿宋_GB2312" w:hAnsi="仿宋_GB2312" w:cs="仿宋_GB2312" w:eastAsia="仿宋_GB2312"/>
        </w:rPr>
        <w:t>采购包最高限价（元）: 227,143.00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2026年西安市政务数据中心及园区统一运维服务项目监理服务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227,143.00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标的名称：2026年西安市政务数据中心及园区统一运维服务项目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before="105"/>
              <w:jc w:val="center"/>
            </w:pPr>
            <w:r>
              <w:rPr>
                <w:rFonts w:ascii="仿宋_GB2312" w:hAnsi="仿宋_GB2312" w:cs="仿宋_GB2312" w:eastAsia="仿宋_GB2312"/>
              </w:rPr>
              <w:t xml:space="preserve"> </w:t>
            </w:r>
          </w:p>
          <w:p>
            <w:pPr>
              <w:pStyle w:val="null3"/>
              <w:numPr>
                <w:ilvl w:val="1"/>
                <w:numId w:val="1"/>
              </w:numPr>
            </w:pPr>
            <w:r>
              <w:rPr>
                <w:rFonts w:ascii="仿宋_GB2312" w:hAnsi="仿宋_GB2312" w:cs="仿宋_GB2312" w:eastAsia="仿宋_GB2312"/>
                <w:sz w:val="24"/>
              </w:rPr>
              <w:t>服务范围</w:t>
            </w:r>
          </w:p>
          <w:p>
            <w:pPr>
              <w:pStyle w:val="null3"/>
              <w:ind w:firstLine="480"/>
              <w:jc w:val="both"/>
            </w:pPr>
            <w:r>
              <w:rPr>
                <w:rFonts w:ascii="仿宋_GB2312" w:hAnsi="仿宋_GB2312" w:cs="仿宋_GB2312" w:eastAsia="仿宋_GB2312"/>
                <w:sz w:val="24"/>
              </w:rPr>
              <w:t>本项目服务范围覆盖数据中心核心机房、灾备机房、屏蔽机房及托管机房的</w:t>
            </w:r>
            <w:r>
              <w:rPr>
                <w:rFonts w:ascii="仿宋_GB2312" w:hAnsi="仿宋_GB2312" w:cs="仿宋_GB2312" w:eastAsia="仿宋_GB2312"/>
                <w:sz w:val="24"/>
              </w:rPr>
              <w:t>306架设备机柜，凤八新行政中心市委、市政府、综合（人大、政协、武警后勤、政务大厅、地震监测中心、文件销毁中心）各园区，劳动南路集中办公区园区的208个弱电井，全面保障基础环境与政务网络的安全稳定运行。</w:t>
            </w:r>
          </w:p>
          <w:p>
            <w:pPr>
              <w:pStyle w:val="null3"/>
              <w:ind w:firstLine="480"/>
              <w:jc w:val="both"/>
            </w:pPr>
            <w:r>
              <w:rPr>
                <w:rFonts w:ascii="仿宋_GB2312" w:hAnsi="仿宋_GB2312" w:cs="仿宋_GB2312" w:eastAsia="仿宋_GB2312"/>
                <w:sz w:val="24"/>
              </w:rPr>
              <w:t>采购包</w:t>
            </w:r>
            <w:r>
              <w:rPr>
                <w:rFonts w:ascii="仿宋_GB2312" w:hAnsi="仿宋_GB2312" w:cs="仿宋_GB2312" w:eastAsia="仿宋_GB2312"/>
                <w:sz w:val="24"/>
              </w:rPr>
              <w:t>1：</w:t>
            </w:r>
          </w:p>
          <w:tbl>
            <w:tblPr>
              <w:tblBorders>
                <w:top w:val="none" w:color="000000" w:sz="4"/>
                <w:left w:val="none" w:color="000000" w:sz="4"/>
                <w:bottom w:val="none" w:color="000000" w:sz="4"/>
                <w:right w:val="none" w:color="000000" w:sz="4"/>
                <w:insideH w:val="none"/>
                <w:insideV w:val="none"/>
              </w:tblBorders>
            </w:tblPr>
            <w:tblGrid>
              <w:gridCol w:w="244"/>
              <w:gridCol w:w="341"/>
              <w:gridCol w:w="577"/>
              <w:gridCol w:w="956"/>
              <w:gridCol w:w="434"/>
            </w:tblGrid>
            <w:tr>
              <w:tc>
                <w:tcPr>
                  <w:tcW w:type="dxa" w:w="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3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项目名称</w:t>
                  </w:r>
                </w:p>
              </w:tc>
              <w:tc>
                <w:tcPr>
                  <w:tcW w:type="dxa" w:w="5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服务类别</w:t>
                  </w:r>
                </w:p>
              </w:tc>
              <w:tc>
                <w:tcPr>
                  <w:tcW w:type="dxa" w:w="9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服务内容</w:t>
                  </w:r>
                </w:p>
              </w:tc>
              <w:tc>
                <w:tcPr>
                  <w:tcW w:type="dxa" w:w="4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服务期限</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基础环境运维服务</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基础设施整体保障服务</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包括配电系统服务、空调新风服务、动环监控服务、消防设施服务</w:t>
                  </w:r>
                </w:p>
              </w:tc>
              <w:tc>
                <w:tcPr>
                  <w:tcW w:type="dxa" w:w="4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自合同签订后且具备服务能力起</w:t>
                  </w:r>
                  <w:r>
                    <w:rPr>
                      <w:rFonts w:ascii="仿宋_GB2312" w:hAnsi="仿宋_GB2312" w:cs="仿宋_GB2312" w:eastAsia="仿宋_GB2312"/>
                      <w:sz w:val="24"/>
                    </w:rPr>
                    <w:t>12个月</w:t>
                  </w:r>
                </w:p>
              </w:tc>
            </w:tr>
            <w:tr>
              <w:tc>
                <w:tcPr>
                  <w:tcW w:type="dxa" w:w="2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41"/>
                  <w:vMerge/>
                  <w:tcBorders>
                    <w:top w:val="none" w:color="000000" w:sz="4"/>
                    <w:left w:val="none" w:color="000000" w:sz="4"/>
                    <w:bottom w:val="single" w:color="000000" w:sz="4"/>
                    <w:right w:val="single" w:color="000000" w:sz="4"/>
                  </w:tcBorders>
                </w:tcPr>
                <w:p/>
              </w:tc>
              <w:tc>
                <w:tcPr>
                  <w:tcW w:type="dxa" w:w="5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网络设施统一支撑服务</w:t>
                  </w:r>
                </w:p>
              </w:tc>
              <w:tc>
                <w:tcPr>
                  <w:tcW w:type="dxa" w:w="9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政务外网网络设备服务</w:t>
                  </w:r>
                  <w:r>
                    <w:br/>
                  </w:r>
                  <w:r>
                    <w:rPr>
                      <w:rFonts w:ascii="仿宋_GB2312" w:hAnsi="仿宋_GB2312" w:cs="仿宋_GB2312" w:eastAsia="仿宋_GB2312"/>
                      <w:sz w:val="24"/>
                    </w:rPr>
                    <w:t>政务专网网络设备服务</w:t>
                  </w:r>
                </w:p>
              </w:tc>
              <w:tc>
                <w:tcPr>
                  <w:tcW w:type="dxa" w:w="434"/>
                  <w:vMerge/>
                  <w:tcBorders>
                    <w:top w:val="none" w:color="000000" w:sz="4"/>
                    <w:left w:val="none" w:color="000000" w:sz="4"/>
                    <w:bottom w:val="single" w:color="000000" w:sz="4"/>
                    <w:right w:val="single" w:color="000000" w:sz="4"/>
                  </w:tcBorders>
                </w:tcPr>
                <w:p/>
              </w:tc>
            </w:tr>
            <w:tr>
              <w:tc>
                <w:tcPr>
                  <w:tcW w:type="dxa" w:w="244"/>
                  <w:vMerge/>
                  <w:tcBorders>
                    <w:top w:val="none" w:color="000000" w:sz="4"/>
                    <w:left w:val="single" w:color="000000" w:sz="4"/>
                    <w:bottom w:val="single" w:color="000000" w:sz="4"/>
                    <w:right w:val="single" w:color="000000" w:sz="4"/>
                  </w:tcBorders>
                </w:tcPr>
                <w:p/>
              </w:tc>
              <w:tc>
                <w:tcPr>
                  <w:tcW w:type="dxa" w:w="341"/>
                  <w:vMerge/>
                  <w:tcBorders>
                    <w:top w:val="none" w:color="000000" w:sz="4"/>
                    <w:left w:val="none" w:color="000000" w:sz="4"/>
                    <w:bottom w:val="single" w:color="000000" w:sz="4"/>
                    <w:right w:val="single" w:color="000000" w:sz="4"/>
                  </w:tcBorders>
                </w:tcPr>
                <w:p/>
              </w:tc>
              <w:tc>
                <w:tcPr>
                  <w:tcW w:type="dxa" w:w="577"/>
                  <w:vMerge/>
                  <w:tcBorders>
                    <w:top w:val="none" w:color="000000" w:sz="4"/>
                    <w:left w:val="none" w:color="000000" w:sz="4"/>
                    <w:bottom w:val="single" w:color="000000" w:sz="4"/>
                    <w:right w:val="single" w:color="000000" w:sz="4"/>
                  </w:tcBorders>
                </w:tcPr>
                <w:p/>
              </w:tc>
              <w:tc>
                <w:tcPr>
                  <w:tcW w:type="dxa" w:w="956"/>
                  <w:vMerge/>
                  <w:tcBorders>
                    <w:top w:val="none" w:color="000000" w:sz="4"/>
                    <w:left w:val="none" w:color="000000" w:sz="4"/>
                    <w:bottom w:val="single" w:color="000000" w:sz="4"/>
                    <w:right w:val="single" w:color="000000" w:sz="4"/>
                  </w:tcBorders>
                </w:tcPr>
                <w:p/>
              </w:tc>
              <w:tc>
                <w:tcPr>
                  <w:tcW w:type="dxa" w:w="434"/>
                  <w:vMerge/>
                  <w:tcBorders>
                    <w:top w:val="none" w:color="000000" w:sz="4"/>
                    <w:left w:val="none" w:color="000000" w:sz="4"/>
                    <w:bottom w:val="single" w:color="000000" w:sz="4"/>
                    <w:right w:val="single" w:color="000000" w:sz="4"/>
                  </w:tcBorders>
                </w:tcP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41"/>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一体化运维管理软件服务</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包括统一资产管理服务、统一告警管理服务、统一工单管理服务、机房可视管理服务</w:t>
                  </w:r>
                </w:p>
              </w:tc>
              <w:tc>
                <w:tcPr>
                  <w:tcW w:type="dxa" w:w="434"/>
                  <w:vMerge/>
                  <w:tcBorders>
                    <w:top w:val="none" w:color="000000" w:sz="4"/>
                    <w:left w:val="none" w:color="000000" w:sz="4"/>
                    <w:bottom w:val="single" w:color="000000" w:sz="4"/>
                    <w:right w:val="single" w:color="000000" w:sz="4"/>
                  </w:tcBorders>
                </w:tcP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41"/>
                  <w:vMerge/>
                  <w:tcBorders>
                    <w:top w:val="none" w:color="000000" w:sz="4"/>
                    <w:left w:val="none" w:color="000000" w:sz="4"/>
                    <w:bottom w:val="single" w:color="000000" w:sz="4"/>
                    <w:right w:val="single" w:color="000000" w:sz="4"/>
                  </w:tcBorders>
                </w:tcP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驻场运维服务</w:t>
                  </w: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包括监控值守服务、环境检查服务、业务开通服务、故障处置服务、关键重保服务、应急演练服务、硬件更换服务、综合布线服务、专线治理服务、优化升级服务、版本评估服务、业务咨询服务等。</w:t>
                  </w:r>
                </w:p>
              </w:tc>
              <w:tc>
                <w:tcPr>
                  <w:tcW w:type="dxa" w:w="434"/>
                  <w:vMerge/>
                  <w:tcBorders>
                    <w:top w:val="none" w:color="000000" w:sz="4"/>
                    <w:left w:val="none" w:color="000000" w:sz="4"/>
                    <w:bottom w:val="single" w:color="000000" w:sz="4"/>
                    <w:right w:val="single" w:color="000000" w:sz="4"/>
                  </w:tcBorders>
                </w:tcPr>
                <w:p/>
              </w:tc>
            </w:tr>
          </w:tbl>
          <w:p>
            <w:pPr>
              <w:pStyle w:val="null3"/>
              <w:numPr>
                <w:ilvl w:val="1"/>
                <w:numId w:val="2"/>
              </w:numPr>
            </w:pPr>
            <w:r>
              <w:rPr>
                <w:rFonts w:ascii="仿宋_GB2312" w:hAnsi="仿宋_GB2312" w:cs="仿宋_GB2312" w:eastAsia="仿宋_GB2312"/>
                <w:sz w:val="24"/>
              </w:rPr>
              <w:t>服务内容及要求</w:t>
            </w:r>
          </w:p>
          <w:p>
            <w:pPr>
              <w:pStyle w:val="null3"/>
              <w:numPr>
                <w:ilvl w:val="2"/>
                <w:numId w:val="2"/>
              </w:numPr>
              <w:spacing w:before="120" w:after="120"/>
              <w:jc w:val="both"/>
            </w:pPr>
            <w:r>
              <w:rPr>
                <w:rFonts w:ascii="仿宋_GB2312" w:hAnsi="仿宋_GB2312" w:cs="仿宋_GB2312" w:eastAsia="仿宋_GB2312"/>
                <w:sz w:val="24"/>
              </w:rPr>
              <w:t>基础设施整体保障服务</w:t>
            </w:r>
          </w:p>
          <w:p>
            <w:pPr>
              <w:pStyle w:val="null3"/>
              <w:numPr>
                <w:ilvl w:val="3"/>
                <w:numId w:val="2"/>
              </w:numPr>
              <w:spacing w:before="120" w:after="120"/>
              <w:jc w:val="left"/>
            </w:pPr>
            <w:r>
              <w:rPr>
                <w:rFonts w:ascii="仿宋_GB2312" w:hAnsi="仿宋_GB2312" w:cs="仿宋_GB2312" w:eastAsia="仿宋_GB2312"/>
                <w:sz w:val="24"/>
                <w:b/>
              </w:rPr>
              <w:t>消防设施</w:t>
            </w:r>
            <w:r>
              <w:rPr>
                <w:rFonts w:ascii="仿宋_GB2312" w:hAnsi="仿宋_GB2312" w:cs="仿宋_GB2312" w:eastAsia="仿宋_GB2312"/>
                <w:sz w:val="24"/>
                <w:b/>
              </w:rPr>
              <w:t>服务</w:t>
            </w:r>
          </w:p>
          <w:p>
            <w:pPr>
              <w:pStyle w:val="null3"/>
              <w:ind w:firstLine="480"/>
              <w:jc w:val="both"/>
            </w:pPr>
            <w:r>
              <w:rPr>
                <w:rFonts w:ascii="仿宋_GB2312" w:hAnsi="仿宋_GB2312" w:cs="仿宋_GB2312" w:eastAsia="仿宋_GB2312"/>
                <w:sz w:val="24"/>
              </w:rPr>
              <w:t>主要</w:t>
            </w:r>
            <w:r>
              <w:rPr>
                <w:rFonts w:ascii="仿宋_GB2312" w:hAnsi="仿宋_GB2312" w:cs="仿宋_GB2312" w:eastAsia="仿宋_GB2312"/>
                <w:sz w:val="24"/>
              </w:rPr>
              <w:t>针对</w:t>
            </w:r>
            <w:r>
              <w:rPr>
                <w:rFonts w:ascii="仿宋_GB2312" w:hAnsi="仿宋_GB2312" w:cs="仿宋_GB2312" w:eastAsia="仿宋_GB2312"/>
                <w:sz w:val="24"/>
              </w:rPr>
              <w:t>数据中心核心机房、灾备机房、屏蔽机房及托管机房的</w:t>
            </w:r>
            <w:r>
              <w:rPr>
                <w:rFonts w:ascii="仿宋_GB2312" w:hAnsi="仿宋_GB2312" w:cs="仿宋_GB2312" w:eastAsia="仿宋_GB2312"/>
                <w:sz w:val="24"/>
              </w:rPr>
              <w:t>306架设备机柜，凤八新行政中心市委、市政府、综合（人大、政协、武警后勤、政务大厅、地震监测中心、文件销毁中心）各园区，劳动南路集中办公区园区的208个弱电井的消防设施，主要服务对象包括</w:t>
            </w:r>
            <w:r>
              <w:rPr>
                <w:rFonts w:ascii="仿宋_GB2312" w:hAnsi="仿宋_GB2312" w:cs="仿宋_GB2312" w:eastAsia="仿宋_GB2312"/>
                <w:sz w:val="24"/>
              </w:rPr>
              <w:t>灭火剂储罐</w:t>
            </w:r>
            <w:r>
              <w:rPr>
                <w:rFonts w:ascii="仿宋_GB2312" w:hAnsi="仿宋_GB2312" w:cs="仿宋_GB2312" w:eastAsia="仿宋_GB2312"/>
                <w:sz w:val="24"/>
              </w:rPr>
              <w:t>、</w:t>
            </w:r>
            <w:r>
              <w:rPr>
                <w:rFonts w:ascii="仿宋_GB2312" w:hAnsi="仿宋_GB2312" w:cs="仿宋_GB2312" w:eastAsia="仿宋_GB2312"/>
                <w:sz w:val="24"/>
              </w:rPr>
              <w:t>90L227灭火剂储罐</w:t>
            </w:r>
            <w:r>
              <w:rPr>
                <w:rFonts w:ascii="仿宋_GB2312" w:hAnsi="仿宋_GB2312" w:cs="仿宋_GB2312" w:eastAsia="仿宋_GB2312"/>
                <w:sz w:val="24"/>
              </w:rPr>
              <w:t>、</w:t>
            </w:r>
            <w:r>
              <w:rPr>
                <w:rFonts w:ascii="仿宋_GB2312" w:hAnsi="仿宋_GB2312" w:cs="仿宋_GB2312" w:eastAsia="仿宋_GB2312"/>
                <w:sz w:val="24"/>
              </w:rPr>
              <w:t>HFC227灭火剂</w:t>
            </w:r>
            <w:r>
              <w:rPr>
                <w:rFonts w:ascii="仿宋_GB2312" w:hAnsi="仿宋_GB2312" w:cs="仿宋_GB2312" w:eastAsia="仿宋_GB2312"/>
                <w:sz w:val="24"/>
              </w:rPr>
              <w:t>、</w:t>
            </w:r>
            <w:r>
              <w:rPr>
                <w:rFonts w:ascii="仿宋_GB2312" w:hAnsi="仿宋_GB2312" w:cs="仿宋_GB2312" w:eastAsia="仿宋_GB2312"/>
                <w:sz w:val="24"/>
              </w:rPr>
              <w:t>过滤式自救呼吸器</w:t>
            </w:r>
            <w:r>
              <w:rPr>
                <w:rFonts w:ascii="仿宋_GB2312" w:hAnsi="仿宋_GB2312" w:cs="仿宋_GB2312" w:eastAsia="仿宋_GB2312"/>
                <w:sz w:val="24"/>
              </w:rPr>
              <w:t>、</w:t>
            </w:r>
            <w:r>
              <w:rPr>
                <w:rFonts w:ascii="仿宋_GB2312" w:hAnsi="仿宋_GB2312" w:cs="仿宋_GB2312" w:eastAsia="仿宋_GB2312"/>
                <w:sz w:val="24"/>
              </w:rPr>
              <w:t>落地式灭火器箱</w:t>
            </w:r>
            <w:r>
              <w:rPr>
                <w:rFonts w:ascii="仿宋_GB2312" w:hAnsi="仿宋_GB2312" w:cs="仿宋_GB2312" w:eastAsia="仿宋_GB2312"/>
                <w:sz w:val="24"/>
              </w:rPr>
              <w:t>、</w:t>
            </w:r>
            <w:r>
              <w:rPr>
                <w:rFonts w:ascii="仿宋_GB2312" w:hAnsi="仿宋_GB2312" w:cs="仿宋_GB2312" w:eastAsia="仿宋_GB2312"/>
                <w:sz w:val="24"/>
              </w:rPr>
              <w:t>手提式二氧化碳灭火器</w:t>
            </w:r>
            <w:r>
              <w:rPr>
                <w:rFonts w:ascii="仿宋_GB2312" w:hAnsi="仿宋_GB2312" w:cs="仿宋_GB2312" w:eastAsia="仿宋_GB2312"/>
                <w:sz w:val="24"/>
              </w:rPr>
              <w:t>、</w:t>
            </w:r>
            <w:r>
              <w:rPr>
                <w:rFonts w:ascii="仿宋_GB2312" w:hAnsi="仿宋_GB2312" w:cs="仿宋_GB2312" w:eastAsia="仿宋_GB2312"/>
                <w:sz w:val="24"/>
              </w:rPr>
              <w:t>推车式二氧化碳灭火器</w:t>
            </w:r>
            <w:r>
              <w:rPr>
                <w:rFonts w:ascii="仿宋_GB2312" w:hAnsi="仿宋_GB2312" w:cs="仿宋_GB2312" w:eastAsia="仿宋_GB2312"/>
                <w:sz w:val="24"/>
              </w:rPr>
              <w:t>、</w:t>
            </w:r>
            <w:r>
              <w:rPr>
                <w:rFonts w:ascii="仿宋_GB2312" w:hAnsi="仿宋_GB2312" w:cs="仿宋_GB2312" w:eastAsia="仿宋_GB2312"/>
                <w:sz w:val="24"/>
              </w:rPr>
              <w:t>正压式空气呼吸器</w:t>
            </w:r>
            <w:r>
              <w:rPr>
                <w:rFonts w:ascii="仿宋_GB2312" w:hAnsi="仿宋_GB2312" w:cs="仿宋_GB2312" w:eastAsia="仿宋_GB2312"/>
                <w:sz w:val="24"/>
              </w:rPr>
              <w:t>、</w:t>
            </w:r>
            <w:r>
              <w:rPr>
                <w:rFonts w:ascii="仿宋_GB2312" w:hAnsi="仿宋_GB2312" w:cs="仿宋_GB2312" w:eastAsia="仿宋_GB2312"/>
                <w:sz w:val="24"/>
              </w:rPr>
              <w:t>智能感温探测器</w:t>
            </w:r>
            <w:r>
              <w:rPr>
                <w:rFonts w:ascii="仿宋_GB2312" w:hAnsi="仿宋_GB2312" w:cs="仿宋_GB2312" w:eastAsia="仿宋_GB2312"/>
                <w:sz w:val="24"/>
              </w:rPr>
              <w:t>、</w:t>
            </w:r>
            <w:r>
              <w:rPr>
                <w:rFonts w:ascii="仿宋_GB2312" w:hAnsi="仿宋_GB2312" w:cs="仿宋_GB2312" w:eastAsia="仿宋_GB2312"/>
                <w:sz w:val="24"/>
              </w:rPr>
              <w:t>智能感烟探测器</w:t>
            </w:r>
            <w:r>
              <w:rPr>
                <w:rFonts w:ascii="仿宋_GB2312" w:hAnsi="仿宋_GB2312" w:cs="仿宋_GB2312" w:eastAsia="仿宋_GB2312"/>
                <w:sz w:val="24"/>
              </w:rPr>
              <w:t>等相关设备及对应的管理平台。</w:t>
            </w:r>
          </w:p>
          <w:p>
            <w:pPr>
              <w:pStyle w:val="null3"/>
              <w:ind w:firstLine="480"/>
              <w:jc w:val="both"/>
            </w:pPr>
            <w:r>
              <w:rPr>
                <w:rFonts w:ascii="仿宋_GB2312" w:hAnsi="仿宋_GB2312" w:cs="仿宋_GB2312" w:eastAsia="仿宋_GB2312"/>
                <w:sz w:val="24"/>
              </w:rPr>
              <w:t>按照《火灾探测报警产品的维修保养与报废》</w:t>
            </w:r>
            <w:r>
              <w:rPr>
                <w:rFonts w:ascii="仿宋_GB2312" w:hAnsi="仿宋_GB2312" w:cs="仿宋_GB2312" w:eastAsia="仿宋_GB2312"/>
                <w:sz w:val="24"/>
              </w:rPr>
              <w:t>GB29837</w:t>
            </w:r>
            <w:r>
              <w:rPr>
                <w:rFonts w:ascii="仿宋_GB2312" w:hAnsi="仿宋_GB2312" w:cs="仿宋_GB2312" w:eastAsia="仿宋_GB2312"/>
                <w:sz w:val="24"/>
              </w:rPr>
              <w:t>、</w:t>
            </w:r>
            <w:r>
              <w:rPr>
                <w:rFonts w:ascii="仿宋_GB2312" w:hAnsi="仿宋_GB2312" w:cs="仿宋_GB2312" w:eastAsia="仿宋_GB2312"/>
                <w:sz w:val="24"/>
              </w:rPr>
              <w:t>《建筑灭火器配置验收及检查规范》、《建筑消防设施通用规范》</w:t>
            </w:r>
            <w:r>
              <w:rPr>
                <w:rFonts w:ascii="仿宋_GB2312" w:hAnsi="仿宋_GB2312" w:cs="仿宋_GB2312" w:eastAsia="仿宋_GB2312"/>
                <w:sz w:val="24"/>
              </w:rPr>
              <w:t>、</w:t>
            </w:r>
            <w:r>
              <w:rPr>
                <w:rFonts w:ascii="仿宋_GB2312" w:hAnsi="仿宋_GB2312" w:cs="仿宋_GB2312" w:eastAsia="仿宋_GB2312"/>
                <w:sz w:val="24"/>
              </w:rPr>
              <w:t>《气瓶安全技术规程》</w:t>
            </w:r>
            <w:r>
              <w:rPr>
                <w:rFonts w:ascii="仿宋_GB2312" w:hAnsi="仿宋_GB2312" w:cs="仿宋_GB2312" w:eastAsia="仿宋_GB2312"/>
                <w:sz w:val="24"/>
              </w:rPr>
              <w:t>TSG23-2021</w:t>
            </w:r>
            <w:r>
              <w:rPr>
                <w:rFonts w:ascii="仿宋_GB2312" w:hAnsi="仿宋_GB2312" w:cs="仿宋_GB2312" w:eastAsia="仿宋_GB2312"/>
                <w:sz w:val="24"/>
              </w:rPr>
              <w:t>以及</w:t>
            </w:r>
            <w:r>
              <w:rPr>
                <w:rFonts w:ascii="仿宋_GB2312" w:hAnsi="仿宋_GB2312" w:cs="仿宋_GB2312" w:eastAsia="仿宋_GB2312"/>
                <w:sz w:val="24"/>
              </w:rPr>
              <w:t>应急照明及疏散指示系统</w:t>
            </w:r>
            <w:r>
              <w:rPr>
                <w:rFonts w:ascii="仿宋_GB2312" w:hAnsi="仿宋_GB2312" w:cs="仿宋_GB2312" w:eastAsia="仿宋_GB2312"/>
                <w:sz w:val="24"/>
              </w:rPr>
              <w:t>的相关标准，提供相应的消防设施整体保障服务。</w:t>
            </w:r>
          </w:p>
          <w:p>
            <w:pPr>
              <w:pStyle w:val="null3"/>
              <w:numPr>
                <w:ilvl w:val="0"/>
                <w:numId w:val="2"/>
              </w:numPr>
              <w:jc w:val="both"/>
            </w:pPr>
            <w:r>
              <w:rPr>
                <w:rFonts w:ascii="仿宋_GB2312" w:hAnsi="仿宋_GB2312" w:cs="仿宋_GB2312" w:eastAsia="仿宋_GB2312"/>
                <w:sz w:val="24"/>
              </w:rPr>
              <w:t>维保服务清单</w:t>
            </w:r>
          </w:p>
          <w:tbl>
            <w:tblPr>
              <w:tblBorders>
                <w:top w:val="none" w:color="000000" w:sz="4"/>
                <w:left w:val="none" w:color="000000" w:sz="4"/>
                <w:bottom w:val="none" w:color="000000" w:sz="4"/>
                <w:right w:val="none" w:color="000000" w:sz="4"/>
                <w:insideH w:val="none"/>
                <w:insideV w:val="none"/>
              </w:tblBorders>
            </w:tblPr>
            <w:tblGrid>
              <w:gridCol w:w="184"/>
              <w:gridCol w:w="672"/>
              <w:gridCol w:w="489"/>
              <w:gridCol w:w="824"/>
              <w:gridCol w:w="184"/>
              <w:gridCol w:w="199"/>
            </w:tblGrid>
            <w:tr>
              <w:tc>
                <w:tcPr>
                  <w:tcW w:type="dxa" w:w="1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6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名称</w:t>
                  </w:r>
                </w:p>
              </w:tc>
              <w:tc>
                <w:tcPr>
                  <w:tcW w:type="dxa" w:w="4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品牌</w:t>
                  </w:r>
                </w:p>
              </w:tc>
              <w:tc>
                <w:tcPr>
                  <w:tcW w:type="dxa" w:w="8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型号</w:t>
                  </w:r>
                </w:p>
              </w:tc>
              <w:tc>
                <w:tcPr>
                  <w:tcW w:type="dxa" w:w="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90L227灭火剂储罐</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金枪鱼</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ZE.R90L</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57</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HFC227灭火剂</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金枪鱼</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HFC227ea</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落地式灭火器箱</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平安消防</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XMDF</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正压式空气呼吸器</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浙安消防</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RHZKF-6.8/30</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智能感温探测器</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NOTIFIRE</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ND-751T</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301</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智能感烟探测器</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NOTIFIRE</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ND-751P</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168</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联动型火灾报警控制器</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N-6000</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防爆感烟探测器</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JTYB-LZ-1151EIS</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防爆感温探测器</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JTWB-BCD-5451EIS</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气体灭火控制盘</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RP-1002plus</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放气指示灯</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HQS1000</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警铃</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SSM24-6</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声光报警器</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P2475RLZ</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控制模块</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CMX-7C</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监视模块</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MMX-7</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自动泄压装置</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XNZ13/1.2</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自动泄压装置</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XWZ15/1.2</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r>
            <w:tr>
              <w:tc>
                <w:tcPr>
                  <w:tcW w:type="dxa" w:w="1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67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备品备件</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电池</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型号：</w:t>
                  </w:r>
                  <w:r>
                    <w:rPr>
                      <w:rFonts w:ascii="仿宋_GB2312" w:hAnsi="仿宋_GB2312" w:cs="仿宋_GB2312" w:eastAsia="仿宋_GB2312"/>
                      <w:sz w:val="24"/>
                      <w:color w:val="000000"/>
                    </w:rPr>
                    <w:t>DC12V7AH，5个，5个</w:t>
                  </w:r>
                </w:p>
              </w:tc>
              <w:tc>
                <w:tcPr>
                  <w:tcW w:type="dxa" w:w="1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1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84"/>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智能感烟探测器</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型号：</w:t>
                  </w:r>
                  <w:r>
                    <w:rPr>
                      <w:rFonts w:ascii="仿宋_GB2312" w:hAnsi="仿宋_GB2312" w:cs="仿宋_GB2312" w:eastAsia="仿宋_GB2312"/>
                      <w:sz w:val="24"/>
                      <w:color w:val="000000"/>
                    </w:rPr>
                    <w:t>ND-751P30个，30个</w:t>
                  </w:r>
                </w:p>
              </w:tc>
              <w:tc>
                <w:tcPr>
                  <w:tcW w:type="dxa" w:w="184"/>
                  <w:vMerge/>
                  <w:tcBorders>
                    <w:top w:val="none" w:color="000000" w:sz="4"/>
                    <w:left w:val="non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r>
            <w:tr>
              <w:tc>
                <w:tcPr>
                  <w:tcW w:type="dxa" w:w="184"/>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智能感温探测器</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型号：</w:t>
                  </w:r>
                  <w:r>
                    <w:rPr>
                      <w:rFonts w:ascii="仿宋_GB2312" w:hAnsi="仿宋_GB2312" w:cs="仿宋_GB2312" w:eastAsia="仿宋_GB2312"/>
                      <w:sz w:val="24"/>
                      <w:color w:val="000000"/>
                    </w:rPr>
                    <w:t>ND-751T10个，10个</w:t>
                  </w:r>
                </w:p>
              </w:tc>
              <w:tc>
                <w:tcPr>
                  <w:tcW w:type="dxa" w:w="184"/>
                  <w:vMerge/>
                  <w:tcBorders>
                    <w:top w:val="none" w:color="000000" w:sz="4"/>
                    <w:left w:val="non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r>
            <w:tr>
              <w:tc>
                <w:tcPr>
                  <w:tcW w:type="dxa" w:w="184"/>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声光报警器</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型号：</w:t>
                  </w:r>
                  <w:r>
                    <w:rPr>
                      <w:rFonts w:ascii="仿宋_GB2312" w:hAnsi="仿宋_GB2312" w:cs="仿宋_GB2312" w:eastAsia="仿宋_GB2312"/>
                      <w:sz w:val="24"/>
                      <w:color w:val="000000"/>
                    </w:rPr>
                    <w:t>P2475RLZ5个，5个</w:t>
                  </w:r>
                </w:p>
              </w:tc>
              <w:tc>
                <w:tcPr>
                  <w:tcW w:type="dxa" w:w="184"/>
                  <w:vMerge/>
                  <w:tcBorders>
                    <w:top w:val="none" w:color="000000" w:sz="4"/>
                    <w:left w:val="non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r>
            <w:tr>
              <w:tc>
                <w:tcPr>
                  <w:tcW w:type="dxa" w:w="184"/>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控制模块</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型号：</w:t>
                  </w:r>
                  <w:r>
                    <w:rPr>
                      <w:rFonts w:ascii="仿宋_GB2312" w:hAnsi="仿宋_GB2312" w:cs="仿宋_GB2312" w:eastAsia="仿宋_GB2312"/>
                      <w:sz w:val="24"/>
                      <w:color w:val="000000"/>
                    </w:rPr>
                    <w:t>CMX-7C5个，5个</w:t>
                  </w:r>
                </w:p>
              </w:tc>
              <w:tc>
                <w:tcPr>
                  <w:tcW w:type="dxa" w:w="184"/>
                  <w:vMerge/>
                  <w:tcBorders>
                    <w:top w:val="none" w:color="000000" w:sz="4"/>
                    <w:left w:val="non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r>
            <w:tr>
              <w:tc>
                <w:tcPr>
                  <w:tcW w:type="dxa" w:w="184"/>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监视模块</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型号：</w:t>
                  </w:r>
                  <w:r>
                    <w:rPr>
                      <w:rFonts w:ascii="仿宋_GB2312" w:hAnsi="仿宋_GB2312" w:cs="仿宋_GB2312" w:eastAsia="仿宋_GB2312"/>
                      <w:sz w:val="24"/>
                      <w:color w:val="000000"/>
                    </w:rPr>
                    <w:t>MMX-75个，5个</w:t>
                  </w:r>
                </w:p>
              </w:tc>
              <w:tc>
                <w:tcPr>
                  <w:tcW w:type="dxa" w:w="184"/>
                  <w:vMerge/>
                  <w:tcBorders>
                    <w:top w:val="none" w:color="000000" w:sz="4"/>
                    <w:left w:val="non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r>
            <w:tr>
              <w:tc>
                <w:tcPr>
                  <w:tcW w:type="dxa" w:w="184"/>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双向疏散指示灯</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型号：壁挂式</w:t>
                  </w:r>
                  <w:r>
                    <w:rPr>
                      <w:rFonts w:ascii="仿宋_GB2312" w:hAnsi="仿宋_GB2312" w:cs="仿宋_GB2312" w:eastAsia="仿宋_GB2312"/>
                      <w:sz w:val="24"/>
                      <w:color w:val="000000"/>
                    </w:rPr>
                    <w:t>10个，10个</w:t>
                  </w:r>
                </w:p>
              </w:tc>
              <w:tc>
                <w:tcPr>
                  <w:tcW w:type="dxa" w:w="184"/>
                  <w:vMerge/>
                  <w:tcBorders>
                    <w:top w:val="none" w:color="000000" w:sz="4"/>
                    <w:left w:val="non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r>
            <w:tr>
              <w:tc>
                <w:tcPr>
                  <w:tcW w:type="dxa" w:w="184"/>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单向疏散指示灯</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型号：壁挂式</w:t>
                  </w:r>
                  <w:r>
                    <w:rPr>
                      <w:rFonts w:ascii="仿宋_GB2312" w:hAnsi="仿宋_GB2312" w:cs="仿宋_GB2312" w:eastAsia="仿宋_GB2312"/>
                      <w:sz w:val="24"/>
                      <w:color w:val="000000"/>
                    </w:rPr>
                    <w:t>10个，10个</w:t>
                  </w:r>
                </w:p>
              </w:tc>
              <w:tc>
                <w:tcPr>
                  <w:tcW w:type="dxa" w:w="184"/>
                  <w:vMerge/>
                  <w:tcBorders>
                    <w:top w:val="none" w:color="000000" w:sz="4"/>
                    <w:left w:val="non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r>
            <w:tr>
              <w:tc>
                <w:tcPr>
                  <w:tcW w:type="dxa" w:w="184"/>
                  <w:vMerge/>
                  <w:tcBorders>
                    <w:top w:val="none" w:color="000000" w:sz="4"/>
                    <w:left w:val="single" w:color="000000" w:sz="4"/>
                    <w:bottom w:val="single" w:color="000000" w:sz="4"/>
                    <w:right w:val="single" w:color="000000" w:sz="4"/>
                  </w:tcBorders>
                </w:tcPr>
                <w:p/>
              </w:tc>
              <w:tc>
                <w:tcPr>
                  <w:tcW w:type="dxa" w:w="672"/>
                  <w:vMerge/>
                  <w:tcBorders>
                    <w:top w:val="none" w:color="000000" w:sz="4"/>
                    <w:left w:val="none" w:color="000000" w:sz="4"/>
                    <w:bottom w:val="single" w:color="000000" w:sz="4"/>
                    <w:right w:val="single" w:color="000000" w:sz="4"/>
                  </w:tcBorders>
                </w:tcP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安全出口</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型号：壁挂式</w:t>
                  </w:r>
                  <w:r>
                    <w:rPr>
                      <w:rFonts w:ascii="仿宋_GB2312" w:hAnsi="仿宋_GB2312" w:cs="仿宋_GB2312" w:eastAsia="仿宋_GB2312"/>
                      <w:sz w:val="24"/>
                      <w:color w:val="000000"/>
                    </w:rPr>
                    <w:t>10个，10个</w:t>
                  </w:r>
                </w:p>
              </w:tc>
              <w:tc>
                <w:tcPr>
                  <w:tcW w:type="dxa" w:w="184"/>
                  <w:vMerge/>
                  <w:tcBorders>
                    <w:top w:val="none" w:color="000000" w:sz="4"/>
                    <w:left w:val="non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r>
          </w:tbl>
          <w:p>
            <w:pPr>
              <w:pStyle w:val="null3"/>
              <w:numPr>
                <w:ilvl w:val="0"/>
                <w:numId w:val="2"/>
              </w:numPr>
              <w:jc w:val="both"/>
            </w:pPr>
            <w:r>
              <w:rPr>
                <w:rFonts w:ascii="仿宋_GB2312" w:hAnsi="仿宋_GB2312" w:cs="仿宋_GB2312" w:eastAsia="仿宋_GB2312"/>
                <w:sz w:val="24"/>
              </w:rPr>
              <w:t>租赁服务清单</w:t>
            </w:r>
          </w:p>
          <w:tbl>
            <w:tblPr>
              <w:tblBorders>
                <w:top w:val="none" w:color="000000" w:sz="4"/>
                <w:left w:val="none" w:color="000000" w:sz="4"/>
                <w:bottom w:val="none" w:color="000000" w:sz="4"/>
                <w:right w:val="none" w:color="000000" w:sz="4"/>
                <w:insideH w:val="none"/>
                <w:insideV w:val="none"/>
              </w:tblBorders>
            </w:tblPr>
            <w:tblGrid>
              <w:gridCol w:w="247"/>
              <w:gridCol w:w="904"/>
              <w:gridCol w:w="905"/>
              <w:gridCol w:w="248"/>
              <w:gridCol w:w="248"/>
            </w:tblGrid>
            <w:tr>
              <w:tc>
                <w:tcPr>
                  <w:tcW w:type="dxa" w:w="24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90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设备类型</w:t>
                  </w:r>
                </w:p>
              </w:tc>
              <w:tc>
                <w:tcPr>
                  <w:tcW w:type="dxa" w:w="90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设备说明</w:t>
                  </w:r>
                </w:p>
              </w:tc>
              <w:tc>
                <w:tcPr>
                  <w:tcW w:type="dxa" w:w="24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24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r>
            <w:tr>
              <w:tc>
                <w:tcPr>
                  <w:tcW w:type="dxa" w:w="247"/>
                  <w:vMerge/>
                  <w:tcBorders>
                    <w:top w:val="single" w:color="000000" w:sz="4"/>
                    <w:left w:val="single" w:color="000000" w:sz="4"/>
                    <w:bottom w:val="single" w:color="000000" w:sz="4"/>
                    <w:right w:val="single" w:color="000000" w:sz="4"/>
                  </w:tcBorders>
                </w:tcPr>
                <w:p/>
              </w:tc>
              <w:tc>
                <w:tcPr>
                  <w:tcW w:type="dxa" w:w="904"/>
                  <w:vMerge/>
                  <w:tcBorders>
                    <w:top w:val="single" w:color="000000" w:sz="4"/>
                    <w:left w:val="none" w:color="000000" w:sz="4"/>
                    <w:bottom w:val="single" w:color="000000" w:sz="4"/>
                    <w:right w:val="single" w:color="000000" w:sz="4"/>
                  </w:tcBorders>
                </w:tcPr>
                <w:p/>
              </w:tc>
              <w:tc>
                <w:tcPr>
                  <w:tcW w:type="dxa" w:w="905"/>
                  <w:vMerge/>
                  <w:tcBorders>
                    <w:top w:val="single" w:color="000000" w:sz="4"/>
                    <w:left w:val="none" w:color="000000" w:sz="4"/>
                    <w:bottom w:val="single" w:color="000000" w:sz="4"/>
                    <w:right w:val="single" w:color="000000" w:sz="4"/>
                  </w:tcBorders>
                </w:tcPr>
                <w:p/>
              </w:tc>
              <w:tc>
                <w:tcPr>
                  <w:tcW w:type="dxa" w:w="248"/>
                  <w:vMerge/>
                  <w:tcBorders>
                    <w:top w:val="single" w:color="000000" w:sz="4"/>
                    <w:left w:val="none" w:color="000000" w:sz="4"/>
                    <w:bottom w:val="single" w:color="000000" w:sz="4"/>
                    <w:right w:val="single" w:color="000000" w:sz="4"/>
                  </w:tcBorders>
                </w:tcPr>
                <w:p/>
              </w:tc>
              <w:tc>
                <w:tcPr>
                  <w:tcW w:type="dxa" w:w="248"/>
                  <w:vMerge/>
                  <w:tcBorders>
                    <w:top w:val="single" w:color="000000" w:sz="4"/>
                    <w:left w:val="none" w:color="000000" w:sz="4"/>
                    <w:bottom w:val="single" w:color="000000" w:sz="4"/>
                    <w:right w:val="single" w:color="000000" w:sz="4"/>
                  </w:tcBorders>
                </w:tcP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手提式二氧化碳灭火器</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手提式二氧化碳灭火器</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推车式二氧化碳灭火器</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推车式二氧化碳灭火器</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9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过滤式自救呼吸器</w:t>
                  </w:r>
                </w:p>
              </w:tc>
              <w:tc>
                <w:tcPr>
                  <w:tcW w:type="dxa" w:w="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过滤式自救呼吸器</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r>
          </w:tbl>
          <w:p>
            <w:pPr>
              <w:pStyle w:val="null3"/>
              <w:ind w:firstLine="480"/>
              <w:jc w:val="both"/>
            </w:pPr>
            <w:r>
              <w:rPr>
                <w:rFonts w:ascii="仿宋_GB2312" w:hAnsi="仿宋_GB2312" w:cs="仿宋_GB2312" w:eastAsia="仿宋_GB2312"/>
                <w:sz w:val="24"/>
                <w:color w:val="000000"/>
              </w:rPr>
              <w:t>消防设施服务要求如下：</w:t>
            </w:r>
          </w:p>
          <w:p>
            <w:pPr>
              <w:pStyle w:val="null3"/>
              <w:numPr>
                <w:ilvl w:val="0"/>
                <w:numId w:val="2"/>
              </w:numPr>
              <w:jc w:val="both"/>
            </w:pPr>
            <w:r>
              <w:rPr>
                <w:rFonts w:ascii="仿宋_GB2312" w:hAnsi="仿宋_GB2312" w:cs="仿宋_GB2312" w:eastAsia="仿宋_GB2312"/>
                <w:sz w:val="24"/>
                <w:color w:val="000000"/>
              </w:rPr>
              <w:t>设备需符合国家强制消防标准，提供权威机构出具的《消防产品合格评定证书》《产品检测报告》，且在有效期内。</w:t>
            </w:r>
          </w:p>
          <w:p>
            <w:pPr>
              <w:pStyle w:val="null3"/>
              <w:numPr>
                <w:ilvl w:val="0"/>
                <w:numId w:val="2"/>
              </w:numPr>
              <w:jc w:val="both"/>
            </w:pPr>
            <w:r>
              <w:rPr>
                <w:rFonts w:ascii="仿宋_GB2312" w:hAnsi="仿宋_GB2312" w:cs="仿宋_GB2312" w:eastAsia="仿宋_GB2312"/>
                <w:sz w:val="24"/>
                <w:color w:val="000000"/>
              </w:rPr>
              <w:t>二氧化碳灭火器需满足数据中心适配性：充装纯度</w:t>
            </w:r>
            <w:r>
              <w:rPr>
                <w:rFonts w:ascii="仿宋_GB2312" w:hAnsi="仿宋_GB2312" w:cs="仿宋_GB2312" w:eastAsia="仿宋_GB2312"/>
                <w:sz w:val="24"/>
                <w:color w:val="000000"/>
              </w:rPr>
              <w:t>≥99.5%，喷射无残留、不腐蚀电子设备，手提式容量、推车式充装量符合数据中心火灾风险等级（如手提式常用 2-5kg，推车式常用 20-30kg）。</w:t>
            </w:r>
          </w:p>
          <w:p>
            <w:pPr>
              <w:pStyle w:val="null3"/>
              <w:numPr>
                <w:ilvl w:val="0"/>
                <w:numId w:val="2"/>
              </w:numPr>
              <w:jc w:val="both"/>
            </w:pPr>
            <w:r>
              <w:rPr>
                <w:rFonts w:ascii="仿宋_GB2312" w:hAnsi="仿宋_GB2312" w:cs="仿宋_GB2312" w:eastAsia="仿宋_GB2312"/>
                <w:sz w:val="24"/>
                <w:color w:val="000000"/>
              </w:rPr>
              <w:t>呼吸器类产品需匹配场景：正压式空气呼吸器气瓶压力</w:t>
            </w:r>
            <w:r>
              <w:rPr>
                <w:rFonts w:ascii="仿宋_GB2312" w:hAnsi="仿宋_GB2312" w:cs="仿宋_GB2312" w:eastAsia="仿宋_GB2312"/>
                <w:sz w:val="24"/>
                <w:color w:val="000000"/>
              </w:rPr>
              <w:t>≥28MPa，续航时间≥30 分钟，面罩密封性达标；过滤式自救呼吸器防护时间≥30 分钟，过滤效率符合 GB 21976.7 标准，适配数据中心浓烟、有毒气体场景。</w:t>
            </w:r>
          </w:p>
          <w:p>
            <w:pPr>
              <w:pStyle w:val="null3"/>
              <w:numPr>
                <w:ilvl w:val="0"/>
                <w:numId w:val="2"/>
              </w:numPr>
              <w:jc w:val="both"/>
            </w:pPr>
            <w:r>
              <w:rPr>
                <w:rFonts w:ascii="仿宋_GB2312" w:hAnsi="仿宋_GB2312" w:cs="仿宋_GB2312" w:eastAsia="仿宋_GB2312"/>
                <w:sz w:val="24"/>
                <w:color w:val="000000"/>
              </w:rPr>
              <w:t>设备外观与状态：交付时无破损、泄漏，配件齐全（如灭火器喷管、呼吸器面罩、压力表等），压力</w:t>
            </w:r>
            <w:r>
              <w:rPr>
                <w:rFonts w:ascii="仿宋_GB2312" w:hAnsi="仿宋_GB2312" w:cs="仿宋_GB2312" w:eastAsia="仿宋_GB2312"/>
                <w:sz w:val="24"/>
                <w:color w:val="000000"/>
              </w:rPr>
              <w:t>/ 密封性能达标，可直接投入使用。</w:t>
            </w:r>
          </w:p>
          <w:p>
            <w:pPr>
              <w:pStyle w:val="null3"/>
              <w:numPr>
                <w:ilvl w:val="3"/>
                <w:numId w:val="2"/>
              </w:numPr>
              <w:jc w:val="both"/>
            </w:pPr>
            <w:r>
              <w:rPr>
                <w:rFonts w:ascii="仿宋_GB2312" w:hAnsi="仿宋_GB2312" w:cs="仿宋_GB2312" w:eastAsia="仿宋_GB2312"/>
                <w:sz w:val="24"/>
                <w:b/>
              </w:rPr>
              <w:t>动环监测</w:t>
            </w:r>
            <w:r>
              <w:rPr>
                <w:rFonts w:ascii="仿宋_GB2312" w:hAnsi="仿宋_GB2312" w:cs="仿宋_GB2312" w:eastAsia="仿宋_GB2312"/>
                <w:sz w:val="24"/>
                <w:b/>
              </w:rPr>
              <w:t>服务</w:t>
            </w:r>
          </w:p>
          <w:p>
            <w:pPr>
              <w:pStyle w:val="null3"/>
              <w:ind w:firstLine="480"/>
              <w:jc w:val="both"/>
            </w:pPr>
            <w:r>
              <w:rPr>
                <w:rFonts w:ascii="仿宋_GB2312" w:hAnsi="仿宋_GB2312" w:cs="仿宋_GB2312" w:eastAsia="仿宋_GB2312"/>
                <w:sz w:val="24"/>
              </w:rPr>
              <w:t>动环监测系统针对数据中心核心机房、灾备机房、屏蔽机房、托管机房等设备机柜提供</w:t>
            </w:r>
            <w:r>
              <w:rPr>
                <w:rFonts w:ascii="仿宋_GB2312" w:hAnsi="仿宋_GB2312" w:cs="仿宋_GB2312" w:eastAsia="仿宋_GB2312"/>
                <w:sz w:val="24"/>
              </w:rPr>
              <w:t>24小时视频监控，远程在控制中心查看现场情况，画面清晰，能够看清人员面部特征。能够对现场环境温度、湿度进行监控，对漏水进行报警。能够对空调远程进行监控，显示空调运行状态，对故障进行报警。能够对配电系统进行监控，实时显示配电柜电流、电压状态；能实时显示UPS的工作状态，显示电池的电压、电流等，对异常情况和故障进行报警，显示相关具体位置信息。门禁系统能够记录相关人员出入时间，授权开门权限及出入区域，能远程开门、刷卡开门。</w:t>
            </w:r>
          </w:p>
          <w:p>
            <w:pPr>
              <w:pStyle w:val="null3"/>
              <w:ind w:firstLine="480"/>
              <w:jc w:val="both"/>
            </w:pPr>
            <w:r>
              <w:rPr>
                <w:rFonts w:ascii="仿宋_GB2312" w:hAnsi="仿宋_GB2312" w:cs="仿宋_GB2312" w:eastAsia="仿宋_GB2312"/>
                <w:sz w:val="24"/>
              </w:rPr>
              <w:t>按照</w:t>
            </w:r>
            <w:r>
              <w:rPr>
                <w:rFonts w:ascii="仿宋_GB2312" w:hAnsi="仿宋_GB2312" w:cs="仿宋_GB2312" w:eastAsia="仿宋_GB2312"/>
                <w:sz w:val="24"/>
              </w:rPr>
              <w:t>《信息安全技术</w:t>
            </w:r>
            <w:r>
              <w:rPr>
                <w:rFonts w:ascii="仿宋_GB2312" w:hAnsi="仿宋_GB2312" w:cs="仿宋_GB2312" w:eastAsia="仿宋_GB2312"/>
                <w:sz w:val="24"/>
              </w:rPr>
              <w:t>信息系统密码应用基本要求》</w:t>
            </w:r>
            <w:r>
              <w:rPr>
                <w:rFonts w:ascii="仿宋_GB2312" w:hAnsi="仿宋_GB2312" w:cs="仿宋_GB2312" w:eastAsia="仿宋_GB2312"/>
                <w:sz w:val="24"/>
              </w:rPr>
              <w:t>GB/T 39786-2021</w:t>
            </w:r>
            <w:r>
              <w:rPr>
                <w:rFonts w:ascii="仿宋_GB2312" w:hAnsi="仿宋_GB2312" w:cs="仿宋_GB2312" w:eastAsia="仿宋_GB2312"/>
                <w:sz w:val="24"/>
              </w:rPr>
              <w:t>的相关</w:t>
            </w:r>
            <w:r>
              <w:rPr>
                <w:rFonts w:ascii="仿宋_GB2312" w:hAnsi="仿宋_GB2312" w:cs="仿宋_GB2312" w:eastAsia="仿宋_GB2312"/>
                <w:sz w:val="24"/>
              </w:rPr>
              <w:t>规定，</w:t>
            </w:r>
            <w:r>
              <w:rPr>
                <w:rFonts w:ascii="仿宋_GB2312" w:hAnsi="仿宋_GB2312" w:cs="仿宋_GB2312" w:eastAsia="仿宋_GB2312"/>
                <w:sz w:val="24"/>
              </w:rPr>
              <w:t>提供动环监控的相关服务，</w:t>
            </w:r>
            <w:r>
              <w:rPr>
                <w:rFonts w:ascii="仿宋_GB2312" w:hAnsi="仿宋_GB2312" w:cs="仿宋_GB2312" w:eastAsia="仿宋_GB2312"/>
                <w:sz w:val="24"/>
              </w:rPr>
              <w:t>要采用密码技术对机房内物理访问进行身份识别、保证电子门禁系统进出记录数据的存储完整性以及保证视频监控数据存储完整性，国密标准的摄像机需满足此要求，实现摄像机前端身份认证、视频数据安全运输存储等功能</w:t>
            </w:r>
            <w:r>
              <w:rPr>
                <w:rFonts w:ascii="仿宋_GB2312" w:hAnsi="仿宋_GB2312" w:cs="仿宋_GB2312" w:eastAsia="仿宋_GB2312"/>
                <w:sz w:val="24"/>
              </w:rPr>
              <w:t>。</w:t>
            </w:r>
          </w:p>
          <w:p>
            <w:pPr>
              <w:pStyle w:val="null3"/>
              <w:numPr>
                <w:ilvl w:val="0"/>
                <w:numId w:val="2"/>
              </w:numPr>
              <w:jc w:val="both"/>
            </w:pPr>
            <w:r>
              <w:rPr>
                <w:rFonts w:ascii="仿宋_GB2312" w:hAnsi="仿宋_GB2312" w:cs="仿宋_GB2312" w:eastAsia="仿宋_GB2312"/>
                <w:sz w:val="24"/>
              </w:rPr>
              <w:t>维保服务清单</w:t>
            </w:r>
          </w:p>
          <w:tbl>
            <w:tblPr>
              <w:tblInd w:type="dxa" w:w="105"/>
              <w:tblBorders>
                <w:top w:val="none" w:color="000000" w:sz="4"/>
                <w:left w:val="none" w:color="000000" w:sz="4"/>
                <w:bottom w:val="none" w:color="000000" w:sz="4"/>
                <w:right w:val="none" w:color="000000" w:sz="4"/>
                <w:insideH w:val="none"/>
                <w:insideV w:val="none"/>
              </w:tblBorders>
            </w:tblPr>
            <w:tblGrid>
              <w:gridCol w:w="426"/>
              <w:gridCol w:w="426"/>
              <w:gridCol w:w="426"/>
              <w:gridCol w:w="919"/>
              <w:gridCol w:w="197"/>
              <w:gridCol w:w="160"/>
            </w:tblGrid>
            <w:tr>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名称</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品牌</w:t>
                  </w:r>
                </w:p>
              </w:tc>
              <w:tc>
                <w:tcPr>
                  <w:tcW w:type="dxa" w:w="9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型号</w:t>
                  </w:r>
                </w:p>
              </w:tc>
              <w:tc>
                <w:tcPr>
                  <w:tcW w:type="dxa" w:w="1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1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200万国密半球摄像机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安辰</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SJT1709-V302-200</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200万国密枪型摄像机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安辰</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SJT1709-V301-200</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玻璃门电插锁</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纽贝尔</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CHD-CE235</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磁力锁</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纽贝尔</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CHD-CM280H1</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单探头水浸传感器</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中兴</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NV-H2O//SJ523A/B</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单探头水浸传感器</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中兴</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NV-H2O//SJ524A/B</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单探头水浸传感器</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中兴</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NV-H2O//SJ525A/B</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单探头水浸传感器</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中兴</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NV-H2O//SJ526A/B</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定焦红外摄像机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中兴</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ZNCCIR-F200W-0</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服务器</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联想</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高清网络摄像机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海康</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DS-2CD3T27ED-L</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红外匀速球型摄像机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亚安</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DH5904</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交换机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海康</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DS-3E0526P-E</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交换机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华三</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华三交换机</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交换机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中兴</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接入交换机</w:t>
                  </w:r>
                  <w:r>
                    <w:rPr>
                      <w:rFonts w:ascii="仿宋_GB2312" w:hAnsi="仿宋_GB2312" w:cs="仿宋_GB2312" w:eastAsia="仿宋_GB2312"/>
                      <w:sz w:val="24"/>
                      <w:color w:val="000000"/>
                    </w:rPr>
                    <w:t>6804</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灵性锁</w:t>
                  </w:r>
                  <w:r>
                    <w:rPr>
                      <w:rFonts w:ascii="仿宋_GB2312" w:hAnsi="仿宋_GB2312" w:cs="仿宋_GB2312" w:eastAsia="仿宋_GB2312"/>
                      <w:sz w:val="24"/>
                      <w:color w:val="000000"/>
                    </w:rPr>
                    <w:t>(带读卡器)</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纽贝尔</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CHD1200//CLK202E</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门禁控制器</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纽贝尔</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CHD805AE</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网络硬盘录像机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海康</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DS-7932N-K4(B)</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温湿度一体化变送器</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中兴</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NV3-RHT-T8-P2-O4//WS322C1T4</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硬盘录像机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海康</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海康</w:t>
                  </w:r>
                  <w:r>
                    <w:rPr>
                      <w:rFonts w:ascii="仿宋_GB2312" w:hAnsi="仿宋_GB2312" w:cs="仿宋_GB2312" w:eastAsia="仿宋_GB2312"/>
                      <w:sz w:val="24"/>
                      <w:color w:val="000000"/>
                    </w:rPr>
                    <w:t>8000S</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硬盘录像机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中兴</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ZXVNMS 5008C</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增强智能型采集器</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中兴</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ZXM10 EISU</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智能协议转换单元</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中兴</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ZXM10 SPTU</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中兴监控</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中兴</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ZXM10</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4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备品备件</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视频监控备品备件</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200万国密半球摄像机，2台。200万国密枪型摄像机，2台。交换机3台，存储硬盘4块。</w:t>
                  </w:r>
                </w:p>
              </w:tc>
              <w:tc>
                <w:tcPr>
                  <w:tcW w:type="dxa" w:w="1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1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环境传感器备件</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温湿度变送器</w:t>
                  </w:r>
                  <w:r>
                    <w:rPr>
                      <w:rFonts w:ascii="仿宋_GB2312" w:hAnsi="仿宋_GB2312" w:cs="仿宋_GB2312" w:eastAsia="仿宋_GB2312"/>
                      <w:sz w:val="24"/>
                      <w:color w:val="000000"/>
                    </w:rPr>
                    <w:t>10个，温度探头15个。漏水感应绳15米，漏水控制器3台</w:t>
                  </w:r>
                </w:p>
              </w:tc>
              <w:tc>
                <w:tcPr>
                  <w:tcW w:type="dxa" w:w="197"/>
                  <w:vMerge/>
                  <w:tcBorders>
                    <w:top w:val="none" w:color="000000" w:sz="4"/>
                    <w:left w:val="none" w:color="000000" w:sz="4"/>
                    <w:bottom w:val="single" w:color="000000" w:sz="4"/>
                    <w:right w:val="single" w:color="000000" w:sz="4"/>
                  </w:tcBorders>
                </w:tcPr>
                <w:p/>
              </w:tc>
              <w:tc>
                <w:tcPr>
                  <w:tcW w:type="dxa" w:w="160"/>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门禁系统备件</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rFonts w:ascii="仿宋_GB2312" w:hAnsi="仿宋_GB2312" w:cs="仿宋_GB2312" w:eastAsia="仿宋_GB2312"/>
                      <w:sz w:val="24"/>
                      <w:color w:val="000000"/>
                    </w:rPr>
                    <w:t>门禁控制器</w:t>
                  </w:r>
                  <w:r>
                    <w:rPr>
                      <w:rFonts w:ascii="仿宋_GB2312" w:hAnsi="仿宋_GB2312" w:cs="仿宋_GB2312" w:eastAsia="仿宋_GB2312"/>
                      <w:sz w:val="24"/>
                      <w:color w:val="000000"/>
                    </w:rPr>
                    <w:t>2台，读卡器5个，磁力锁3把</w:t>
                  </w:r>
                </w:p>
              </w:tc>
              <w:tc>
                <w:tcPr>
                  <w:tcW w:type="dxa" w:w="197"/>
                  <w:vMerge/>
                  <w:tcBorders>
                    <w:top w:val="none" w:color="000000" w:sz="4"/>
                    <w:left w:val="none" w:color="000000" w:sz="4"/>
                    <w:bottom w:val="single" w:color="000000" w:sz="4"/>
                    <w:right w:val="single" w:color="000000" w:sz="4"/>
                  </w:tcBorders>
                </w:tcPr>
                <w:p/>
              </w:tc>
              <w:tc>
                <w:tcPr>
                  <w:tcW w:type="dxa" w:w="160"/>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应急部件</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备用门禁卡</w:t>
                  </w:r>
                  <w:r>
                    <w:rPr>
                      <w:rFonts w:ascii="仿宋_GB2312" w:hAnsi="仿宋_GB2312" w:cs="仿宋_GB2312" w:eastAsia="仿宋_GB2312"/>
                      <w:sz w:val="24"/>
                      <w:color w:val="000000"/>
                    </w:rPr>
                    <w:t>50张，出门按钮10个</w:t>
                  </w:r>
                </w:p>
              </w:tc>
              <w:tc>
                <w:tcPr>
                  <w:tcW w:type="dxa" w:w="197"/>
                  <w:vMerge/>
                  <w:tcBorders>
                    <w:top w:val="none" w:color="000000" w:sz="4"/>
                    <w:left w:val="none" w:color="000000" w:sz="4"/>
                    <w:bottom w:val="single" w:color="000000" w:sz="4"/>
                    <w:right w:val="single" w:color="000000" w:sz="4"/>
                  </w:tcBorders>
                </w:tcPr>
                <w:p/>
              </w:tc>
              <w:tc>
                <w:tcPr>
                  <w:tcW w:type="dxa" w:w="160"/>
                  <w:vMerge/>
                  <w:tcBorders>
                    <w:top w:val="none" w:color="000000" w:sz="4"/>
                    <w:left w:val="none" w:color="000000" w:sz="4"/>
                    <w:bottom w:val="single" w:color="000000" w:sz="4"/>
                    <w:right w:val="single" w:color="000000" w:sz="4"/>
                  </w:tcBorders>
                </w:tcPr>
                <w:p/>
              </w:tc>
            </w:tr>
          </w:tbl>
          <w:p>
            <w:pPr>
              <w:pStyle w:val="null3"/>
              <w:numPr>
                <w:ilvl w:val="0"/>
                <w:numId w:val="2"/>
              </w:numPr>
              <w:jc w:val="both"/>
            </w:pPr>
            <w:r>
              <w:rPr>
                <w:rFonts w:ascii="仿宋_GB2312" w:hAnsi="仿宋_GB2312" w:cs="仿宋_GB2312" w:eastAsia="仿宋_GB2312"/>
                <w:sz w:val="24"/>
              </w:rPr>
              <w:t>租赁服务清单</w:t>
            </w:r>
          </w:p>
          <w:tbl>
            <w:tblPr>
              <w:tblBorders>
                <w:top w:val="none" w:color="000000" w:sz="4"/>
                <w:left w:val="none" w:color="000000" w:sz="4"/>
                <w:bottom w:val="none" w:color="000000" w:sz="4"/>
                <w:right w:val="none" w:color="000000" w:sz="4"/>
                <w:insideH w:val="none"/>
                <w:insideV w:val="none"/>
              </w:tblBorders>
            </w:tblPr>
            <w:tblGrid>
              <w:gridCol w:w="173"/>
              <w:gridCol w:w="312"/>
              <w:gridCol w:w="455"/>
              <w:gridCol w:w="1268"/>
              <w:gridCol w:w="173"/>
              <w:gridCol w:w="173"/>
            </w:tblGrid>
            <w:tr>
              <w:tc>
                <w:tcPr>
                  <w:tcW w:type="dxa" w:w="173"/>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312"/>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产品</w:t>
                  </w:r>
                </w:p>
                <w:p>
                  <w:pPr>
                    <w:pStyle w:val="null3"/>
                    <w:jc w:val="center"/>
                  </w:pPr>
                  <w:r>
                    <w:rPr>
                      <w:rFonts w:ascii="仿宋_GB2312" w:hAnsi="仿宋_GB2312" w:cs="仿宋_GB2312" w:eastAsia="仿宋_GB2312"/>
                      <w:sz w:val="24"/>
                      <w:color w:val="000000"/>
                    </w:rPr>
                    <w:t>类型</w:t>
                  </w:r>
                </w:p>
              </w:tc>
              <w:tc>
                <w:tcPr>
                  <w:tcW w:type="dxa" w:w="455"/>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资产名称</w:t>
                  </w:r>
                </w:p>
              </w:tc>
              <w:tc>
                <w:tcPr>
                  <w:tcW w:type="dxa" w:w="1268"/>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技术参数</w:t>
                  </w:r>
                </w:p>
              </w:tc>
              <w:tc>
                <w:tcPr>
                  <w:tcW w:type="dxa" w:w="173"/>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173"/>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机房监控服务</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24口数据接入网关（二层交换机）</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二层网管交换机，交换容量</w:t>
                  </w:r>
                  <w:r>
                    <w:rPr>
                      <w:rFonts w:ascii="仿宋_GB2312" w:hAnsi="仿宋_GB2312" w:cs="仿宋_GB2312" w:eastAsia="仿宋_GB2312"/>
                      <w:sz w:val="24"/>
                    </w:rPr>
                    <w:t>≥336Gbps，包转发率≥78Mpps，≥24口10/100/1000Mbps自适应电口交换机（具有PoE/PoE+，PoE功率370W），固化≥4个SFP千兆光口，具有VLAN、ACL、端口镜像、端口聚合等功能。</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12"/>
                  <w:vMerge/>
                  <w:tcBorders>
                    <w:top w:val="none" w:color="000000" w:sz="4"/>
                    <w:left w:val="none" w:color="000000" w:sz="4"/>
                    <w:bottom w:val="single" w:color="000000" w:sz="4"/>
                    <w:right w:val="single" w:color="000000" w:sz="4"/>
                  </w:tcBorders>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24口数据接入网关（三层交换机）</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三层交换机，交换容量</w:t>
                  </w:r>
                  <w:r>
                    <w:rPr>
                      <w:rFonts w:ascii="仿宋_GB2312" w:hAnsi="仿宋_GB2312" w:cs="仿宋_GB2312" w:eastAsia="仿宋_GB2312"/>
                      <w:sz w:val="24"/>
                    </w:rPr>
                    <w:t>≥396Gbps/3.96Tbps ，包转发率≥96Mpps/144Mpps；≥24个10/100/1000M自适应电口,具有PoE/PoE+，其中1-4口具有HPoE，≥4个SFP光口，PoE总功率≥370W；具有RIP，OSPF等路由协议；具有DHCP server；具有虚拟化。</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12"/>
                  <w:vMerge/>
                  <w:tcBorders>
                    <w:top w:val="none" w:color="000000" w:sz="4"/>
                    <w:left w:val="none" w:color="000000" w:sz="4"/>
                    <w:bottom w:val="single" w:color="000000" w:sz="4"/>
                    <w:right w:val="single" w:color="000000" w:sz="4"/>
                  </w:tcBorders>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国密监控主机</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不低于以下参数：</w:t>
                  </w:r>
                  <w:r>
                    <w:br/>
                  </w:r>
                  <w:r>
                    <w:rPr>
                      <w:rFonts w:ascii="仿宋_GB2312" w:hAnsi="仿宋_GB2312" w:cs="仿宋_GB2312" w:eastAsia="仿宋_GB2312"/>
                      <w:sz w:val="24"/>
                    </w:rPr>
                    <w:t>处理器</w:t>
                  </w:r>
                  <w:r>
                    <w:rPr>
                      <w:rFonts w:ascii="仿宋_GB2312" w:hAnsi="仿宋_GB2312" w:cs="仿宋_GB2312" w:eastAsia="仿宋_GB2312"/>
                      <w:sz w:val="24"/>
                    </w:rPr>
                    <w:t>：8核心，主频≥2.8GHz，内置安全Boot ROM并采用国密算法</w:t>
                  </w:r>
                  <w:r>
                    <w:br/>
                  </w:r>
                  <w:r>
                    <w:rPr>
                      <w:rFonts w:ascii="仿宋_GB2312" w:hAnsi="仿宋_GB2312" w:cs="仿宋_GB2312" w:eastAsia="仿宋_GB2312"/>
                      <w:sz w:val="24"/>
                    </w:rPr>
                    <w:t>内存：标准8GB DDR4（频率2933MHz），具有扩展至32GB或更高（最高可达256GB）。</w:t>
                  </w:r>
                  <w:r>
                    <w:br/>
                  </w:r>
                  <w:r>
                    <w:rPr>
                      <w:rFonts w:ascii="仿宋_GB2312" w:hAnsi="仿宋_GB2312" w:cs="仿宋_GB2312" w:eastAsia="仿宋_GB2312"/>
                      <w:sz w:val="24"/>
                    </w:rPr>
                    <w:t>存储：256GB SSD（SATA接口）</w:t>
                  </w:r>
                  <w:r>
                    <w:br/>
                  </w:r>
                  <w:r>
                    <w:rPr>
                      <w:rFonts w:ascii="仿宋_GB2312" w:hAnsi="仿宋_GB2312" w:cs="仿宋_GB2312" w:eastAsia="仿宋_GB2312"/>
                      <w:sz w:val="24"/>
                    </w:rPr>
                    <w:t>显卡：显存2GB，具有高清视频输出。</w:t>
                  </w:r>
                  <w:r>
                    <w:br/>
                  </w:r>
                  <w:r>
                    <w:rPr>
                      <w:rFonts w:ascii="仿宋_GB2312" w:hAnsi="仿宋_GB2312" w:cs="仿宋_GB2312" w:eastAsia="仿宋_GB2312"/>
                      <w:sz w:val="24"/>
                    </w:rPr>
                    <w:t>显示器：标配23.8英寸LED显示器，分辨率≥1920×1080，刷新率≥60Hz。</w:t>
                  </w:r>
                  <w:r>
                    <w:br/>
                  </w:r>
                  <w:r>
                    <w:rPr>
                      <w:rFonts w:ascii="仿宋_GB2312" w:hAnsi="仿宋_GB2312" w:cs="仿宋_GB2312" w:eastAsia="仿宋_GB2312"/>
                      <w:sz w:val="24"/>
                    </w:rPr>
                    <w:t>网络：板载单口千兆RJ45网卡。</w:t>
                  </w:r>
                  <w:r>
                    <w:br/>
                  </w:r>
                  <w:r>
                    <w:rPr>
                      <w:rFonts w:ascii="仿宋_GB2312" w:hAnsi="仿宋_GB2312" w:cs="仿宋_GB2312" w:eastAsia="仿宋_GB2312"/>
                      <w:sz w:val="24"/>
                    </w:rPr>
                    <w:t>接口：USB 3.0 ≥8个、HDMI ≥1个、VGA ≥1个</w:t>
                  </w:r>
                  <w:r>
                    <w:br/>
                  </w:r>
                  <w:r>
                    <w:rPr>
                      <w:rFonts w:ascii="仿宋_GB2312" w:hAnsi="仿宋_GB2312" w:cs="仿宋_GB2312" w:eastAsia="仿宋_GB2312"/>
                      <w:sz w:val="24"/>
                    </w:rPr>
                    <w:t>操作系统：具有麒麟、UOS等国产桌面操作系统</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12"/>
                  <w:vMerge/>
                  <w:tcBorders>
                    <w:top w:val="none" w:color="000000" w:sz="4"/>
                    <w:left w:val="none" w:color="000000" w:sz="4"/>
                    <w:bottom w:val="single" w:color="000000" w:sz="4"/>
                    <w:right w:val="single" w:color="000000" w:sz="4"/>
                  </w:tcBorders>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国密门禁主机</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不低于以下参数：</w:t>
                  </w:r>
                  <w:r>
                    <w:br/>
                  </w:r>
                  <w:r>
                    <w:rPr>
                      <w:rFonts w:ascii="仿宋_GB2312" w:hAnsi="仿宋_GB2312" w:cs="仿宋_GB2312" w:eastAsia="仿宋_GB2312"/>
                      <w:sz w:val="24"/>
                    </w:rPr>
                    <w:t>处理器</w:t>
                  </w:r>
                  <w:r>
                    <w:rPr>
                      <w:rFonts w:ascii="仿宋_GB2312" w:hAnsi="仿宋_GB2312" w:cs="仿宋_GB2312" w:eastAsia="仿宋_GB2312"/>
                      <w:sz w:val="24"/>
                    </w:rPr>
                    <w:t>：8核心，主频≥2.8GHz，最高加速频率≥3.0GHz，内置安全模块具有国密算法。</w:t>
                  </w:r>
                  <w:r>
                    <w:br/>
                  </w:r>
                  <w:r>
                    <w:rPr>
                      <w:rFonts w:ascii="仿宋_GB2312" w:hAnsi="仿宋_GB2312" w:cs="仿宋_GB2312" w:eastAsia="仿宋_GB2312"/>
                      <w:sz w:val="24"/>
                    </w:rPr>
                    <w:t>内存：标准8GB DDR4（频率2933MHz），配置4个内存插槽，最高可扩展至256GB，具有ECC保护及热备功能。</w:t>
                  </w:r>
                  <w:r>
                    <w:br/>
                  </w:r>
                  <w:r>
                    <w:rPr>
                      <w:rFonts w:ascii="仿宋_GB2312" w:hAnsi="仿宋_GB2312" w:cs="仿宋_GB2312" w:eastAsia="仿宋_GB2312"/>
                      <w:sz w:val="24"/>
                    </w:rPr>
                    <w:t>存储：256GB SATA SSD系统硬盘。</w:t>
                  </w:r>
                  <w:r>
                    <w:br/>
                  </w:r>
                  <w:r>
                    <w:rPr>
                      <w:rFonts w:ascii="仿宋_GB2312" w:hAnsi="仿宋_GB2312" w:cs="仿宋_GB2312" w:eastAsia="仿宋_GB2312"/>
                      <w:sz w:val="24"/>
                    </w:rPr>
                    <w:t>显卡：显存2GB，具有高清视频输出。</w:t>
                  </w:r>
                  <w:r>
                    <w:br/>
                  </w:r>
                  <w:r>
                    <w:rPr>
                      <w:rFonts w:ascii="仿宋_GB2312" w:hAnsi="仿宋_GB2312" w:cs="仿宋_GB2312" w:eastAsia="仿宋_GB2312"/>
                      <w:sz w:val="24"/>
                    </w:rPr>
                    <w:t>显示器：分辨率1920×1080，刷新率≥60Hz。</w:t>
                  </w:r>
                  <w:r>
                    <w:br/>
                  </w:r>
                  <w:r>
                    <w:rPr>
                      <w:rFonts w:ascii="仿宋_GB2312" w:hAnsi="仿宋_GB2312" w:cs="仿宋_GB2312" w:eastAsia="仿宋_GB2312"/>
                      <w:sz w:val="24"/>
                    </w:rPr>
                    <w:t>网络：板载单口千兆RJ45网卡，具有自适应速率及网络冗余。</w:t>
                  </w:r>
                  <w:r>
                    <w:br/>
                  </w:r>
                  <w:r>
                    <w:rPr>
                      <w:rFonts w:ascii="仿宋_GB2312" w:hAnsi="仿宋_GB2312" w:cs="仿宋_GB2312" w:eastAsia="仿宋_GB2312"/>
                      <w:sz w:val="24"/>
                    </w:rPr>
                    <w:t>接口：USB 3.0接口≥8个（前置4个+后置4个），HDMI≥1个，VGA≥1个</w:t>
                  </w:r>
                  <w:r>
                    <w:br/>
                  </w:r>
                  <w:r>
                    <w:rPr>
                      <w:rFonts w:ascii="仿宋_GB2312" w:hAnsi="仿宋_GB2312" w:cs="仿宋_GB2312" w:eastAsia="仿宋_GB2312"/>
                      <w:sz w:val="24"/>
                    </w:rPr>
                    <w:t>操作系统：兼容麒麟、UOS等国产桌面操作系统，预装可替代工程软件。</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12"/>
                  <w:vMerge/>
                  <w:tcBorders>
                    <w:top w:val="none" w:color="000000" w:sz="4"/>
                    <w:left w:val="none" w:color="000000" w:sz="4"/>
                    <w:bottom w:val="single" w:color="000000" w:sz="4"/>
                    <w:right w:val="single" w:color="000000" w:sz="4"/>
                  </w:tcBorders>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半球摄像机</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像素</w:t>
                  </w:r>
                  <w:r>
                    <w:rPr>
                      <w:rFonts w:ascii="仿宋_GB2312" w:hAnsi="仿宋_GB2312" w:cs="仿宋_GB2312" w:eastAsia="仿宋_GB2312"/>
                      <w:sz w:val="24"/>
                    </w:rPr>
                    <w:t>≥200万 1/2.7" CMOS</w:t>
                  </w:r>
                  <w:r>
                    <w:br/>
                  </w:r>
                  <w:r>
                    <w:rPr>
                      <w:rFonts w:ascii="仿宋_GB2312" w:hAnsi="仿宋_GB2312" w:cs="仿宋_GB2312" w:eastAsia="仿宋_GB2312"/>
                      <w:sz w:val="24"/>
                    </w:rPr>
                    <w:t>焦距</w:t>
                  </w:r>
                  <w:r>
                    <w:rPr>
                      <w:rFonts w:ascii="仿宋_GB2312" w:hAnsi="仿宋_GB2312" w:cs="仿宋_GB2312" w:eastAsia="仿宋_GB2312"/>
                      <w:sz w:val="24"/>
                    </w:rPr>
                    <w:t>: 2.7~13.5 mm。</w:t>
                  </w:r>
                </w:p>
                <w:p>
                  <w:pPr>
                    <w:pStyle w:val="null3"/>
                    <w:jc w:val="left"/>
                  </w:pPr>
                  <w:r>
                    <w:rPr>
                      <w:rFonts w:ascii="仿宋_GB2312" w:hAnsi="仿宋_GB2312" w:cs="仿宋_GB2312" w:eastAsia="仿宋_GB2312"/>
                      <w:sz w:val="24"/>
                    </w:rPr>
                    <w:t>最低照度</w:t>
                  </w:r>
                  <w:r>
                    <w:rPr>
                      <w:rFonts w:ascii="仿宋_GB2312" w:hAnsi="仿宋_GB2312" w:cs="仿宋_GB2312" w:eastAsia="仿宋_GB2312"/>
                      <w:sz w:val="24"/>
                    </w:rPr>
                    <w:t>: 彩色：≤0.005 Lux @（F1.2，AGC ON），黑白：≤0.0002 Lux @（F1.2，AGC ON），0 Lux with IR</w:t>
                  </w:r>
                  <w:r>
                    <w:br/>
                  </w:r>
                  <w:r>
                    <w:rPr>
                      <w:rFonts w:ascii="仿宋_GB2312" w:hAnsi="仿宋_GB2312" w:cs="仿宋_GB2312" w:eastAsia="仿宋_GB2312"/>
                      <w:sz w:val="24"/>
                    </w:rPr>
                    <w:t>补光灯类型</w:t>
                  </w:r>
                  <w:r>
                    <w:rPr>
                      <w:rFonts w:ascii="仿宋_GB2312" w:hAnsi="仿宋_GB2312" w:cs="仿宋_GB2312" w:eastAsia="仿宋_GB2312"/>
                      <w:sz w:val="24"/>
                    </w:rPr>
                    <w:t>: 红外，补光距离≥30 m</w:t>
                  </w:r>
                  <w:r>
                    <w:br/>
                  </w:r>
                  <w:r>
                    <w:rPr>
                      <w:rFonts w:ascii="仿宋_GB2312" w:hAnsi="仿宋_GB2312" w:cs="仿宋_GB2312" w:eastAsia="仿宋_GB2312"/>
                      <w:sz w:val="24"/>
                    </w:rPr>
                    <w:t>视频压缩标准</w:t>
                  </w:r>
                  <w:r>
                    <w:rPr>
                      <w:rFonts w:ascii="仿宋_GB2312" w:hAnsi="仿宋_GB2312" w:cs="仿宋_GB2312" w:eastAsia="仿宋_GB2312"/>
                      <w:sz w:val="24"/>
                    </w:rPr>
                    <w:t>: H.265/H.264/MJPEG</w:t>
                  </w:r>
                  <w:r>
                    <w:br/>
                  </w:r>
                  <w:r>
                    <w:rPr>
                      <w:rFonts w:ascii="仿宋_GB2312" w:hAnsi="仿宋_GB2312" w:cs="仿宋_GB2312" w:eastAsia="仿宋_GB2312"/>
                      <w:sz w:val="24"/>
                    </w:rPr>
                    <w:t>网络存储</w:t>
                  </w:r>
                  <w:r>
                    <w:rPr>
                      <w:rFonts w:ascii="仿宋_GB2312" w:hAnsi="仿宋_GB2312" w:cs="仿宋_GB2312" w:eastAsia="仿宋_GB2312"/>
                      <w:sz w:val="24"/>
                    </w:rPr>
                    <w:t>: 具有Micro SD(即TF卡)/Micro SDHC/Micro SDXC卡（最大256 GB）断网本地存储及断网续传，NAS（NFS，SMB/CIFS均支持）</w:t>
                  </w:r>
                  <w:r>
                    <w:br/>
                  </w:r>
                  <w:r>
                    <w:rPr>
                      <w:rFonts w:ascii="仿宋_GB2312" w:hAnsi="仿宋_GB2312" w:cs="仿宋_GB2312" w:eastAsia="仿宋_GB2312"/>
                      <w:sz w:val="24"/>
                    </w:rPr>
                    <w:t>网络接口</w:t>
                  </w:r>
                  <w:r>
                    <w:rPr>
                      <w:rFonts w:ascii="仿宋_GB2312" w:hAnsi="仿宋_GB2312" w:cs="仿宋_GB2312" w:eastAsia="仿宋_GB2312"/>
                      <w:sz w:val="24"/>
                    </w:rPr>
                    <w:t>: ≥1个RJ45</w:t>
                  </w:r>
                </w:p>
                <w:p>
                  <w:pPr>
                    <w:pStyle w:val="null3"/>
                    <w:jc w:val="left"/>
                  </w:pPr>
                  <w:r>
                    <w:rPr>
                      <w:rFonts w:ascii="仿宋_GB2312" w:hAnsi="仿宋_GB2312" w:cs="仿宋_GB2312" w:eastAsia="仿宋_GB2312"/>
                      <w:sz w:val="24"/>
                    </w:rPr>
                    <w:t>音频接口</w:t>
                  </w:r>
                  <w:r>
                    <w:rPr>
                      <w:rFonts w:ascii="仿宋_GB2312" w:hAnsi="仿宋_GB2312" w:cs="仿宋_GB2312" w:eastAsia="仿宋_GB2312"/>
                      <w:sz w:val="24"/>
                    </w:rPr>
                    <w:t>: ≥1 路输入，≥1路输出</w:t>
                  </w:r>
                </w:p>
                <w:p>
                  <w:pPr>
                    <w:pStyle w:val="null3"/>
                    <w:jc w:val="left"/>
                  </w:pPr>
                  <w:r>
                    <w:rPr>
                      <w:rFonts w:ascii="仿宋_GB2312" w:hAnsi="仿宋_GB2312" w:cs="仿宋_GB2312" w:eastAsia="仿宋_GB2312"/>
                      <w:sz w:val="24"/>
                    </w:rPr>
                    <w:t>报警接口</w:t>
                  </w:r>
                  <w:r>
                    <w:rPr>
                      <w:rFonts w:ascii="仿宋_GB2312" w:hAnsi="仿宋_GB2312" w:cs="仿宋_GB2312" w:eastAsia="仿宋_GB2312"/>
                      <w:sz w:val="24"/>
                    </w:rPr>
                    <w:t>: ≥1路输入，≥1路输出</w:t>
                  </w:r>
                  <w:r>
                    <w:br/>
                  </w:r>
                  <w:r>
                    <w:rPr>
                      <w:rFonts w:ascii="仿宋_GB2312" w:hAnsi="仿宋_GB2312" w:cs="仿宋_GB2312" w:eastAsia="仿宋_GB2312"/>
                      <w:sz w:val="24"/>
                    </w:rPr>
                    <w:t>防护</w:t>
                  </w:r>
                  <w:r>
                    <w:rPr>
                      <w:rFonts w:ascii="仿宋_GB2312" w:hAnsi="仿宋_GB2312" w:cs="仿宋_GB2312" w:eastAsia="仿宋_GB2312"/>
                      <w:sz w:val="24"/>
                    </w:rPr>
                    <w:t>: ≥IP65</w:t>
                  </w:r>
                  <w:r>
                    <w:br/>
                  </w:r>
                  <w:r>
                    <w:rPr>
                      <w:rFonts w:ascii="仿宋_GB2312" w:hAnsi="仿宋_GB2312" w:cs="仿宋_GB2312" w:eastAsia="仿宋_GB2312"/>
                      <w:sz w:val="24"/>
                    </w:rPr>
                    <w:t>含电源适配器及安装支架</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312"/>
                  <w:vMerge/>
                  <w:tcBorders>
                    <w:top w:val="none" w:color="000000" w:sz="4"/>
                    <w:left w:val="none" w:color="000000" w:sz="4"/>
                    <w:bottom w:val="single" w:color="000000" w:sz="4"/>
                    <w:right w:val="single" w:color="000000" w:sz="4"/>
                  </w:tcBorders>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单门门禁控制器</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管控门数：</w:t>
                  </w:r>
                  <w:r>
                    <w:rPr>
                      <w:rFonts w:ascii="仿宋_GB2312" w:hAnsi="仿宋_GB2312" w:cs="仿宋_GB2312" w:eastAsia="仿宋_GB2312"/>
                      <w:sz w:val="24"/>
                    </w:rPr>
                    <w:t>1门</w:t>
                  </w:r>
                  <w:r>
                    <w:br/>
                  </w:r>
                  <w:r>
                    <w:rPr>
                      <w:rFonts w:ascii="仿宋_GB2312" w:hAnsi="仿宋_GB2312" w:cs="仿宋_GB2312" w:eastAsia="仿宋_GB2312"/>
                      <w:sz w:val="24"/>
                    </w:rPr>
                    <w:t>控制接口：</w:t>
                  </w:r>
                  <w:r>
                    <w:rPr>
                      <w:rFonts w:ascii="仿宋_GB2312" w:hAnsi="仿宋_GB2312" w:cs="仿宋_GB2312" w:eastAsia="仿宋_GB2312"/>
                      <w:sz w:val="24"/>
                    </w:rPr>
                    <w:t>TCP/IP接口≥1个；上行RS485通讯接口≥1个；下行RS485通讯接口≥1个；wiegand通讯接口≥2个；可接入最多读卡器数量≥2个；报警输入接口≥4个；事件输入接口≥2个；门磁输入接口≥1个；开门按钮接口≥1个；电锁输出接口≥1个；报警输出接口≥2个。</w:t>
                  </w:r>
                  <w:r>
                    <w:br/>
                  </w:r>
                  <w:r>
                    <w:rPr>
                      <w:rFonts w:ascii="仿宋_GB2312" w:hAnsi="仿宋_GB2312" w:cs="仿宋_GB2312" w:eastAsia="仿宋_GB2312"/>
                      <w:sz w:val="24"/>
                    </w:rPr>
                    <w:t>主机应能对门的开启方式，卡的各种使用权限进行组合设置，实现不同场景的权限管理</w:t>
                  </w:r>
                  <w:r>
                    <w:br/>
                  </w:r>
                  <w:r>
                    <w:rPr>
                      <w:rFonts w:ascii="仿宋_GB2312" w:hAnsi="仿宋_GB2312" w:cs="仿宋_GB2312" w:eastAsia="仿宋_GB2312"/>
                      <w:sz w:val="24"/>
                    </w:rPr>
                    <w:t>主机应具有消防联动功能，当检测到消防信号后，可以自动打开门锁。</w:t>
                  </w:r>
                  <w:r>
                    <w:br/>
                  </w:r>
                  <w:r>
                    <w:rPr>
                      <w:rFonts w:ascii="仿宋_GB2312" w:hAnsi="仿宋_GB2312" w:cs="仿宋_GB2312" w:eastAsia="仿宋_GB2312"/>
                      <w:sz w:val="24"/>
                    </w:rPr>
                    <w:t>存储能力，</w:t>
                  </w:r>
                  <w:r>
                    <w:rPr>
                      <w:rFonts w:ascii="仿宋_GB2312" w:hAnsi="仿宋_GB2312" w:cs="仿宋_GB2312" w:eastAsia="仿宋_GB2312"/>
                      <w:sz w:val="24"/>
                    </w:rPr>
                    <w:t>≥10万卡片管理和30万事件记录存储。</w:t>
                  </w:r>
                  <w:r>
                    <w:br/>
                  </w:r>
                  <w:r>
                    <w:rPr>
                      <w:rFonts w:ascii="仿宋_GB2312" w:hAnsi="仿宋_GB2312" w:cs="仿宋_GB2312" w:eastAsia="仿宋_GB2312"/>
                      <w:sz w:val="24"/>
                    </w:rPr>
                    <w:t>主机应具有应急响应功能，可应急开启和应急复位。</w:t>
                  </w:r>
                  <w:r>
                    <w:br/>
                  </w:r>
                  <w:r>
                    <w:rPr>
                      <w:rFonts w:ascii="仿宋_GB2312" w:hAnsi="仿宋_GB2312" w:cs="仿宋_GB2312" w:eastAsia="仿宋_GB2312"/>
                      <w:sz w:val="24"/>
                    </w:rPr>
                    <w:t>主机应具有看门狗检测功能，保障主机长期稳定运行。</w:t>
                  </w:r>
                  <w:r>
                    <w:br/>
                  </w:r>
                  <w:r>
                    <w:rPr>
                      <w:rFonts w:ascii="仿宋_GB2312" w:hAnsi="仿宋_GB2312" w:cs="仿宋_GB2312" w:eastAsia="仿宋_GB2312"/>
                      <w:sz w:val="24"/>
                    </w:rPr>
                    <w:t>主机应具防区报警功能，</w:t>
                  </w:r>
                  <w:r>
                    <w:rPr>
                      <w:rFonts w:ascii="仿宋_GB2312" w:hAnsi="仿宋_GB2312" w:cs="仿宋_GB2312" w:eastAsia="仿宋_GB2312"/>
                      <w:sz w:val="24"/>
                    </w:rPr>
                    <w:t>≥4个入侵探测接口，能够联动报警输出。</w:t>
                  </w:r>
                  <w:r>
                    <w:br/>
                  </w:r>
                  <w:r>
                    <w:rPr>
                      <w:rFonts w:ascii="仿宋_GB2312" w:hAnsi="仿宋_GB2312" w:cs="仿宋_GB2312" w:eastAsia="仿宋_GB2312"/>
                      <w:sz w:val="24"/>
                    </w:rPr>
                    <w:t>主机应具有极端恶劣环境下正常工作能力，工作温度应为：﹣</w:t>
                  </w:r>
                  <w:r>
                    <w:rPr>
                      <w:rFonts w:ascii="仿宋_GB2312" w:hAnsi="仿宋_GB2312" w:cs="仿宋_GB2312" w:eastAsia="仿宋_GB2312"/>
                      <w:sz w:val="24"/>
                    </w:rPr>
                    <w:t>40℃~﹢70℃。</w:t>
                  </w:r>
                  <w:r>
                    <w:br/>
                  </w:r>
                  <w:r>
                    <w:rPr>
                      <w:rFonts w:ascii="仿宋_GB2312" w:hAnsi="仿宋_GB2312" w:cs="仿宋_GB2312" w:eastAsia="仿宋_GB2312"/>
                      <w:sz w:val="24"/>
                    </w:rPr>
                    <w:t>系统主要操作响应时间应</w:t>
                  </w:r>
                  <w:r>
                    <w:rPr>
                      <w:rFonts w:ascii="仿宋_GB2312" w:hAnsi="仿宋_GB2312" w:cs="仿宋_GB2312" w:eastAsia="仿宋_GB2312"/>
                      <w:sz w:val="24"/>
                    </w:rPr>
                    <w:t>≤2S，电控锁响应时间应≤1S，报警响应时间应≤1S。</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312"/>
                  <w:vMerge/>
                  <w:tcBorders>
                    <w:top w:val="none" w:color="000000" w:sz="4"/>
                    <w:left w:val="none" w:color="000000" w:sz="4"/>
                    <w:bottom w:val="single" w:color="000000" w:sz="4"/>
                    <w:right w:val="single" w:color="000000" w:sz="4"/>
                  </w:tcBorders>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服务器密码机</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产品遵循</w:t>
                  </w:r>
                  <w:r>
                    <w:rPr>
                      <w:rFonts w:ascii="仿宋_GB2312" w:hAnsi="仿宋_GB2312" w:cs="仿宋_GB2312" w:eastAsia="仿宋_GB2312"/>
                      <w:sz w:val="24"/>
                    </w:rPr>
                    <w:t>GM/T 0018-2012《密码设备应用接口规范》、GM/T 0028-2014《密码模块安全技术要求》、GM/T 0030-2014《服务器密码机技术规范》等密码行业标准。</w:t>
                  </w:r>
                  <w:r>
                    <w:br/>
                  </w:r>
                  <w:r>
                    <w:rPr>
                      <w:rFonts w:ascii="仿宋_GB2312" w:hAnsi="仿宋_GB2312" w:cs="仿宋_GB2312" w:eastAsia="仿宋_GB2312"/>
                      <w:sz w:val="24"/>
                    </w:rPr>
                    <w:t>2U标准机箱；≥4个100/1000M自适应网口；≥3个PCIE扩展槽，可扩展2千兆光/4千兆光/2万兆光/4万兆光及其他标准PCIE卡。</w:t>
                  </w:r>
                  <w:r>
                    <w:br/>
                  </w:r>
                  <w:r>
                    <w:rPr>
                      <w:rFonts w:ascii="仿宋_GB2312" w:hAnsi="仿宋_GB2312" w:cs="仿宋_GB2312" w:eastAsia="仿宋_GB2312"/>
                      <w:sz w:val="24"/>
                    </w:rPr>
                    <w:t>具有多种算法：</w:t>
                  </w:r>
                  <w:r>
                    <w:rPr>
                      <w:rFonts w:ascii="仿宋_GB2312" w:hAnsi="仿宋_GB2312" w:cs="仿宋_GB2312" w:eastAsia="仿宋_GB2312"/>
                      <w:sz w:val="24"/>
                    </w:rPr>
                    <w:t>SM1、SM2、SM3、SM4国密算法等。</w:t>
                  </w:r>
                  <w:r>
                    <w:br/>
                  </w:r>
                  <w:r>
                    <w:rPr>
                      <w:rFonts w:ascii="仿宋_GB2312" w:hAnsi="仿宋_GB2312" w:cs="仿宋_GB2312" w:eastAsia="仿宋_GB2312"/>
                      <w:sz w:val="24"/>
                    </w:rPr>
                    <w:t>采用国密局批准的硬件双路物理噪声源生成真随机数序列。</w:t>
                  </w:r>
                  <w:r>
                    <w:br/>
                  </w:r>
                  <w:r>
                    <w:rPr>
                      <w:rFonts w:ascii="仿宋_GB2312" w:hAnsi="仿宋_GB2312" w:cs="仿宋_GB2312" w:eastAsia="仿宋_GB2312"/>
                      <w:sz w:val="24"/>
                    </w:rPr>
                    <w:t>密钥管理：具有密钥的多级管理体系，具有对管理密钥、用户密钥</w:t>
                  </w:r>
                  <w:r>
                    <w:rPr>
                      <w:rFonts w:ascii="仿宋_GB2312" w:hAnsi="仿宋_GB2312" w:cs="仿宋_GB2312" w:eastAsia="仿宋_GB2312"/>
                      <w:sz w:val="24"/>
                    </w:rPr>
                    <w:t>/设备密钥/密钥加密密钥、会话密钥等密钥提供逐层安全保障。具有用户密钥容量≥10W，密钥加密密钥容量≥10W。</w:t>
                  </w:r>
                  <w:r>
                    <w:br/>
                  </w:r>
                  <w:r>
                    <w:rPr>
                      <w:rFonts w:ascii="仿宋_GB2312" w:hAnsi="仿宋_GB2312" w:cs="仿宋_GB2312" w:eastAsia="仿宋_GB2312"/>
                      <w:sz w:val="24"/>
                    </w:rPr>
                    <w:t>密钥备份与恢复：具有基于密钥保护机制的密钥备份与恢复，具有将备份密钥存储至外部存储介质中，备份在导入、外部存储、导出过程中均为加密状态。</w:t>
                  </w:r>
                  <w:r>
                    <w:br/>
                  </w:r>
                  <w:r>
                    <w:rPr>
                      <w:rFonts w:ascii="仿宋_GB2312" w:hAnsi="仿宋_GB2312" w:cs="仿宋_GB2312" w:eastAsia="仿宋_GB2312"/>
                      <w:sz w:val="24"/>
                    </w:rPr>
                    <w:t>具有权限访问控制，提供用户分级管理功能与口令</w:t>
                  </w:r>
                  <w:r>
                    <w:rPr>
                      <w:rFonts w:ascii="仿宋_GB2312" w:hAnsi="仿宋_GB2312" w:cs="仿宋_GB2312" w:eastAsia="仿宋_GB2312"/>
                      <w:sz w:val="24"/>
                    </w:rPr>
                    <w:t>+智能密码钥匙（数字证书）的双因子身份认证机制，用户数字证书存储在智能密码钥匙中。</w:t>
                  </w:r>
                  <w:r>
                    <w:br/>
                  </w:r>
                  <w:r>
                    <w:rPr>
                      <w:rFonts w:ascii="仿宋_GB2312" w:hAnsi="仿宋_GB2312" w:cs="仿宋_GB2312" w:eastAsia="仿宋_GB2312"/>
                      <w:sz w:val="24"/>
                    </w:rPr>
                    <w:t>具有黑名单功能，对访问密码机的终端设备进行授权访问限制，保障系统安全性。</w:t>
                  </w:r>
                  <w:r>
                    <w:br/>
                  </w:r>
                  <w:r>
                    <w:rPr>
                      <w:rFonts w:ascii="仿宋_GB2312" w:hAnsi="仿宋_GB2312" w:cs="仿宋_GB2312" w:eastAsia="仿宋_GB2312"/>
                      <w:sz w:val="24"/>
                    </w:rPr>
                    <w:t>具有高可用的双机热备与双机并行，保障业务稳定运行。</w:t>
                  </w:r>
                  <w:r>
                    <w:br/>
                  </w:r>
                  <w:r>
                    <w:rPr>
                      <w:rFonts w:ascii="仿宋_GB2312" w:hAnsi="仿宋_GB2312" w:cs="仿宋_GB2312" w:eastAsia="仿宋_GB2312"/>
                      <w:sz w:val="24"/>
                    </w:rPr>
                    <w:t>具有设备自检功能，提供数据完整性自检、程序完整性自检、算法自检、随机数自检等。</w:t>
                  </w:r>
                  <w:r>
                    <w:br/>
                  </w:r>
                  <w:r>
                    <w:rPr>
                      <w:rFonts w:ascii="仿宋_GB2312" w:hAnsi="仿宋_GB2312" w:cs="仿宋_GB2312" w:eastAsia="仿宋_GB2312"/>
                      <w:sz w:val="24"/>
                    </w:rPr>
                    <w:t>具有日志完整性保护，提供日志记录的审计、查询和导出等操作。具有日志上报以及日志存储配置。</w:t>
                  </w:r>
                  <w:r>
                    <w:br/>
                  </w:r>
                  <w:r>
                    <w:rPr>
                      <w:rFonts w:ascii="仿宋_GB2312" w:hAnsi="仿宋_GB2312" w:cs="仿宋_GB2312" w:eastAsia="仿宋_GB2312"/>
                      <w:sz w:val="24"/>
                    </w:rPr>
                    <w:t>提供系统资源阈值告警以及日志存储阈值告警功能，具有以短信及邮箱方式推送。</w:t>
                  </w:r>
                  <w:r>
                    <w:br/>
                  </w:r>
                  <w:r>
                    <w:rPr>
                      <w:rFonts w:ascii="仿宋_GB2312" w:hAnsi="仿宋_GB2312" w:cs="仿宋_GB2312" w:eastAsia="仿宋_GB2312"/>
                      <w:sz w:val="24"/>
                    </w:rPr>
                    <w:t>具有基于</w:t>
                  </w:r>
                  <w:r>
                    <w:rPr>
                      <w:rFonts w:ascii="仿宋_GB2312" w:hAnsi="仿宋_GB2312" w:cs="仿宋_GB2312" w:eastAsia="仿宋_GB2312"/>
                      <w:sz w:val="24"/>
                    </w:rPr>
                    <w:t>SSL协议的数据传输加密，可保障应用服务器、密码机与管理终端间的链路安全。</w:t>
                  </w:r>
                  <w:r>
                    <w:br/>
                  </w:r>
                  <w:r>
                    <w:rPr>
                      <w:rFonts w:ascii="仿宋_GB2312" w:hAnsi="仿宋_GB2312" w:cs="仿宋_GB2312" w:eastAsia="仿宋_GB2312"/>
                      <w:sz w:val="24"/>
                    </w:rPr>
                    <w:t>具有状态监控，可查看密钥数量与状态统计以及设备运行状态。</w:t>
                  </w:r>
                  <w:r>
                    <w:br/>
                  </w:r>
                  <w:r>
                    <w:rPr>
                      <w:rFonts w:ascii="仿宋_GB2312" w:hAnsi="仿宋_GB2312" w:cs="仿宋_GB2312" w:eastAsia="仿宋_GB2312"/>
                      <w:sz w:val="24"/>
                    </w:rPr>
                    <w:t>具有通过配置</w:t>
                  </w:r>
                  <w:r>
                    <w:rPr>
                      <w:rFonts w:ascii="仿宋_GB2312" w:hAnsi="仿宋_GB2312" w:cs="仿宋_GB2312" w:eastAsia="仿宋_GB2312"/>
                      <w:sz w:val="24"/>
                    </w:rPr>
                    <w:t>NTP时间源服务器，实现自动校时，保证签名、验证证书等业务的有效性。</w:t>
                  </w:r>
                  <w:r>
                    <w:br/>
                  </w:r>
                  <w:r>
                    <w:rPr>
                      <w:rFonts w:ascii="仿宋_GB2312" w:hAnsi="仿宋_GB2312" w:cs="仿宋_GB2312" w:eastAsia="仿宋_GB2312"/>
                      <w:sz w:val="24"/>
                    </w:rPr>
                    <w:t>具有</w:t>
                  </w:r>
                  <w:r>
                    <w:rPr>
                      <w:rFonts w:ascii="仿宋_GB2312" w:hAnsi="仿宋_GB2312" w:cs="仿宋_GB2312" w:eastAsia="仿宋_GB2312"/>
                      <w:sz w:val="24"/>
                    </w:rPr>
                    <w:t>IPv6的连接地址查看和网口配置。</w:t>
                  </w:r>
                  <w:r>
                    <w:br/>
                  </w:r>
                  <w:r>
                    <w:rPr>
                      <w:rFonts w:ascii="仿宋_GB2312" w:hAnsi="仿宋_GB2312" w:cs="仿宋_GB2312" w:eastAsia="仿宋_GB2312"/>
                      <w:sz w:val="24"/>
                    </w:rPr>
                    <w:t>接口符合</w:t>
                  </w:r>
                  <w:r>
                    <w:rPr>
                      <w:rFonts w:ascii="仿宋_GB2312" w:hAnsi="仿宋_GB2312" w:cs="仿宋_GB2312" w:eastAsia="仿宋_GB2312"/>
                      <w:sz w:val="24"/>
                    </w:rPr>
                    <w:t>GM/T 0018-2012《密码设备应用接口规范》，提供符合国际标准的接口，具有自定义接口扩展开发。</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312"/>
                  <w:vMerge/>
                  <w:tcBorders>
                    <w:top w:val="none" w:color="000000" w:sz="4"/>
                    <w:left w:val="none" w:color="000000" w:sz="4"/>
                    <w:bottom w:val="single" w:color="000000" w:sz="4"/>
                    <w:right w:val="single" w:color="000000" w:sz="4"/>
                  </w:tcBorders>
                </w:tcPr>
                <w:p/>
              </w:tc>
              <w:tc>
                <w:tcPr>
                  <w:tcW w:type="dxa" w:w="45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国密</w:t>
                  </w:r>
                  <w:r>
                    <w:rPr>
                      <w:rFonts w:ascii="仿宋_GB2312" w:hAnsi="仿宋_GB2312" w:cs="仿宋_GB2312" w:eastAsia="仿宋_GB2312"/>
                      <w:sz w:val="24"/>
                    </w:rPr>
                    <w:t>400万像素网络变焦筒型摄像机</w:t>
                  </w:r>
                </w:p>
              </w:tc>
              <w:tc>
                <w:tcPr>
                  <w:tcW w:type="dxa" w:w="126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≥400万像素国密变焦筒形摄像机</w:t>
                  </w:r>
                  <w:r>
                    <w:br/>
                  </w:r>
                  <w:r>
                    <w:rPr>
                      <w:rFonts w:ascii="仿宋_GB2312" w:hAnsi="仿宋_GB2312" w:cs="仿宋_GB2312" w:eastAsia="仿宋_GB2312"/>
                      <w:sz w:val="24"/>
                    </w:rPr>
                    <w:t>最低照度彩色</w:t>
                  </w:r>
                  <w:r>
                    <w:rPr>
                      <w:rFonts w:ascii="仿宋_GB2312" w:hAnsi="仿宋_GB2312" w:cs="仿宋_GB2312" w:eastAsia="仿宋_GB2312"/>
                      <w:sz w:val="24"/>
                    </w:rPr>
                    <w:t>0.005lx</w:t>
                  </w:r>
                  <w:r>
                    <w:br/>
                  </w:r>
                  <w:r>
                    <w:rPr>
                      <w:rFonts w:ascii="仿宋_GB2312" w:hAnsi="仿宋_GB2312" w:cs="仿宋_GB2312" w:eastAsia="仿宋_GB2312"/>
                      <w:sz w:val="24"/>
                    </w:rPr>
                    <w:t>内置</w:t>
                  </w:r>
                  <w:r>
                    <w:rPr>
                      <w:rFonts w:ascii="仿宋_GB2312" w:hAnsi="仿宋_GB2312" w:cs="仿宋_GB2312" w:eastAsia="仿宋_GB2312"/>
                      <w:sz w:val="24"/>
                    </w:rPr>
                    <w:t>GPU芯片，麦克风，扬声器</w:t>
                  </w:r>
                  <w:r>
                    <w:br/>
                  </w:r>
                  <w:r>
                    <w:rPr>
                      <w:rFonts w:ascii="仿宋_GB2312" w:hAnsi="仿宋_GB2312" w:cs="仿宋_GB2312" w:eastAsia="仿宋_GB2312"/>
                      <w:sz w:val="24"/>
                    </w:rPr>
                    <w:t>具有</w:t>
                  </w:r>
                  <w:r>
                    <w:rPr>
                      <w:rFonts w:ascii="仿宋_GB2312" w:hAnsi="仿宋_GB2312" w:cs="仿宋_GB2312" w:eastAsia="仿宋_GB2312"/>
                      <w:sz w:val="24"/>
                    </w:rPr>
                    <w:t>≥1路报警输入，≥1路报警输出，≥1路音频输入，≥1路音频输出，≥1个SD卡槽，具有DC12V或POE供电</w:t>
                  </w:r>
                  <w:r>
                    <w:br/>
                  </w:r>
                  <w:r>
                    <w:rPr>
                      <w:rFonts w:ascii="仿宋_GB2312" w:hAnsi="仿宋_GB2312" w:cs="仿宋_GB2312" w:eastAsia="仿宋_GB2312"/>
                      <w:sz w:val="24"/>
                    </w:rPr>
                    <w:t>具有自动聚焦功能</w:t>
                  </w:r>
                </w:p>
                <w:p>
                  <w:pPr>
                    <w:pStyle w:val="null3"/>
                    <w:jc w:val="left"/>
                  </w:pPr>
                  <w:r>
                    <w:rPr>
                      <w:rFonts w:ascii="仿宋_GB2312" w:hAnsi="仿宋_GB2312" w:cs="仿宋_GB2312" w:eastAsia="仿宋_GB2312"/>
                      <w:sz w:val="24"/>
                    </w:rPr>
                    <w:t>具有智能报警防干扰功能，智能分析行为类型为区域入侵、越界、进入区域、离开区域时，报警检测目标设置为人体或车辆时，光线明暗变化，篮球滚动，动物行走，树摇晃，不触发报警。</w:t>
                  </w:r>
                  <w:r>
                    <w:br/>
                  </w:r>
                  <w:r>
                    <w:rPr>
                      <w:rFonts w:ascii="仿宋_GB2312" w:hAnsi="仿宋_GB2312" w:cs="仿宋_GB2312" w:eastAsia="仿宋_GB2312"/>
                      <w:sz w:val="24"/>
                    </w:rPr>
                    <w:t>当报警产生时，可触发联动声音报警。报警声音类型</w:t>
                  </w:r>
                  <w:r>
                    <w:rPr>
                      <w:rFonts w:ascii="仿宋_GB2312" w:hAnsi="仿宋_GB2312" w:cs="仿宋_GB2312" w:eastAsia="仿宋_GB2312"/>
                      <w:sz w:val="24"/>
                    </w:rPr>
                    <w:t>≥ 8 种，报警音量和重复次数可设置。</w:t>
                  </w:r>
                  <w:r>
                    <w:br/>
                  </w:r>
                  <w:r>
                    <w:rPr>
                      <w:rFonts w:ascii="仿宋_GB2312" w:hAnsi="仿宋_GB2312" w:cs="仿宋_GB2312" w:eastAsia="仿宋_GB2312"/>
                      <w:sz w:val="24"/>
                    </w:rPr>
                    <w:t>可对出现在监控场景内的两眼瞳距</w:t>
                  </w:r>
                  <w:r>
                    <w:rPr>
                      <w:rFonts w:ascii="仿宋_GB2312" w:hAnsi="仿宋_GB2312" w:cs="仿宋_GB2312" w:eastAsia="仿宋_GB2312"/>
                      <w:sz w:val="24"/>
                    </w:rPr>
                    <w:t>≥25像素的人脸进行检验，并叠加目标提示框。</w:t>
                  </w:r>
                  <w:r>
                    <w:br/>
                  </w:r>
                  <w:r>
                    <w:rPr>
                      <w:rFonts w:ascii="仿宋_GB2312" w:hAnsi="仿宋_GB2312" w:cs="仿宋_GB2312" w:eastAsia="仿宋_GB2312"/>
                      <w:sz w:val="24"/>
                    </w:rPr>
                    <w:t>具有像素显示功能，可通过</w:t>
                  </w:r>
                  <w:r>
                    <w:rPr>
                      <w:rFonts w:ascii="仿宋_GB2312" w:hAnsi="仿宋_GB2312" w:cs="仿宋_GB2312" w:eastAsia="仿宋_GB2312"/>
                      <w:sz w:val="24"/>
                    </w:rPr>
                    <w:t>IE浏览器显示监视画面中鼠标所选区域水平及垂直方向的像素数。</w:t>
                  </w:r>
                  <w:r>
                    <w:br/>
                  </w:r>
                  <w:r>
                    <w:rPr>
                      <w:rFonts w:ascii="仿宋_GB2312" w:hAnsi="仿宋_GB2312" w:cs="仿宋_GB2312" w:eastAsia="仿宋_GB2312"/>
                      <w:sz w:val="24"/>
                    </w:rPr>
                    <w:t>具有硬件微引导程序写入保护机制，存储空间具有防篡改功能</w:t>
                  </w:r>
                  <w:r>
                    <w:br/>
                  </w:r>
                  <w:r>
                    <w:rPr>
                      <w:rFonts w:ascii="仿宋_GB2312" w:hAnsi="仿宋_GB2312" w:cs="仿宋_GB2312" w:eastAsia="仿宋_GB2312"/>
                      <w:sz w:val="24"/>
                    </w:rPr>
                    <w:t>具有固件安全检验功能，摄像机</w:t>
                  </w:r>
                  <w:r>
                    <w:rPr>
                      <w:rFonts w:ascii="仿宋_GB2312" w:hAnsi="仿宋_GB2312" w:cs="仿宋_GB2312" w:eastAsia="仿宋_GB2312"/>
                      <w:sz w:val="24"/>
                    </w:rPr>
                    <w:t>uboot应采用加密存储</w:t>
                  </w:r>
                  <w:r>
                    <w:br/>
                  </w:r>
                  <w:r>
                    <w:rPr>
                      <w:rFonts w:ascii="仿宋_GB2312" w:hAnsi="仿宋_GB2312" w:cs="仿宋_GB2312" w:eastAsia="仿宋_GB2312"/>
                      <w:sz w:val="24"/>
                    </w:rPr>
                    <w:t>具有</w:t>
                  </w:r>
                  <w:r>
                    <w:rPr>
                      <w:rFonts w:ascii="仿宋_GB2312" w:hAnsi="仿宋_GB2312" w:cs="仿宋_GB2312" w:eastAsia="仿宋_GB2312"/>
                      <w:sz w:val="24"/>
                    </w:rPr>
                    <w:t>≥IP67防护等级。</w:t>
                  </w:r>
                </w:p>
              </w:tc>
              <w:tc>
                <w:tcPr>
                  <w:tcW w:type="dxa" w:w="17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7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312"/>
                  <w:vMerge/>
                  <w:tcBorders>
                    <w:top w:val="none" w:color="000000" w:sz="4"/>
                    <w:left w:val="none" w:color="000000" w:sz="4"/>
                    <w:bottom w:val="single" w:color="000000" w:sz="4"/>
                    <w:right w:val="single" w:color="000000" w:sz="4"/>
                  </w:tcBorders>
                </w:tcPr>
                <w:p/>
              </w:tc>
              <w:tc>
                <w:tcPr>
                  <w:tcW w:type="dxa" w:w="455"/>
                  <w:vMerge/>
                  <w:tcBorders>
                    <w:top w:val="none" w:color="000000" w:sz="4"/>
                    <w:left w:val="none" w:color="000000" w:sz="4"/>
                    <w:bottom w:val="none" w:color="000000" w:sz="4"/>
                    <w:right w:val="single" w:color="000000" w:sz="4"/>
                  </w:tcBorders>
                </w:tcPr>
                <w:p/>
              </w:tc>
              <w:tc>
                <w:tcPr>
                  <w:tcW w:type="dxa" w:w="1268"/>
                  <w:vMerge/>
                  <w:tcBorders>
                    <w:top w:val="none" w:color="000000" w:sz="4"/>
                    <w:left w:val="none" w:color="000000" w:sz="4"/>
                    <w:bottom w:val="none" w:color="000000" w:sz="4"/>
                    <w:right w:val="single" w:color="000000" w:sz="4"/>
                  </w:tcBorders>
                </w:tcPr>
                <w:p/>
              </w:tc>
              <w:tc>
                <w:tcPr>
                  <w:tcW w:type="dxa" w:w="173"/>
                  <w:vMerge/>
                  <w:tcBorders>
                    <w:top w:val="none" w:color="000000" w:sz="4"/>
                    <w:left w:val="none" w:color="000000" w:sz="4"/>
                    <w:bottom w:val="none" w:color="000000" w:sz="4"/>
                    <w:right w:val="single" w:color="000000" w:sz="4"/>
                  </w:tcBorders>
                </w:tcPr>
                <w:p/>
              </w:tc>
              <w:tc>
                <w:tcPr>
                  <w:tcW w:type="dxa" w:w="173"/>
                  <w:vMerge/>
                  <w:tcBorders>
                    <w:top w:val="none" w:color="000000" w:sz="4"/>
                    <w:left w:val="none" w:color="000000" w:sz="4"/>
                    <w:bottom w:val="none" w:color="000000" w:sz="4"/>
                    <w:right w:val="single" w:color="000000" w:sz="4"/>
                  </w:tcBorders>
                </w:tcP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12"/>
                  <w:vMerge/>
                  <w:tcBorders>
                    <w:top w:val="none" w:color="000000" w:sz="4"/>
                    <w:left w:val="none" w:color="000000" w:sz="4"/>
                    <w:bottom w:val="single" w:color="000000" w:sz="4"/>
                    <w:right w:val="single" w:color="000000" w:sz="4"/>
                  </w:tcBorders>
                </w:tcPr>
                <w:p/>
              </w:tc>
              <w:tc>
                <w:tcPr>
                  <w:tcW w:type="dxa" w:w="455"/>
                  <w:vMerge/>
                  <w:tcBorders>
                    <w:top w:val="none" w:color="000000" w:sz="4"/>
                    <w:left w:val="none" w:color="000000" w:sz="4"/>
                    <w:bottom w:val="none" w:color="000000" w:sz="4"/>
                    <w:right w:val="single" w:color="000000" w:sz="4"/>
                  </w:tcBorders>
                </w:tcPr>
                <w:p/>
              </w:tc>
              <w:tc>
                <w:tcPr>
                  <w:tcW w:type="dxa" w:w="1268"/>
                  <w:vMerge/>
                  <w:tcBorders>
                    <w:top w:val="none" w:color="000000" w:sz="4"/>
                    <w:left w:val="none" w:color="000000" w:sz="4"/>
                    <w:bottom w:val="none" w:color="000000" w:sz="4"/>
                    <w:right w:val="single" w:color="000000" w:sz="4"/>
                  </w:tcBorders>
                </w:tcPr>
                <w:p/>
              </w:tc>
              <w:tc>
                <w:tcPr>
                  <w:tcW w:type="dxa" w:w="173"/>
                  <w:vMerge/>
                  <w:tcBorders>
                    <w:top w:val="none" w:color="000000" w:sz="4"/>
                    <w:left w:val="none" w:color="000000" w:sz="4"/>
                    <w:bottom w:val="none" w:color="000000" w:sz="4"/>
                    <w:right w:val="single" w:color="000000" w:sz="4"/>
                  </w:tcBorders>
                </w:tcPr>
                <w:p/>
              </w:tc>
              <w:tc>
                <w:tcPr>
                  <w:tcW w:type="dxa" w:w="173"/>
                  <w:vMerge/>
                  <w:tcBorders>
                    <w:top w:val="none" w:color="000000" w:sz="4"/>
                    <w:left w:val="none" w:color="000000" w:sz="4"/>
                    <w:bottom w:val="none" w:color="000000" w:sz="4"/>
                    <w:right w:val="single" w:color="000000" w:sz="4"/>
                  </w:tcBorders>
                </w:tcP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312"/>
                  <w:vMerge/>
                  <w:tcBorders>
                    <w:top w:val="none" w:color="000000" w:sz="4"/>
                    <w:left w:val="none" w:color="000000" w:sz="4"/>
                    <w:bottom w:val="single" w:color="000000" w:sz="4"/>
                    <w:right w:val="single" w:color="000000" w:sz="4"/>
                  </w:tcBorders>
                </w:tcPr>
                <w:p/>
              </w:tc>
              <w:tc>
                <w:tcPr>
                  <w:tcW w:type="dxa" w:w="455"/>
                  <w:vMerge/>
                  <w:tcBorders>
                    <w:top w:val="none" w:color="000000" w:sz="4"/>
                    <w:left w:val="none" w:color="000000" w:sz="4"/>
                    <w:bottom w:val="none" w:color="000000" w:sz="4"/>
                    <w:right w:val="single" w:color="000000" w:sz="4"/>
                  </w:tcBorders>
                </w:tcPr>
                <w:p/>
              </w:tc>
              <w:tc>
                <w:tcPr>
                  <w:tcW w:type="dxa" w:w="1268"/>
                  <w:vMerge/>
                  <w:tcBorders>
                    <w:top w:val="none" w:color="000000" w:sz="4"/>
                    <w:left w:val="none" w:color="000000" w:sz="4"/>
                    <w:bottom w:val="none" w:color="000000" w:sz="4"/>
                    <w:right w:val="single" w:color="000000" w:sz="4"/>
                  </w:tcBorders>
                </w:tcPr>
                <w:p/>
              </w:tc>
              <w:tc>
                <w:tcPr>
                  <w:tcW w:type="dxa" w:w="173"/>
                  <w:vMerge/>
                  <w:tcBorders>
                    <w:top w:val="none" w:color="000000" w:sz="4"/>
                    <w:left w:val="none" w:color="000000" w:sz="4"/>
                    <w:bottom w:val="none" w:color="000000" w:sz="4"/>
                    <w:right w:val="single" w:color="000000" w:sz="4"/>
                  </w:tcBorders>
                </w:tcPr>
                <w:p/>
              </w:tc>
              <w:tc>
                <w:tcPr>
                  <w:tcW w:type="dxa" w:w="173"/>
                  <w:vMerge/>
                  <w:tcBorders>
                    <w:top w:val="none" w:color="000000" w:sz="4"/>
                    <w:left w:val="none" w:color="000000" w:sz="4"/>
                    <w:bottom w:val="none" w:color="000000" w:sz="4"/>
                    <w:right w:val="single" w:color="000000" w:sz="4"/>
                  </w:tcBorders>
                </w:tcP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312"/>
                  <w:vMerge/>
                  <w:tcBorders>
                    <w:top w:val="none" w:color="000000" w:sz="4"/>
                    <w:left w:val="none" w:color="000000" w:sz="4"/>
                    <w:bottom w:val="single" w:color="000000" w:sz="4"/>
                    <w:right w:val="single" w:color="000000" w:sz="4"/>
                  </w:tcBorders>
                </w:tcPr>
                <w:p/>
              </w:tc>
              <w:tc>
                <w:tcPr>
                  <w:tcW w:type="dxa" w:w="455"/>
                  <w:vMerge/>
                  <w:tcBorders>
                    <w:top w:val="none" w:color="000000" w:sz="4"/>
                    <w:left w:val="none" w:color="000000" w:sz="4"/>
                    <w:bottom w:val="none" w:color="000000" w:sz="4"/>
                    <w:right w:val="single" w:color="000000" w:sz="4"/>
                  </w:tcBorders>
                </w:tcPr>
                <w:p/>
              </w:tc>
              <w:tc>
                <w:tcPr>
                  <w:tcW w:type="dxa" w:w="1268"/>
                  <w:vMerge/>
                  <w:tcBorders>
                    <w:top w:val="none" w:color="000000" w:sz="4"/>
                    <w:left w:val="none" w:color="000000" w:sz="4"/>
                    <w:bottom w:val="none" w:color="000000" w:sz="4"/>
                    <w:right w:val="single" w:color="000000" w:sz="4"/>
                  </w:tcBorders>
                </w:tcPr>
                <w:p/>
              </w:tc>
              <w:tc>
                <w:tcPr>
                  <w:tcW w:type="dxa" w:w="173"/>
                  <w:vMerge/>
                  <w:tcBorders>
                    <w:top w:val="none" w:color="000000" w:sz="4"/>
                    <w:left w:val="none" w:color="000000" w:sz="4"/>
                    <w:bottom w:val="none" w:color="000000" w:sz="4"/>
                    <w:right w:val="single" w:color="000000" w:sz="4"/>
                  </w:tcBorders>
                </w:tcPr>
                <w:p/>
              </w:tc>
              <w:tc>
                <w:tcPr>
                  <w:tcW w:type="dxa" w:w="173"/>
                  <w:vMerge/>
                  <w:tcBorders>
                    <w:top w:val="none" w:color="000000" w:sz="4"/>
                    <w:left w:val="none" w:color="000000" w:sz="4"/>
                    <w:bottom w:val="none" w:color="000000" w:sz="4"/>
                    <w:right w:val="single" w:color="000000" w:sz="4"/>
                  </w:tcBorders>
                </w:tcP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312"/>
                  <w:vMerge/>
                  <w:tcBorders>
                    <w:top w:val="none" w:color="000000" w:sz="4"/>
                    <w:left w:val="none" w:color="000000" w:sz="4"/>
                    <w:bottom w:val="single" w:color="000000" w:sz="4"/>
                    <w:right w:val="single" w:color="000000" w:sz="4"/>
                  </w:tcBorders>
                </w:tcPr>
                <w:p/>
              </w:tc>
              <w:tc>
                <w:tcPr>
                  <w:tcW w:type="dxa" w:w="455"/>
                  <w:vMerge/>
                  <w:tcBorders>
                    <w:top w:val="none" w:color="000000" w:sz="4"/>
                    <w:left w:val="none" w:color="000000" w:sz="4"/>
                    <w:bottom w:val="none" w:color="000000" w:sz="4"/>
                    <w:right w:val="single" w:color="000000" w:sz="4"/>
                  </w:tcBorders>
                </w:tcPr>
                <w:p/>
              </w:tc>
              <w:tc>
                <w:tcPr>
                  <w:tcW w:type="dxa" w:w="1268"/>
                  <w:vMerge/>
                  <w:tcBorders>
                    <w:top w:val="none" w:color="000000" w:sz="4"/>
                    <w:left w:val="none" w:color="000000" w:sz="4"/>
                    <w:bottom w:val="none" w:color="000000" w:sz="4"/>
                    <w:right w:val="single" w:color="000000" w:sz="4"/>
                  </w:tcBorders>
                </w:tcPr>
                <w:p/>
              </w:tc>
              <w:tc>
                <w:tcPr>
                  <w:tcW w:type="dxa" w:w="173"/>
                  <w:vMerge/>
                  <w:tcBorders>
                    <w:top w:val="none" w:color="000000" w:sz="4"/>
                    <w:left w:val="none" w:color="000000" w:sz="4"/>
                    <w:bottom w:val="none" w:color="000000" w:sz="4"/>
                    <w:right w:val="single" w:color="000000" w:sz="4"/>
                  </w:tcBorders>
                </w:tcPr>
                <w:p/>
              </w:tc>
              <w:tc>
                <w:tcPr>
                  <w:tcW w:type="dxa" w:w="173"/>
                  <w:vMerge/>
                  <w:tcBorders>
                    <w:top w:val="none" w:color="000000" w:sz="4"/>
                    <w:left w:val="none" w:color="000000" w:sz="4"/>
                    <w:bottom w:val="none" w:color="000000" w:sz="4"/>
                    <w:right w:val="single" w:color="000000" w:sz="4"/>
                  </w:tcBorders>
                </w:tcP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12"/>
                  <w:vMerge/>
                  <w:tcBorders>
                    <w:top w:val="none" w:color="000000" w:sz="4"/>
                    <w:left w:val="none" w:color="000000" w:sz="4"/>
                    <w:bottom w:val="single" w:color="000000" w:sz="4"/>
                    <w:right w:val="single" w:color="000000" w:sz="4"/>
                  </w:tcBorders>
                </w:tcPr>
                <w:p/>
              </w:tc>
              <w:tc>
                <w:tcPr>
                  <w:tcW w:type="dxa" w:w="455"/>
                  <w:vMerge/>
                  <w:tcBorders>
                    <w:top w:val="none" w:color="000000" w:sz="4"/>
                    <w:left w:val="none" w:color="000000" w:sz="4"/>
                    <w:bottom w:val="none" w:color="000000" w:sz="4"/>
                    <w:right w:val="single" w:color="000000" w:sz="4"/>
                  </w:tcBorders>
                </w:tcPr>
                <w:p/>
              </w:tc>
              <w:tc>
                <w:tcPr>
                  <w:tcW w:type="dxa" w:w="1268"/>
                  <w:vMerge/>
                  <w:tcBorders>
                    <w:top w:val="none" w:color="000000" w:sz="4"/>
                    <w:left w:val="none" w:color="000000" w:sz="4"/>
                    <w:bottom w:val="none" w:color="000000" w:sz="4"/>
                    <w:right w:val="single" w:color="000000" w:sz="4"/>
                  </w:tcBorders>
                </w:tcPr>
                <w:p/>
              </w:tc>
              <w:tc>
                <w:tcPr>
                  <w:tcW w:type="dxa" w:w="173"/>
                  <w:vMerge/>
                  <w:tcBorders>
                    <w:top w:val="none" w:color="000000" w:sz="4"/>
                    <w:left w:val="none" w:color="000000" w:sz="4"/>
                    <w:bottom w:val="none" w:color="000000" w:sz="4"/>
                    <w:right w:val="single" w:color="000000" w:sz="4"/>
                  </w:tcBorders>
                </w:tcPr>
                <w:p/>
              </w:tc>
              <w:tc>
                <w:tcPr>
                  <w:tcW w:type="dxa" w:w="173"/>
                  <w:vMerge/>
                  <w:tcBorders>
                    <w:top w:val="none" w:color="000000" w:sz="4"/>
                    <w:left w:val="none" w:color="000000" w:sz="4"/>
                    <w:bottom w:val="none" w:color="000000" w:sz="4"/>
                    <w:right w:val="single" w:color="000000" w:sz="4"/>
                  </w:tcBorders>
                </w:tcP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312"/>
                  <w:vMerge/>
                  <w:tcBorders>
                    <w:top w:val="none" w:color="000000" w:sz="4"/>
                    <w:left w:val="none" w:color="000000" w:sz="4"/>
                    <w:bottom w:val="single" w:color="000000" w:sz="4"/>
                    <w:right w:val="single" w:color="000000" w:sz="4"/>
                  </w:tcBorders>
                </w:tcPr>
                <w:p/>
              </w:tc>
              <w:tc>
                <w:tcPr>
                  <w:tcW w:type="dxa" w:w="455"/>
                  <w:vMerge/>
                  <w:tcBorders>
                    <w:top w:val="none" w:color="000000" w:sz="4"/>
                    <w:left w:val="none" w:color="000000" w:sz="4"/>
                    <w:bottom w:val="none" w:color="000000" w:sz="4"/>
                    <w:right w:val="single" w:color="000000" w:sz="4"/>
                  </w:tcBorders>
                </w:tcPr>
                <w:p/>
              </w:tc>
              <w:tc>
                <w:tcPr>
                  <w:tcW w:type="dxa" w:w="1268"/>
                  <w:vMerge/>
                  <w:tcBorders>
                    <w:top w:val="none" w:color="000000" w:sz="4"/>
                    <w:left w:val="none" w:color="000000" w:sz="4"/>
                    <w:bottom w:val="none" w:color="000000" w:sz="4"/>
                    <w:right w:val="single" w:color="000000" w:sz="4"/>
                  </w:tcBorders>
                </w:tcPr>
                <w:p/>
              </w:tc>
              <w:tc>
                <w:tcPr>
                  <w:tcW w:type="dxa" w:w="173"/>
                  <w:vMerge/>
                  <w:tcBorders>
                    <w:top w:val="none" w:color="000000" w:sz="4"/>
                    <w:left w:val="none" w:color="000000" w:sz="4"/>
                    <w:bottom w:val="none" w:color="000000" w:sz="4"/>
                    <w:right w:val="single" w:color="000000" w:sz="4"/>
                  </w:tcBorders>
                </w:tcPr>
                <w:p/>
              </w:tc>
              <w:tc>
                <w:tcPr>
                  <w:tcW w:type="dxa" w:w="173"/>
                  <w:vMerge/>
                  <w:tcBorders>
                    <w:top w:val="none" w:color="000000" w:sz="4"/>
                    <w:left w:val="none" w:color="000000" w:sz="4"/>
                    <w:bottom w:val="none" w:color="000000" w:sz="4"/>
                    <w:right w:val="single" w:color="000000" w:sz="4"/>
                  </w:tcBorders>
                </w:tcP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12"/>
                  <w:vMerge/>
                  <w:tcBorders>
                    <w:top w:val="none" w:color="000000" w:sz="4"/>
                    <w:left w:val="none" w:color="000000" w:sz="4"/>
                    <w:bottom w:val="single" w:color="000000" w:sz="4"/>
                    <w:right w:val="single" w:color="000000" w:sz="4"/>
                  </w:tcBorders>
                </w:tcPr>
                <w:p/>
              </w:tc>
              <w:tc>
                <w:tcPr>
                  <w:tcW w:type="dxa" w:w="455"/>
                  <w:vMerge/>
                  <w:tcBorders>
                    <w:top w:val="none" w:color="000000" w:sz="4"/>
                    <w:left w:val="none" w:color="000000" w:sz="4"/>
                    <w:bottom w:val="none" w:color="000000" w:sz="4"/>
                    <w:right w:val="single" w:color="000000" w:sz="4"/>
                  </w:tcBorders>
                </w:tcPr>
                <w:p/>
              </w:tc>
              <w:tc>
                <w:tcPr>
                  <w:tcW w:type="dxa" w:w="1268"/>
                  <w:vMerge/>
                  <w:tcBorders>
                    <w:top w:val="none" w:color="000000" w:sz="4"/>
                    <w:left w:val="none" w:color="000000" w:sz="4"/>
                    <w:bottom w:val="none" w:color="000000" w:sz="4"/>
                    <w:right w:val="single" w:color="000000" w:sz="4"/>
                  </w:tcBorders>
                </w:tcPr>
                <w:p/>
              </w:tc>
              <w:tc>
                <w:tcPr>
                  <w:tcW w:type="dxa" w:w="173"/>
                  <w:vMerge/>
                  <w:tcBorders>
                    <w:top w:val="none" w:color="000000" w:sz="4"/>
                    <w:left w:val="none" w:color="000000" w:sz="4"/>
                    <w:bottom w:val="none" w:color="000000" w:sz="4"/>
                    <w:right w:val="single" w:color="000000" w:sz="4"/>
                  </w:tcBorders>
                </w:tcPr>
                <w:p/>
              </w:tc>
              <w:tc>
                <w:tcPr>
                  <w:tcW w:type="dxa" w:w="173"/>
                  <w:vMerge/>
                  <w:tcBorders>
                    <w:top w:val="none" w:color="000000" w:sz="4"/>
                    <w:left w:val="none" w:color="000000" w:sz="4"/>
                    <w:bottom w:val="none" w:color="000000" w:sz="4"/>
                    <w:right w:val="single" w:color="000000" w:sz="4"/>
                  </w:tcBorders>
                </w:tcP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312"/>
                  <w:vMerge/>
                  <w:tcBorders>
                    <w:top w:val="none" w:color="000000" w:sz="4"/>
                    <w:left w:val="none" w:color="000000" w:sz="4"/>
                    <w:bottom w:val="single" w:color="000000" w:sz="4"/>
                    <w:right w:val="single" w:color="000000" w:sz="4"/>
                  </w:tcBorders>
                </w:tcPr>
                <w:p/>
              </w:tc>
              <w:tc>
                <w:tcPr>
                  <w:tcW w:type="dxa" w:w="455"/>
                  <w:vMerge/>
                  <w:tcBorders>
                    <w:top w:val="none" w:color="000000" w:sz="4"/>
                    <w:left w:val="none" w:color="000000" w:sz="4"/>
                    <w:bottom w:val="none" w:color="000000" w:sz="4"/>
                    <w:right w:val="single" w:color="000000" w:sz="4"/>
                  </w:tcBorders>
                </w:tcPr>
                <w:p/>
              </w:tc>
              <w:tc>
                <w:tcPr>
                  <w:tcW w:type="dxa" w:w="1268"/>
                  <w:vMerge/>
                  <w:tcBorders>
                    <w:top w:val="none" w:color="000000" w:sz="4"/>
                    <w:left w:val="none" w:color="000000" w:sz="4"/>
                    <w:bottom w:val="none" w:color="000000" w:sz="4"/>
                    <w:right w:val="single" w:color="000000" w:sz="4"/>
                  </w:tcBorders>
                </w:tcPr>
                <w:p/>
              </w:tc>
              <w:tc>
                <w:tcPr>
                  <w:tcW w:type="dxa" w:w="173"/>
                  <w:vMerge/>
                  <w:tcBorders>
                    <w:top w:val="none" w:color="000000" w:sz="4"/>
                    <w:left w:val="none" w:color="000000" w:sz="4"/>
                    <w:bottom w:val="none" w:color="000000" w:sz="4"/>
                    <w:right w:val="single" w:color="000000" w:sz="4"/>
                  </w:tcBorders>
                </w:tcPr>
                <w:p/>
              </w:tc>
              <w:tc>
                <w:tcPr>
                  <w:tcW w:type="dxa" w:w="173"/>
                  <w:vMerge/>
                  <w:tcBorders>
                    <w:top w:val="none" w:color="000000" w:sz="4"/>
                    <w:left w:val="none" w:color="000000" w:sz="4"/>
                    <w:bottom w:val="none" w:color="000000" w:sz="4"/>
                    <w:right w:val="single" w:color="000000" w:sz="4"/>
                  </w:tcBorders>
                </w:tcP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312"/>
                  <w:vMerge/>
                  <w:tcBorders>
                    <w:top w:val="none" w:color="000000" w:sz="4"/>
                    <w:left w:val="none" w:color="000000" w:sz="4"/>
                    <w:bottom w:val="single" w:color="000000" w:sz="4"/>
                    <w:right w:val="single" w:color="000000" w:sz="4"/>
                  </w:tcBorders>
                </w:tcPr>
                <w:p/>
              </w:tc>
              <w:tc>
                <w:tcPr>
                  <w:tcW w:type="dxa" w:w="455"/>
                  <w:vMerge/>
                  <w:tcBorders>
                    <w:top w:val="none" w:color="000000" w:sz="4"/>
                    <w:left w:val="none" w:color="000000" w:sz="4"/>
                    <w:bottom w:val="none" w:color="000000" w:sz="4"/>
                    <w:right w:val="single" w:color="000000" w:sz="4"/>
                  </w:tcBorders>
                </w:tcPr>
                <w:p/>
              </w:tc>
              <w:tc>
                <w:tcPr>
                  <w:tcW w:type="dxa" w:w="1268"/>
                  <w:vMerge/>
                  <w:tcBorders>
                    <w:top w:val="none" w:color="000000" w:sz="4"/>
                    <w:left w:val="none" w:color="000000" w:sz="4"/>
                    <w:bottom w:val="none" w:color="000000" w:sz="4"/>
                    <w:right w:val="single" w:color="000000" w:sz="4"/>
                  </w:tcBorders>
                </w:tcPr>
                <w:p/>
              </w:tc>
              <w:tc>
                <w:tcPr>
                  <w:tcW w:type="dxa" w:w="173"/>
                  <w:vMerge/>
                  <w:tcBorders>
                    <w:top w:val="none" w:color="000000" w:sz="4"/>
                    <w:left w:val="none" w:color="000000" w:sz="4"/>
                    <w:bottom w:val="none" w:color="000000" w:sz="4"/>
                    <w:right w:val="single" w:color="000000" w:sz="4"/>
                  </w:tcBorders>
                </w:tcPr>
                <w:p/>
              </w:tc>
              <w:tc>
                <w:tcPr>
                  <w:tcW w:type="dxa" w:w="173"/>
                  <w:vMerge/>
                  <w:tcBorders>
                    <w:top w:val="none" w:color="000000" w:sz="4"/>
                    <w:left w:val="none" w:color="000000" w:sz="4"/>
                    <w:bottom w:val="none" w:color="000000" w:sz="4"/>
                    <w:right w:val="single" w:color="000000" w:sz="4"/>
                  </w:tcBorders>
                </w:tcP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312"/>
                  <w:vMerge/>
                  <w:tcBorders>
                    <w:top w:val="none" w:color="000000" w:sz="4"/>
                    <w:left w:val="none" w:color="000000" w:sz="4"/>
                    <w:bottom w:val="single" w:color="000000" w:sz="4"/>
                    <w:right w:val="single" w:color="000000" w:sz="4"/>
                  </w:tcBorders>
                </w:tcPr>
                <w:p/>
              </w:tc>
              <w:tc>
                <w:tcPr>
                  <w:tcW w:type="dxa" w:w="455"/>
                  <w:vMerge/>
                  <w:tcBorders>
                    <w:top w:val="none" w:color="000000" w:sz="4"/>
                    <w:left w:val="none" w:color="000000" w:sz="4"/>
                    <w:bottom w:val="none" w:color="000000" w:sz="4"/>
                    <w:right w:val="single" w:color="000000" w:sz="4"/>
                  </w:tcBorders>
                </w:tcPr>
                <w:p/>
              </w:tc>
              <w:tc>
                <w:tcPr>
                  <w:tcW w:type="dxa" w:w="1268"/>
                  <w:vMerge/>
                  <w:tcBorders>
                    <w:top w:val="none" w:color="000000" w:sz="4"/>
                    <w:left w:val="none" w:color="000000" w:sz="4"/>
                    <w:bottom w:val="none" w:color="000000" w:sz="4"/>
                    <w:right w:val="single" w:color="000000" w:sz="4"/>
                  </w:tcBorders>
                </w:tcPr>
                <w:p/>
              </w:tc>
              <w:tc>
                <w:tcPr>
                  <w:tcW w:type="dxa" w:w="173"/>
                  <w:vMerge/>
                  <w:tcBorders>
                    <w:top w:val="none" w:color="000000" w:sz="4"/>
                    <w:left w:val="none" w:color="000000" w:sz="4"/>
                    <w:bottom w:val="none" w:color="000000" w:sz="4"/>
                    <w:right w:val="single" w:color="000000" w:sz="4"/>
                  </w:tcBorders>
                </w:tcPr>
                <w:p/>
              </w:tc>
              <w:tc>
                <w:tcPr>
                  <w:tcW w:type="dxa" w:w="173"/>
                  <w:vMerge/>
                  <w:tcBorders>
                    <w:top w:val="none" w:color="000000" w:sz="4"/>
                    <w:left w:val="none" w:color="000000" w:sz="4"/>
                    <w:bottom w:val="none" w:color="000000" w:sz="4"/>
                    <w:right w:val="single" w:color="000000" w:sz="4"/>
                  </w:tcBorders>
                </w:tcP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12"/>
                  <w:vMerge/>
                  <w:tcBorders>
                    <w:top w:val="none" w:color="000000" w:sz="4"/>
                    <w:left w:val="none" w:color="000000" w:sz="4"/>
                    <w:bottom w:val="single" w:color="000000" w:sz="4"/>
                    <w:right w:val="single" w:color="000000" w:sz="4"/>
                  </w:tcBorders>
                </w:tcPr>
                <w:p/>
              </w:tc>
              <w:tc>
                <w:tcPr>
                  <w:tcW w:type="dxa" w:w="455"/>
                  <w:vMerge/>
                  <w:tcBorders>
                    <w:top w:val="none" w:color="000000" w:sz="4"/>
                    <w:left w:val="none" w:color="000000" w:sz="4"/>
                    <w:bottom w:val="none" w:color="000000" w:sz="4"/>
                    <w:right w:val="single" w:color="000000" w:sz="4"/>
                  </w:tcBorders>
                </w:tcPr>
                <w:p/>
              </w:tc>
              <w:tc>
                <w:tcPr>
                  <w:tcW w:type="dxa" w:w="1268"/>
                  <w:vMerge/>
                  <w:tcBorders>
                    <w:top w:val="none" w:color="000000" w:sz="4"/>
                    <w:left w:val="none" w:color="000000" w:sz="4"/>
                    <w:bottom w:val="none" w:color="000000" w:sz="4"/>
                    <w:right w:val="single" w:color="000000" w:sz="4"/>
                  </w:tcBorders>
                </w:tcPr>
                <w:p/>
              </w:tc>
              <w:tc>
                <w:tcPr>
                  <w:tcW w:type="dxa" w:w="173"/>
                  <w:vMerge/>
                  <w:tcBorders>
                    <w:top w:val="none" w:color="000000" w:sz="4"/>
                    <w:left w:val="none" w:color="000000" w:sz="4"/>
                    <w:bottom w:val="none" w:color="000000" w:sz="4"/>
                    <w:right w:val="single" w:color="000000" w:sz="4"/>
                  </w:tcBorders>
                </w:tcPr>
                <w:p/>
              </w:tc>
              <w:tc>
                <w:tcPr>
                  <w:tcW w:type="dxa" w:w="173"/>
                  <w:vMerge/>
                  <w:tcBorders>
                    <w:top w:val="none" w:color="000000" w:sz="4"/>
                    <w:left w:val="none" w:color="000000" w:sz="4"/>
                    <w:bottom w:val="none" w:color="000000" w:sz="4"/>
                    <w:right w:val="single" w:color="000000" w:sz="4"/>
                  </w:tcBorders>
                </w:tcP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312"/>
                  <w:vMerge/>
                  <w:tcBorders>
                    <w:top w:val="none" w:color="000000" w:sz="4"/>
                    <w:left w:val="none" w:color="000000" w:sz="4"/>
                    <w:bottom w:val="single" w:color="000000" w:sz="4"/>
                    <w:right w:val="single" w:color="000000" w:sz="4"/>
                  </w:tcBorders>
                </w:tcPr>
                <w:p/>
              </w:tc>
              <w:tc>
                <w:tcPr>
                  <w:tcW w:type="dxa" w:w="455"/>
                  <w:vMerge/>
                  <w:tcBorders>
                    <w:top w:val="none" w:color="000000" w:sz="4"/>
                    <w:left w:val="none" w:color="000000" w:sz="4"/>
                    <w:bottom w:val="none" w:color="000000" w:sz="4"/>
                    <w:right w:val="single" w:color="000000" w:sz="4"/>
                  </w:tcBorders>
                </w:tcPr>
                <w:p/>
              </w:tc>
              <w:tc>
                <w:tcPr>
                  <w:tcW w:type="dxa" w:w="1268"/>
                  <w:vMerge/>
                  <w:tcBorders>
                    <w:top w:val="none" w:color="000000" w:sz="4"/>
                    <w:left w:val="none" w:color="000000" w:sz="4"/>
                    <w:bottom w:val="none" w:color="000000" w:sz="4"/>
                    <w:right w:val="single" w:color="000000" w:sz="4"/>
                  </w:tcBorders>
                </w:tcPr>
                <w:p/>
              </w:tc>
              <w:tc>
                <w:tcPr>
                  <w:tcW w:type="dxa" w:w="173"/>
                  <w:vMerge/>
                  <w:tcBorders>
                    <w:top w:val="none" w:color="000000" w:sz="4"/>
                    <w:left w:val="none" w:color="000000" w:sz="4"/>
                    <w:bottom w:val="none" w:color="000000" w:sz="4"/>
                    <w:right w:val="single" w:color="000000" w:sz="4"/>
                  </w:tcBorders>
                </w:tcPr>
                <w:p/>
              </w:tc>
              <w:tc>
                <w:tcPr>
                  <w:tcW w:type="dxa" w:w="173"/>
                  <w:vMerge/>
                  <w:tcBorders>
                    <w:top w:val="none" w:color="000000" w:sz="4"/>
                    <w:left w:val="none" w:color="000000" w:sz="4"/>
                    <w:bottom w:val="none" w:color="000000" w:sz="4"/>
                    <w:right w:val="single" w:color="000000" w:sz="4"/>
                  </w:tcBorders>
                </w:tcP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312"/>
                  <w:vMerge/>
                  <w:tcBorders>
                    <w:top w:val="none" w:color="000000" w:sz="4"/>
                    <w:left w:val="none" w:color="000000" w:sz="4"/>
                    <w:bottom w:val="single" w:color="000000" w:sz="4"/>
                    <w:right w:val="single" w:color="000000" w:sz="4"/>
                  </w:tcBorders>
                </w:tcPr>
                <w:p/>
              </w:tc>
              <w:tc>
                <w:tcPr>
                  <w:tcW w:type="dxa" w:w="455"/>
                  <w:vMerge/>
                  <w:tcBorders>
                    <w:top w:val="none" w:color="000000" w:sz="4"/>
                    <w:left w:val="none" w:color="000000" w:sz="4"/>
                    <w:bottom w:val="none" w:color="000000" w:sz="4"/>
                    <w:right w:val="single" w:color="000000" w:sz="4"/>
                  </w:tcBorders>
                </w:tcPr>
                <w:p/>
              </w:tc>
              <w:tc>
                <w:tcPr>
                  <w:tcW w:type="dxa" w:w="1268"/>
                  <w:vMerge/>
                  <w:tcBorders>
                    <w:top w:val="none" w:color="000000" w:sz="4"/>
                    <w:left w:val="none" w:color="000000" w:sz="4"/>
                    <w:bottom w:val="none" w:color="000000" w:sz="4"/>
                    <w:right w:val="single" w:color="000000" w:sz="4"/>
                  </w:tcBorders>
                </w:tcPr>
                <w:p/>
              </w:tc>
              <w:tc>
                <w:tcPr>
                  <w:tcW w:type="dxa" w:w="173"/>
                  <w:vMerge/>
                  <w:tcBorders>
                    <w:top w:val="none" w:color="000000" w:sz="4"/>
                    <w:left w:val="none" w:color="000000" w:sz="4"/>
                    <w:bottom w:val="none" w:color="000000" w:sz="4"/>
                    <w:right w:val="single" w:color="000000" w:sz="4"/>
                  </w:tcBorders>
                </w:tcPr>
                <w:p/>
              </w:tc>
              <w:tc>
                <w:tcPr>
                  <w:tcW w:type="dxa" w:w="173"/>
                  <w:vMerge/>
                  <w:tcBorders>
                    <w:top w:val="none" w:color="000000" w:sz="4"/>
                    <w:left w:val="none" w:color="000000" w:sz="4"/>
                    <w:bottom w:val="none" w:color="000000" w:sz="4"/>
                    <w:right w:val="single" w:color="000000" w:sz="4"/>
                  </w:tcBorders>
                </w:tcP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312"/>
                  <w:vMerge/>
                  <w:tcBorders>
                    <w:top w:val="none" w:color="000000" w:sz="4"/>
                    <w:left w:val="none" w:color="000000" w:sz="4"/>
                    <w:bottom w:val="single" w:color="000000" w:sz="4"/>
                    <w:right w:val="single" w:color="000000" w:sz="4"/>
                  </w:tcBorders>
                </w:tcPr>
                <w:p/>
              </w:tc>
              <w:tc>
                <w:tcPr>
                  <w:tcW w:type="dxa" w:w="455"/>
                  <w:vMerge/>
                  <w:tcBorders>
                    <w:top w:val="none" w:color="000000" w:sz="4"/>
                    <w:left w:val="none" w:color="000000" w:sz="4"/>
                    <w:bottom w:val="none" w:color="000000" w:sz="4"/>
                    <w:right w:val="single" w:color="000000" w:sz="4"/>
                  </w:tcBorders>
                </w:tcPr>
                <w:p/>
              </w:tc>
              <w:tc>
                <w:tcPr>
                  <w:tcW w:type="dxa" w:w="1268"/>
                  <w:vMerge/>
                  <w:tcBorders>
                    <w:top w:val="none" w:color="000000" w:sz="4"/>
                    <w:left w:val="none" w:color="000000" w:sz="4"/>
                    <w:bottom w:val="none" w:color="000000" w:sz="4"/>
                    <w:right w:val="single" w:color="000000" w:sz="4"/>
                  </w:tcBorders>
                </w:tcPr>
                <w:p/>
              </w:tc>
              <w:tc>
                <w:tcPr>
                  <w:tcW w:type="dxa" w:w="173"/>
                  <w:vMerge/>
                  <w:tcBorders>
                    <w:top w:val="none" w:color="000000" w:sz="4"/>
                    <w:left w:val="none" w:color="000000" w:sz="4"/>
                    <w:bottom w:val="none" w:color="000000" w:sz="4"/>
                    <w:right w:val="single" w:color="000000" w:sz="4"/>
                  </w:tcBorders>
                </w:tcPr>
                <w:p/>
              </w:tc>
              <w:tc>
                <w:tcPr>
                  <w:tcW w:type="dxa" w:w="173"/>
                  <w:vMerge/>
                  <w:tcBorders>
                    <w:top w:val="none" w:color="000000" w:sz="4"/>
                    <w:left w:val="none" w:color="000000" w:sz="4"/>
                    <w:bottom w:val="none" w:color="000000" w:sz="4"/>
                    <w:right w:val="single" w:color="000000" w:sz="4"/>
                  </w:tcBorders>
                </w:tcP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312"/>
                  <w:vMerge/>
                  <w:tcBorders>
                    <w:top w:val="none" w:color="000000" w:sz="4"/>
                    <w:left w:val="none" w:color="000000" w:sz="4"/>
                    <w:bottom w:val="single" w:color="000000" w:sz="4"/>
                    <w:right w:val="single" w:color="000000" w:sz="4"/>
                  </w:tcBorders>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国密存储主机</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≥36盘位的4U存储主机，不小于180Mbps接入带宽。</w:t>
                  </w:r>
                  <w:r>
                    <w:br/>
                  </w:r>
                  <w:r>
                    <w:rPr>
                      <w:rFonts w:ascii="仿宋_GB2312" w:hAnsi="仿宋_GB2312" w:cs="仿宋_GB2312" w:eastAsia="仿宋_GB2312"/>
                      <w:sz w:val="24"/>
                    </w:rPr>
                    <w:t>采用</w:t>
                  </w:r>
                  <w:r>
                    <w:rPr>
                      <w:rFonts w:ascii="仿宋_GB2312" w:hAnsi="仿宋_GB2312" w:cs="仿宋_GB2312" w:eastAsia="仿宋_GB2312"/>
                      <w:sz w:val="24"/>
                    </w:rPr>
                    <w:t>≥64位多核处理器，≥4GB缓存，≥2个千兆数据口, ≥1个千兆管理口，≥1个SAS3.0接口。</w:t>
                  </w:r>
                  <w:r>
                    <w:br/>
                  </w:r>
                  <w:r>
                    <w:rPr>
                      <w:rFonts w:ascii="仿宋_GB2312" w:hAnsi="仿宋_GB2312" w:cs="仿宋_GB2312" w:eastAsia="仿宋_GB2312"/>
                      <w:sz w:val="24"/>
                    </w:rPr>
                    <w:t>具有冗余电源（</w:t>
                  </w:r>
                  <w:r>
                    <w:rPr>
                      <w:rFonts w:ascii="仿宋_GB2312" w:hAnsi="仿宋_GB2312" w:cs="仿宋_GB2312" w:eastAsia="仿宋_GB2312"/>
                      <w:sz w:val="24"/>
                    </w:rPr>
                    <w:t>1+1），具有视频、图片、smart直存。</w:t>
                  </w:r>
                  <w:r>
                    <w:br/>
                  </w:r>
                  <w:r>
                    <w:rPr>
                      <w:rFonts w:ascii="仿宋_GB2312" w:hAnsi="仿宋_GB2312" w:cs="仿宋_GB2312" w:eastAsia="仿宋_GB2312"/>
                      <w:sz w:val="24"/>
                    </w:rPr>
                    <w:t>具有网络协议：</w:t>
                  </w:r>
                  <w:r>
                    <w:rPr>
                      <w:rFonts w:ascii="仿宋_GB2312" w:hAnsi="仿宋_GB2312" w:cs="仿宋_GB2312" w:eastAsia="仿宋_GB2312"/>
                      <w:sz w:val="24"/>
                    </w:rPr>
                    <w:t>RTSP/ONVIF/GB/ISCSI，内置通过国家密码管理局检测认证的高性能密码模块</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312"/>
                  <w:vMerge/>
                  <w:tcBorders>
                    <w:top w:val="none" w:color="000000" w:sz="4"/>
                    <w:left w:val="none" w:color="000000" w:sz="4"/>
                    <w:bottom w:val="single" w:color="000000" w:sz="4"/>
                    <w:right w:val="single" w:color="000000" w:sz="4"/>
                  </w:tcBorders>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国密人脸发卡采集仪</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LCD触摸显示屏≥3.97英寸，屏幕具有多点触控操作，屏幕流明度≥350cd/㎡，分辨率≥480*800，屏幕防暴等级IK04。</w:t>
                  </w:r>
                  <w:r>
                    <w:br/>
                  </w:r>
                  <w:r>
                    <w:rPr>
                      <w:rFonts w:ascii="仿宋_GB2312" w:hAnsi="仿宋_GB2312" w:cs="仿宋_GB2312" w:eastAsia="仿宋_GB2312"/>
                      <w:sz w:val="24"/>
                    </w:rPr>
                    <w:t>采用嵌入式</w:t>
                  </w:r>
                  <w:r>
                    <w:rPr>
                      <w:rFonts w:ascii="仿宋_GB2312" w:hAnsi="仿宋_GB2312" w:cs="仿宋_GB2312" w:eastAsia="仿宋_GB2312"/>
                      <w:sz w:val="24"/>
                    </w:rPr>
                    <w:t>Linux系统，具有用户卡号、人脸等用户信息采集登记。</w:t>
                  </w:r>
                  <w:r>
                    <w:br/>
                  </w:r>
                  <w:r>
                    <w:rPr>
                      <w:rFonts w:ascii="仿宋_GB2312" w:hAnsi="仿宋_GB2312" w:cs="仿宋_GB2312" w:eastAsia="仿宋_GB2312"/>
                      <w:sz w:val="24"/>
                    </w:rPr>
                    <w:t>采用高清双目宽动态相机，最大分辨率</w:t>
                  </w:r>
                  <w:r>
                    <w:rPr>
                      <w:rFonts w:ascii="仿宋_GB2312" w:hAnsi="仿宋_GB2312" w:cs="仿宋_GB2312" w:eastAsia="仿宋_GB2312"/>
                      <w:sz w:val="24"/>
                    </w:rPr>
                    <w:t>≥1920×1080。</w:t>
                  </w:r>
                  <w:r>
                    <w:br/>
                  </w:r>
                  <w:r>
                    <w:rPr>
                      <w:rFonts w:ascii="仿宋_GB2312" w:hAnsi="仿宋_GB2312" w:cs="仿宋_GB2312" w:eastAsia="仿宋_GB2312"/>
                      <w:sz w:val="24"/>
                    </w:rPr>
                    <w:t>本地用户库存储容量</w:t>
                  </w:r>
                  <w:r>
                    <w:rPr>
                      <w:rFonts w:ascii="仿宋_GB2312" w:hAnsi="仿宋_GB2312" w:cs="仿宋_GB2312" w:eastAsia="仿宋_GB2312"/>
                      <w:sz w:val="24"/>
                    </w:rPr>
                    <w:t>≥2000张，具有每个用户10张卡信息登记。</w:t>
                  </w:r>
                  <w:r>
                    <w:br/>
                  </w:r>
                  <w:r>
                    <w:rPr>
                      <w:rFonts w:ascii="仿宋_GB2312" w:hAnsi="仿宋_GB2312" w:cs="仿宋_GB2312" w:eastAsia="仿宋_GB2312"/>
                      <w:sz w:val="24"/>
                    </w:rPr>
                    <w:t>具有红外及白光灯补光；具有设置红外及可见光补光灯亮度；</w:t>
                  </w:r>
                  <w:r>
                    <w:br/>
                  </w:r>
                  <w:r>
                    <w:rPr>
                      <w:rFonts w:ascii="仿宋_GB2312" w:hAnsi="仿宋_GB2312" w:cs="仿宋_GB2312" w:eastAsia="仿宋_GB2312"/>
                      <w:sz w:val="24"/>
                    </w:rPr>
                    <w:t>人脸采集距离范围：</w:t>
                  </w:r>
                  <w:r>
                    <w:rPr>
                      <w:rFonts w:ascii="仿宋_GB2312" w:hAnsi="仿宋_GB2312" w:cs="仿宋_GB2312" w:eastAsia="仿宋_GB2312"/>
                      <w:sz w:val="24"/>
                    </w:rPr>
                    <w:t>0.3~2m；</w:t>
                  </w:r>
                </w:p>
                <w:p>
                  <w:pPr>
                    <w:pStyle w:val="null3"/>
                    <w:jc w:val="left"/>
                  </w:pPr>
                  <w:r>
                    <w:rPr>
                      <w:rFonts w:ascii="仿宋_GB2312" w:hAnsi="仿宋_GB2312" w:cs="仿宋_GB2312" w:eastAsia="仿宋_GB2312"/>
                      <w:sz w:val="24"/>
                    </w:rPr>
                    <w:t>人像采集时间：</w:t>
                  </w:r>
                  <w:r>
                    <w:rPr>
                      <w:rFonts w:ascii="仿宋_GB2312" w:hAnsi="仿宋_GB2312" w:cs="仿宋_GB2312" w:eastAsia="仿宋_GB2312"/>
                      <w:sz w:val="24"/>
                    </w:rPr>
                    <w:t>≤200ms。</w:t>
                  </w:r>
                  <w:r>
                    <w:br/>
                  </w:r>
                  <w:r>
                    <w:rPr>
                      <w:rFonts w:ascii="仿宋_GB2312" w:hAnsi="仿宋_GB2312" w:cs="仿宋_GB2312" w:eastAsia="仿宋_GB2312"/>
                      <w:sz w:val="24"/>
                    </w:rPr>
                    <w:t>具有以下采集方式：用户卡号、人脸；具有普通</w:t>
                  </w:r>
                  <w:r>
                    <w:rPr>
                      <w:rFonts w:ascii="仿宋_GB2312" w:hAnsi="仿宋_GB2312" w:cs="仿宋_GB2312" w:eastAsia="仿宋_GB2312"/>
                      <w:sz w:val="24"/>
                    </w:rPr>
                    <w:t>CPU卡、国密CPU卡发卡授权；具有人脸防假体攻击功能检查。</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c>
                <w:tcPr>
                  <w:tcW w:type="dxa" w:w="312"/>
                  <w:vMerge/>
                  <w:tcBorders>
                    <w:top w:val="none" w:color="000000" w:sz="4"/>
                    <w:left w:val="none" w:color="000000" w:sz="4"/>
                    <w:bottom w:val="single" w:color="000000" w:sz="4"/>
                    <w:right w:val="single" w:color="000000" w:sz="4"/>
                  </w:tcBorders>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国密人脸门禁一体机</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采用嵌入式系统，</w:t>
                  </w:r>
                  <w:r>
                    <w:rPr>
                      <w:rFonts w:ascii="仿宋_GB2312" w:hAnsi="仿宋_GB2312" w:cs="仿宋_GB2312" w:eastAsia="仿宋_GB2312"/>
                      <w:sz w:val="24"/>
                    </w:rPr>
                    <w:t>≥7英寸IPS触摸显示屏，屏幕流明度≥350cd/㎡，具有屏下刷卡功能，屏幕防暴等级不低于IK02。</w:t>
                  </w:r>
                  <w:r>
                    <w:br/>
                  </w:r>
                  <w:r>
                    <w:rPr>
                      <w:rFonts w:ascii="仿宋_GB2312" w:hAnsi="仿宋_GB2312" w:cs="仿宋_GB2312" w:eastAsia="仿宋_GB2312"/>
                      <w:sz w:val="24"/>
                    </w:rPr>
                    <w:t>采用</w:t>
                  </w:r>
                  <w:r>
                    <w:rPr>
                      <w:rFonts w:ascii="仿宋_GB2312" w:hAnsi="仿宋_GB2312" w:cs="仿宋_GB2312" w:eastAsia="仿宋_GB2312"/>
                      <w:sz w:val="24"/>
                    </w:rPr>
                    <w:t>≥200w像素双目宽动态相机，最大分辨率：≥1920×1080。</w:t>
                  </w:r>
                  <w:r>
                    <w:br/>
                  </w:r>
                  <w:r>
                    <w:rPr>
                      <w:rFonts w:ascii="仿宋_GB2312" w:hAnsi="仿宋_GB2312" w:cs="仿宋_GB2312" w:eastAsia="仿宋_GB2312"/>
                      <w:sz w:val="24"/>
                    </w:rPr>
                    <w:t>具有比对结果语音提示：具有文字转语音功能（</w:t>
                  </w:r>
                  <w:r>
                    <w:rPr>
                      <w:rFonts w:ascii="仿宋_GB2312" w:hAnsi="仿宋_GB2312" w:cs="仿宋_GB2312" w:eastAsia="仿宋_GB2312"/>
                      <w:sz w:val="24"/>
                    </w:rPr>
                    <w:t xml:space="preserve">TTS）；用户可自定义识别结果语音提示；具有识别后按姓名播报提示语音； </w:t>
                  </w:r>
                  <w:r>
                    <w:br/>
                  </w:r>
                  <w:r>
                    <w:rPr>
                      <w:rFonts w:ascii="仿宋_GB2312" w:hAnsi="仿宋_GB2312" w:cs="仿宋_GB2312" w:eastAsia="仿宋_GB2312"/>
                      <w:sz w:val="24"/>
                    </w:rPr>
                    <w:t>本地人脸库存储容量</w:t>
                  </w:r>
                  <w:r>
                    <w:rPr>
                      <w:rFonts w:ascii="仿宋_GB2312" w:hAnsi="仿宋_GB2312" w:cs="仿宋_GB2312" w:eastAsia="仿宋_GB2312"/>
                      <w:sz w:val="24"/>
                    </w:rPr>
                    <w:t>≥45000张，本地卡存储容量≥45000张，本地出入记录存储容量≥45000条。</w:t>
                  </w:r>
                  <w:r>
                    <w:br/>
                  </w:r>
                  <w:r>
                    <w:rPr>
                      <w:rFonts w:ascii="仿宋_GB2312" w:hAnsi="仿宋_GB2312" w:cs="仿宋_GB2312" w:eastAsia="仿宋_GB2312"/>
                      <w:sz w:val="24"/>
                    </w:rPr>
                    <w:t>具有在屏幕显示区域直接刷卡识别，具有</w:t>
                  </w:r>
                  <w:r>
                    <w:rPr>
                      <w:rFonts w:ascii="仿宋_GB2312" w:hAnsi="仿宋_GB2312" w:cs="仿宋_GB2312" w:eastAsia="仿宋_GB2312"/>
                      <w:sz w:val="24"/>
                    </w:rPr>
                    <w:t>IC卡，身份证物理卡号读取，CPU卡内容读取及开启/关闭NFC刷卡功能，具有人脸、刷卡（包括CPU卡、NFC、二代身份证等）二维码和密码任意一种、任意两组组合、任意三组组合认证开门。</w:t>
                  </w:r>
                  <w:r>
                    <w:br/>
                  </w:r>
                  <w:r>
                    <w:rPr>
                      <w:rFonts w:ascii="仿宋_GB2312" w:hAnsi="仿宋_GB2312" w:cs="仿宋_GB2312" w:eastAsia="仿宋_GB2312"/>
                      <w:sz w:val="24"/>
                    </w:rPr>
                    <w:t>人脸验证距离范围：</w:t>
                  </w:r>
                  <w:r>
                    <w:rPr>
                      <w:rFonts w:ascii="仿宋_GB2312" w:hAnsi="仿宋_GB2312" w:cs="仿宋_GB2312" w:eastAsia="仿宋_GB2312"/>
                      <w:sz w:val="24"/>
                    </w:rPr>
                    <w:t>0.5~3m；人脸比对平均时间≤0.2s；准确率≥99.9%；具有防假体攻击功能，对视频、电子照片、打印照片中的人脸应不能进行人脸验证。</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w:t>
                  </w:r>
                </w:p>
              </w:tc>
              <w:tc>
                <w:tcPr>
                  <w:tcW w:type="dxa" w:w="312"/>
                  <w:vMerge/>
                  <w:tcBorders>
                    <w:top w:val="none" w:color="000000" w:sz="4"/>
                    <w:left w:val="none" w:color="000000" w:sz="4"/>
                    <w:bottom w:val="single" w:color="000000" w:sz="4"/>
                    <w:right w:val="single" w:color="000000" w:sz="4"/>
                  </w:tcBorders>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视频安全管理系统</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采用账户分级授权管理机制，将系统用户划分为三级，逐级向下管理，上级管理员具有下级用户管理和系统权限配置等能力，控制力度下沉到数据访问和操作。</w:t>
                  </w:r>
                  <w:r>
                    <w:br/>
                  </w:r>
                  <w:r>
                    <w:rPr>
                      <w:rFonts w:ascii="仿宋_GB2312" w:hAnsi="仿宋_GB2312" w:cs="仿宋_GB2312" w:eastAsia="仿宋_GB2312"/>
                      <w:sz w:val="24"/>
                    </w:rPr>
                    <w:t>采用三员角色管理机制，遵循用户权限最小化原则，不同账户相互独立。</w:t>
                  </w:r>
                  <w:r>
                    <w:br/>
                  </w:r>
                  <w:r>
                    <w:rPr>
                      <w:rFonts w:ascii="仿宋_GB2312" w:hAnsi="仿宋_GB2312" w:cs="仿宋_GB2312" w:eastAsia="仿宋_GB2312"/>
                      <w:sz w:val="24"/>
                    </w:rPr>
                    <w:t>采用授权名单管控机制，具有基于</w:t>
                  </w:r>
                  <w:r>
                    <w:rPr>
                      <w:rFonts w:ascii="仿宋_GB2312" w:hAnsi="仿宋_GB2312" w:cs="仿宋_GB2312" w:eastAsia="仿宋_GB2312"/>
                      <w:sz w:val="24"/>
                    </w:rPr>
                    <w:t>IP的黑名单对系统的全局访问均被禁止；具有基于IP地址、数字证书、IP地址+数字证书的白名单授权方式，对开放API接口的外部调用进行访问控制。</w:t>
                  </w:r>
                  <w:r>
                    <w:br/>
                  </w:r>
                  <w:r>
                    <w:rPr>
                      <w:rFonts w:ascii="仿宋_GB2312" w:hAnsi="仿宋_GB2312" w:cs="仿宋_GB2312" w:eastAsia="仿宋_GB2312"/>
                      <w:sz w:val="24"/>
                    </w:rPr>
                    <w:t>具有基于用户名口令</w:t>
                  </w:r>
                  <w:r>
                    <w:rPr>
                      <w:rFonts w:ascii="仿宋_GB2312" w:hAnsi="仿宋_GB2312" w:cs="仿宋_GB2312" w:eastAsia="仿宋_GB2312"/>
                      <w:sz w:val="24"/>
                    </w:rPr>
                    <w:t>+智能密码钥匙（基于数字证书）的双因子身份鉴别方式。数字证书认证过程采用经过国家密码管理局认证的硬件密码模块实现。</w:t>
                  </w:r>
                  <w:r>
                    <w:br/>
                  </w:r>
                  <w:r>
                    <w:rPr>
                      <w:rFonts w:ascii="仿宋_GB2312" w:hAnsi="仿宋_GB2312" w:cs="仿宋_GB2312" w:eastAsia="仿宋_GB2312"/>
                      <w:sz w:val="24"/>
                    </w:rPr>
                    <w:t>具有对系统用户进行身份标识，管理平台不能创建同名用户，新建用户第一次登录必须强制修改口令；数字证书具有根据预定义的时效策略定期更新。</w:t>
                  </w:r>
                  <w:r>
                    <w:br/>
                  </w:r>
                  <w:r>
                    <w:rPr>
                      <w:rFonts w:ascii="仿宋_GB2312" w:hAnsi="仿宋_GB2312" w:cs="仿宋_GB2312" w:eastAsia="仿宋_GB2312"/>
                      <w:sz w:val="24"/>
                    </w:rPr>
                    <w:t>具有用户与智能密码钥匙的一次性绑定校验，用户使用错误鉴别信息连续登录</w:t>
                  </w:r>
                  <w:r>
                    <w:rPr>
                      <w:rFonts w:ascii="仿宋_GB2312" w:hAnsi="仿宋_GB2312" w:cs="仿宋_GB2312" w:eastAsia="仿宋_GB2312"/>
                      <w:sz w:val="24"/>
                    </w:rPr>
                    <w:t>5次后密码硬件将被锁定，需使用专用管理工具进行解锁方可使用。</w:t>
                  </w:r>
                  <w:r>
                    <w:br/>
                  </w:r>
                  <w:r>
                    <w:rPr>
                      <w:rFonts w:ascii="仿宋_GB2312" w:hAnsi="仿宋_GB2312" w:cs="仿宋_GB2312" w:eastAsia="仿宋_GB2312"/>
                      <w:sz w:val="24"/>
                    </w:rPr>
                    <w:t>提供基于</w:t>
                  </w:r>
                  <w:r>
                    <w:rPr>
                      <w:rFonts w:ascii="仿宋_GB2312" w:hAnsi="仿宋_GB2312" w:cs="仿宋_GB2312" w:eastAsia="仿宋_GB2312"/>
                      <w:sz w:val="24"/>
                    </w:rPr>
                    <w:t>UKey/CSR的安全对象注册管理功能，并提供其密钥、证书的查询管理功能。</w:t>
                  </w:r>
                  <w:r>
                    <w:br/>
                  </w:r>
                  <w:r>
                    <w:rPr>
                      <w:rFonts w:ascii="仿宋_GB2312" w:hAnsi="仿宋_GB2312" w:cs="仿宋_GB2312" w:eastAsia="仿宋_GB2312"/>
                      <w:sz w:val="24"/>
                    </w:rPr>
                    <w:t>具有安全用户注册功能，为其签发签名证书、加密证书</w:t>
                  </w:r>
                  <w:r>
                    <w:rPr>
                      <w:rFonts w:ascii="仿宋_GB2312" w:hAnsi="仿宋_GB2312" w:cs="仿宋_GB2312" w:eastAsia="仿宋_GB2312"/>
                      <w:sz w:val="24"/>
                    </w:rPr>
                    <w:t>&amp;加密密钥对数字信封、根证书，并导入待绑定智能密码钥匙；提供基于CSR的离线注册和基于智能密码钥匙的在线注册方式。</w:t>
                  </w:r>
                  <w:r>
                    <w:br/>
                  </w:r>
                  <w:r>
                    <w:rPr>
                      <w:rFonts w:ascii="仿宋_GB2312" w:hAnsi="仿宋_GB2312" w:cs="仿宋_GB2312" w:eastAsia="仿宋_GB2312"/>
                      <w:sz w:val="24"/>
                    </w:rPr>
                    <w:t>具有安全设备注册功能，将设备生成的</w:t>
                  </w:r>
                  <w:r>
                    <w:rPr>
                      <w:rFonts w:ascii="仿宋_GB2312" w:hAnsi="仿宋_GB2312" w:cs="仿宋_GB2312" w:eastAsia="仿宋_GB2312"/>
                      <w:sz w:val="24"/>
                    </w:rPr>
                    <w:t>CSR文件导入系统，并为其签发签名证书、加密证书&amp;加密密钥对数字信封、根证书。</w:t>
                  </w:r>
                  <w:r>
                    <w:br/>
                  </w:r>
                  <w:r>
                    <w:rPr>
                      <w:rFonts w:ascii="仿宋_GB2312" w:hAnsi="仿宋_GB2312" w:cs="仿宋_GB2312" w:eastAsia="仿宋_GB2312"/>
                      <w:sz w:val="24"/>
                    </w:rPr>
                    <w:t>具有安全服务器注册功能，将服务器生成的</w:t>
                  </w:r>
                  <w:r>
                    <w:rPr>
                      <w:rFonts w:ascii="仿宋_GB2312" w:hAnsi="仿宋_GB2312" w:cs="仿宋_GB2312" w:eastAsia="仿宋_GB2312"/>
                      <w:sz w:val="24"/>
                    </w:rPr>
                    <w:t>CSR文件导入系统，并为其签发签名证书、加密证书&amp;加密密钥对数字信封、根证书。</w:t>
                  </w:r>
                  <w:r>
                    <w:br/>
                  </w:r>
                  <w:r>
                    <w:rPr>
                      <w:rFonts w:ascii="仿宋_GB2312" w:hAnsi="仿宋_GB2312" w:cs="仿宋_GB2312" w:eastAsia="仿宋_GB2312"/>
                      <w:sz w:val="24"/>
                    </w:rPr>
                    <w:t>具有服务安全对象类型证书的离线和在线签发两种方式。</w:t>
                  </w:r>
                  <w:r>
                    <w:br/>
                  </w:r>
                  <w:r>
                    <w:rPr>
                      <w:rFonts w:ascii="仿宋_GB2312" w:hAnsi="仿宋_GB2312" w:cs="仿宋_GB2312" w:eastAsia="仿宋_GB2312"/>
                      <w:sz w:val="24"/>
                    </w:rPr>
                    <w:t>外部系统通过接口请求注册安全对象，采用审批管理机制，注册请求发起，必须由授权人员审批通过后，才可将相关证书自动下发到请求注册的下发地址；具有授权人员主动进行证书下发</w:t>
                  </w:r>
                  <w:r>
                    <w:br/>
                  </w:r>
                  <w:r>
                    <w:rPr>
                      <w:rFonts w:ascii="仿宋_GB2312" w:hAnsi="仿宋_GB2312" w:cs="仿宋_GB2312" w:eastAsia="仿宋_GB2312"/>
                      <w:sz w:val="24"/>
                    </w:rPr>
                    <w:t>具有安全用户、设备和服务的设备编码、设备序列号、设备</w:t>
                  </w:r>
                  <w:r>
                    <w:rPr>
                      <w:rFonts w:ascii="仿宋_GB2312" w:hAnsi="仿宋_GB2312" w:cs="仿宋_GB2312" w:eastAsia="仿宋_GB2312"/>
                      <w:sz w:val="24"/>
                    </w:rPr>
                    <w:t>IP地址、设备类型等设备信息绑定与查询管理。</w:t>
                  </w:r>
                  <w:r>
                    <w:br/>
                  </w:r>
                  <w:r>
                    <w:rPr>
                      <w:rFonts w:ascii="仿宋_GB2312" w:hAnsi="仿宋_GB2312" w:cs="仿宋_GB2312" w:eastAsia="仿宋_GB2312"/>
                      <w:sz w:val="24"/>
                    </w:rPr>
                    <w:t>具有外置</w:t>
                  </w:r>
                  <w:r>
                    <w:rPr>
                      <w:rFonts w:ascii="仿宋_GB2312" w:hAnsi="仿宋_GB2312" w:cs="仿宋_GB2312" w:eastAsia="仿宋_GB2312"/>
                      <w:sz w:val="24"/>
                    </w:rPr>
                    <w:t>KM/CA系统已签发证书的离线导入，具有单条和批量文件导入。</w:t>
                  </w:r>
                  <w:r>
                    <w:br/>
                  </w:r>
                  <w:r>
                    <w:rPr>
                      <w:rFonts w:ascii="仿宋_GB2312" w:hAnsi="仿宋_GB2312" w:cs="仿宋_GB2312" w:eastAsia="仿宋_GB2312"/>
                      <w:sz w:val="24"/>
                    </w:rPr>
                    <w:t>采用三级密钥管理机制，并向各类视频设备（包含采集设备、存储设备、编解码设备）和平台提供视频相关密钥的管理功能（生成、分发、查询、更新）。</w:t>
                  </w:r>
                  <w:r>
                    <w:br/>
                  </w:r>
                  <w:r>
                    <w:rPr>
                      <w:rFonts w:ascii="仿宋_GB2312" w:hAnsi="仿宋_GB2312" w:cs="仿宋_GB2312" w:eastAsia="仿宋_GB2312"/>
                      <w:sz w:val="24"/>
                    </w:rPr>
                    <w:t>能够对视频码流加密密钥（</w:t>
                  </w:r>
                  <w:r>
                    <w:rPr>
                      <w:rFonts w:ascii="仿宋_GB2312" w:hAnsi="仿宋_GB2312" w:cs="仿宋_GB2312" w:eastAsia="仿宋_GB2312"/>
                      <w:sz w:val="24"/>
                    </w:rPr>
                    <w:t>VEK）提供视频密钥加密密钥（VKEK）的加密传输能力；视频密钥加密密钥（VKEK）具有调用方公钥（数字证书）方式的加密传输；提供对视频加密密钥对、签名公钥的安全管理。</w:t>
                  </w:r>
                  <w:r>
                    <w:br/>
                  </w:r>
                  <w:r>
                    <w:rPr>
                      <w:rFonts w:ascii="仿宋_GB2312" w:hAnsi="仿宋_GB2312" w:cs="仿宋_GB2312" w:eastAsia="仿宋_GB2312"/>
                      <w:sz w:val="24"/>
                    </w:rPr>
                    <w:t>视频加密密钥具有周期性动态变化，更新周期不超过</w:t>
                  </w:r>
                  <w:r>
                    <w:rPr>
                      <w:rFonts w:ascii="仿宋_GB2312" w:hAnsi="仿宋_GB2312" w:cs="仿宋_GB2312" w:eastAsia="仿宋_GB2312"/>
                      <w:sz w:val="24"/>
                    </w:rPr>
                    <w:t>1小时，由摄像头调用安全芯片重新生成，在有效时间内无法实施内容破解。</w:t>
                  </w:r>
                  <w:r>
                    <w:br/>
                  </w:r>
                  <w:r>
                    <w:rPr>
                      <w:rFonts w:ascii="仿宋_GB2312" w:hAnsi="仿宋_GB2312" w:cs="仿宋_GB2312" w:eastAsia="仿宋_GB2312"/>
                      <w:sz w:val="24"/>
                    </w:rPr>
                    <w:t>密钥生成、存储和运算相关支撑均由通过国家密码管理局认证的独立硬件密码模块（密码卡</w:t>
                  </w:r>
                  <w:r>
                    <w:rPr>
                      <w:rFonts w:ascii="仿宋_GB2312" w:hAnsi="仿宋_GB2312" w:cs="仿宋_GB2312" w:eastAsia="仿宋_GB2312"/>
                      <w:sz w:val="24"/>
                    </w:rPr>
                    <w:t>/智能密码钥匙）提供，保证密钥管理全生命周期的安全性，符合商密标准技术规范要求。</w:t>
                  </w:r>
                  <w:r>
                    <w:br/>
                  </w:r>
                  <w:r>
                    <w:rPr>
                      <w:rFonts w:ascii="仿宋_GB2312" w:hAnsi="仿宋_GB2312" w:cs="仿宋_GB2312" w:eastAsia="仿宋_GB2312"/>
                      <w:sz w:val="24"/>
                    </w:rPr>
                    <w:t>提供</w:t>
                  </w:r>
                  <w:r>
                    <w:rPr>
                      <w:rFonts w:ascii="仿宋_GB2312" w:hAnsi="仿宋_GB2312" w:cs="仿宋_GB2312" w:eastAsia="仿宋_GB2312"/>
                      <w:sz w:val="24"/>
                    </w:rPr>
                    <w:t>LDAP套件。提供系统内已签发证书的管理服务，通过LDAP证书目录服务器进行证书查询，证书查询接口调用时间≤100ms。</w:t>
                  </w:r>
                  <w:r>
                    <w:br/>
                  </w:r>
                  <w:r>
                    <w:rPr>
                      <w:rFonts w:ascii="仿宋_GB2312" w:hAnsi="仿宋_GB2312" w:cs="仿宋_GB2312" w:eastAsia="仿宋_GB2312"/>
                      <w:sz w:val="24"/>
                    </w:rPr>
                    <w:t>具有安全对象的双证书签发，可进行签名证书和加密证书的一次性申请和签发；具有根据请求注册的下发地址自动完成证书下发操作。</w:t>
                  </w:r>
                  <w:r>
                    <w:br/>
                  </w:r>
                  <w:r>
                    <w:rPr>
                      <w:rFonts w:ascii="仿宋_GB2312" w:hAnsi="仿宋_GB2312" w:cs="仿宋_GB2312" w:eastAsia="仿宋_GB2312"/>
                      <w:sz w:val="24"/>
                    </w:rPr>
                    <w:t>内置视频密钥和证书管理服务，同时提供插件化接入支持，具有外接标准密钥系统、证书系统和密码机，可灵活应对复杂的环境需求。</w:t>
                  </w:r>
                  <w:r>
                    <w:br/>
                  </w:r>
                  <w:r>
                    <w:rPr>
                      <w:rFonts w:ascii="仿宋_GB2312" w:hAnsi="仿宋_GB2312" w:cs="仿宋_GB2312" w:eastAsia="仿宋_GB2312"/>
                      <w:sz w:val="24"/>
                    </w:rPr>
                    <w:t>具有对系统内所有有效操作进行详细日志记录，并附带操作人员的私钥签名信息；具有对重要操作日志进行有效审计，审计记录的内容至少应包括事件的日期、时间、发起者信息、类型、描述和结果等；提供对审计记录数据的统计、查询及生成审计报表功能。</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p>
              </w:tc>
              <w:tc>
                <w:tcPr>
                  <w:tcW w:type="dxa" w:w="312"/>
                  <w:vMerge/>
                  <w:tcBorders>
                    <w:top w:val="none" w:color="000000" w:sz="4"/>
                    <w:left w:val="none" w:color="000000" w:sz="4"/>
                    <w:bottom w:val="single" w:color="000000" w:sz="4"/>
                    <w:right w:val="single" w:color="000000" w:sz="4"/>
                  </w:tcBorders>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下一代安全视频监控管理平台</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具有基于用户名口令</w:t>
                  </w:r>
                  <w:r>
                    <w:rPr>
                      <w:rFonts w:ascii="仿宋_GB2312" w:hAnsi="仿宋_GB2312" w:cs="仿宋_GB2312" w:eastAsia="仿宋_GB2312"/>
                      <w:sz w:val="24"/>
                    </w:rPr>
                    <w:t>+智能密码钥匙(基于数字证书)的双因子身份鉴别方式。 数字证书认证过程采用经过国家密码管理局认证的硬件密码模块实现。</w:t>
                  </w:r>
                  <w:r>
                    <w:br/>
                  </w:r>
                  <w:r>
                    <w:rPr>
                      <w:rFonts w:ascii="仿宋_GB2312" w:hAnsi="仿宋_GB2312" w:cs="仿宋_GB2312" w:eastAsia="仿宋_GB2312"/>
                      <w:sz w:val="24"/>
                    </w:rPr>
                    <w:t>具有基于数字证书的双向认证模式对接入设备进行身份认证，并采用商密安全技术对平台与设备间提供信令完整性保护。要求双向认证增加延时</w:t>
                  </w:r>
                  <w:r>
                    <w:rPr>
                      <w:rFonts w:ascii="仿宋_GB2312" w:hAnsi="仿宋_GB2312" w:cs="仿宋_GB2312" w:eastAsia="仿宋_GB2312"/>
                      <w:sz w:val="24"/>
                    </w:rPr>
                    <w:t>≤400ms，信令认证增加延时≤400ms。</w:t>
                  </w:r>
                  <w:r>
                    <w:br/>
                  </w:r>
                  <w:r>
                    <w:rPr>
                      <w:rFonts w:ascii="仿宋_GB2312" w:hAnsi="仿宋_GB2312" w:cs="仿宋_GB2312" w:eastAsia="仿宋_GB2312"/>
                      <w:sz w:val="24"/>
                    </w:rPr>
                    <w:t>具有采用商密安全技术，对具备码流加密的前端设备进行码流编码层加密，对视频数据实现源端加密保护。</w:t>
                  </w:r>
                  <w:r>
                    <w:br/>
                  </w:r>
                  <w:r>
                    <w:rPr>
                      <w:rFonts w:ascii="仿宋_GB2312" w:hAnsi="仿宋_GB2312" w:cs="仿宋_GB2312" w:eastAsia="仿宋_GB2312"/>
                      <w:sz w:val="24"/>
                    </w:rPr>
                    <w:t>具有采用商密</w:t>
                  </w:r>
                  <w:r>
                    <w:rPr>
                      <w:rFonts w:ascii="仿宋_GB2312" w:hAnsi="仿宋_GB2312" w:cs="仿宋_GB2312" w:eastAsia="仿宋_GB2312"/>
                      <w:sz w:val="24"/>
                    </w:rPr>
                    <w:t>TLS技术，对视频数据传输过程提供加密和完整性保护，确保视频数据从前端设备到平台传输过程的安全可靠。</w:t>
                  </w:r>
                  <w:r>
                    <w:br/>
                  </w:r>
                  <w:r>
                    <w:rPr>
                      <w:rFonts w:ascii="仿宋_GB2312" w:hAnsi="仿宋_GB2312" w:cs="仿宋_GB2312" w:eastAsia="仿宋_GB2312"/>
                      <w:sz w:val="24"/>
                    </w:rPr>
                    <w:t>具有采用商密安全技术，对视频监控客户端下载</w:t>
                  </w:r>
                  <w:r>
                    <w:rPr>
                      <w:rFonts w:ascii="仿宋_GB2312" w:hAnsi="仿宋_GB2312" w:cs="仿宋_GB2312" w:eastAsia="仿宋_GB2312"/>
                      <w:sz w:val="24"/>
                    </w:rPr>
                    <w:t>/导出的视频文件进行加密和完整性保护；对视频加密文件的访问，应通过智能密码钥匙/口令认证，且使用专用播放器才能够对视频文件进行解密播放。具有视频文件的完整性校验，一旦视频内容被篡改，同样无法正常播放。</w:t>
                  </w:r>
                  <w:r>
                    <w:br/>
                  </w:r>
                  <w:r>
                    <w:rPr>
                      <w:rFonts w:ascii="仿宋_GB2312" w:hAnsi="仿宋_GB2312" w:cs="仿宋_GB2312" w:eastAsia="仿宋_GB2312"/>
                      <w:sz w:val="24"/>
                    </w:rPr>
                    <w:t>具有对视频数据存储过程提供机密性与完整性保护，且采用完全自主研发并经过国家商用密码管理局认证的硬件密码模块实现。</w:t>
                  </w:r>
                  <w:r>
                    <w:br/>
                  </w:r>
                  <w:r>
                    <w:rPr>
                      <w:rFonts w:ascii="仿宋_GB2312" w:hAnsi="仿宋_GB2312" w:cs="仿宋_GB2312" w:eastAsia="仿宋_GB2312"/>
                      <w:sz w:val="24"/>
                    </w:rPr>
                    <w:t>视频加解密播放增加延时</w:t>
                  </w:r>
                  <w:r>
                    <w:rPr>
                      <w:rFonts w:ascii="仿宋_GB2312" w:hAnsi="仿宋_GB2312" w:cs="仿宋_GB2312" w:eastAsia="仿宋_GB2312"/>
                      <w:sz w:val="24"/>
                    </w:rPr>
                    <w:t>≤400ms，实时预览和回放无卡顿，实现加解密过程不影响用户的视频观看体验。</w:t>
                  </w:r>
                  <w:r>
                    <w:br/>
                  </w:r>
                  <w:r>
                    <w:rPr>
                      <w:rFonts w:ascii="仿宋_GB2312" w:hAnsi="仿宋_GB2312" w:cs="仿宋_GB2312" w:eastAsia="仿宋_GB2312"/>
                      <w:sz w:val="24"/>
                    </w:rPr>
                    <w:t>具有运用数字水印技术对操作终端显示的视频图像进行防护，实现视频数据泄露溯源取证；水印中至少包含当前播放监控录像的用户信息、终端设备信息和系统时间，水印字体、透明度、大小、旋转角度等属性可根据需求场景灵活配置；水印具有适应监控画面窗口的移动。</w:t>
                  </w:r>
                  <w:r>
                    <w:br/>
                  </w:r>
                  <w:r>
                    <w:rPr>
                      <w:rFonts w:ascii="仿宋_GB2312" w:hAnsi="仿宋_GB2312" w:cs="仿宋_GB2312" w:eastAsia="仿宋_GB2312"/>
                      <w:sz w:val="24"/>
                    </w:rPr>
                    <w:t>具有对用户登录、视频预览</w:t>
                  </w:r>
                  <w:r>
                    <w:rPr>
                      <w:rFonts w:ascii="仿宋_GB2312" w:hAnsi="仿宋_GB2312" w:cs="仿宋_GB2312" w:eastAsia="仿宋_GB2312"/>
                      <w:sz w:val="24"/>
                    </w:rPr>
                    <w:t>/回放/下载/导出、门禁事件、安全设备接入等关键操作进行详细日志记录，并采用数字签名技术进行记录完整性校验。</w:t>
                  </w:r>
                  <w:r>
                    <w:br/>
                  </w:r>
                  <w:r>
                    <w:rPr>
                      <w:rFonts w:ascii="仿宋_GB2312" w:hAnsi="仿宋_GB2312" w:cs="仿宋_GB2312" w:eastAsia="仿宋_GB2312"/>
                      <w:sz w:val="24"/>
                    </w:rPr>
                    <w:t>具有监控点管理、视频数据预览回放等基础视频管理功能；具有人员管理、区域管理、安全管理等基础业务管理功能；具有门禁管理等扩展业务管理功能；具有系统配置等基础配置管理功能。</w:t>
                  </w:r>
                  <w:r>
                    <w:br/>
                  </w:r>
                  <w:r>
                    <w:rPr>
                      <w:rFonts w:ascii="仿宋_GB2312" w:hAnsi="仿宋_GB2312" w:cs="仿宋_GB2312" w:eastAsia="仿宋_GB2312"/>
                      <w:sz w:val="24"/>
                    </w:rPr>
                    <w:t>平台交互、控制流程和协议接口均遵循公共视频监控领域的</w:t>
                  </w:r>
                  <w:r>
                    <w:rPr>
                      <w:rFonts w:ascii="仿宋_GB2312" w:hAnsi="仿宋_GB2312" w:cs="仿宋_GB2312" w:eastAsia="仿宋_GB2312"/>
                      <w:sz w:val="24"/>
                    </w:rPr>
                    <w:t>GB/T 28181标准，具有作为下级域级联第三方平台；具有私有协议的级联互联。</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w:t>
                  </w:r>
                </w:p>
              </w:tc>
              <w:tc>
                <w:tcPr>
                  <w:tcW w:type="dxa" w:w="31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园区监控服务</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视频监控</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硬件参数：</w:t>
                  </w:r>
                  <w:r>
                    <w:br/>
                  </w:r>
                  <w:r>
                    <w:rPr>
                      <w:rFonts w:ascii="仿宋_GB2312" w:hAnsi="仿宋_GB2312" w:cs="仿宋_GB2312" w:eastAsia="仿宋_GB2312"/>
                      <w:sz w:val="24"/>
                    </w:rPr>
                    <w:t>日夜型半球型网络摄像机，像素</w:t>
                  </w:r>
                  <w:r>
                    <w:rPr>
                      <w:rFonts w:ascii="仿宋_GB2312" w:hAnsi="仿宋_GB2312" w:cs="仿宋_GB2312" w:eastAsia="仿宋_GB2312"/>
                      <w:sz w:val="24"/>
                    </w:rPr>
                    <w:t>≥200万 1/2.7" CMOS</w:t>
                  </w:r>
                  <w:r>
                    <w:br/>
                  </w:r>
                  <w:r>
                    <w:rPr>
                      <w:rFonts w:ascii="仿宋_GB2312" w:hAnsi="仿宋_GB2312" w:cs="仿宋_GB2312" w:eastAsia="仿宋_GB2312"/>
                      <w:sz w:val="24"/>
                    </w:rPr>
                    <w:t>焦距</w:t>
                  </w:r>
                  <w:r>
                    <w:rPr>
                      <w:rFonts w:ascii="仿宋_GB2312" w:hAnsi="仿宋_GB2312" w:cs="仿宋_GB2312" w:eastAsia="仿宋_GB2312"/>
                      <w:sz w:val="24"/>
                    </w:rPr>
                    <w:t>: 2.7~13.5 mm</w:t>
                  </w:r>
                  <w:r>
                    <w:br/>
                  </w:r>
                  <w:r>
                    <w:rPr>
                      <w:rFonts w:ascii="仿宋_GB2312" w:hAnsi="仿宋_GB2312" w:cs="仿宋_GB2312" w:eastAsia="仿宋_GB2312"/>
                      <w:sz w:val="24"/>
                    </w:rPr>
                    <w:t>最低照度</w:t>
                  </w:r>
                  <w:r>
                    <w:rPr>
                      <w:rFonts w:ascii="仿宋_GB2312" w:hAnsi="仿宋_GB2312" w:cs="仿宋_GB2312" w:eastAsia="仿宋_GB2312"/>
                      <w:sz w:val="24"/>
                    </w:rPr>
                    <w:t>: 彩色：≤0.005 Lux @（F1.2，AGC ON），黑白：≤0.0002 Lux @（F1.2，AGC ON），0 Lux with IR</w:t>
                  </w:r>
                  <w:r>
                    <w:br/>
                  </w:r>
                  <w:r>
                    <w:rPr>
                      <w:rFonts w:ascii="仿宋_GB2312" w:hAnsi="仿宋_GB2312" w:cs="仿宋_GB2312" w:eastAsia="仿宋_GB2312"/>
                      <w:sz w:val="24"/>
                    </w:rPr>
                    <w:t>补光灯类型</w:t>
                  </w:r>
                  <w:r>
                    <w:rPr>
                      <w:rFonts w:ascii="仿宋_GB2312" w:hAnsi="仿宋_GB2312" w:cs="仿宋_GB2312" w:eastAsia="仿宋_GB2312"/>
                      <w:sz w:val="24"/>
                    </w:rPr>
                    <w:t>: 红外，补光距离≥30 m</w:t>
                  </w:r>
                  <w:r>
                    <w:br/>
                  </w:r>
                  <w:r>
                    <w:rPr>
                      <w:rFonts w:ascii="仿宋_GB2312" w:hAnsi="仿宋_GB2312" w:cs="仿宋_GB2312" w:eastAsia="仿宋_GB2312"/>
                      <w:sz w:val="24"/>
                    </w:rPr>
                    <w:t>视频压缩标准</w:t>
                  </w:r>
                  <w:r>
                    <w:rPr>
                      <w:rFonts w:ascii="仿宋_GB2312" w:hAnsi="仿宋_GB2312" w:cs="仿宋_GB2312" w:eastAsia="仿宋_GB2312"/>
                      <w:sz w:val="24"/>
                    </w:rPr>
                    <w:t>: H.265/H.264/MJPEG</w:t>
                  </w:r>
                  <w:r>
                    <w:br/>
                  </w:r>
                  <w:r>
                    <w:rPr>
                      <w:rFonts w:ascii="仿宋_GB2312" w:hAnsi="仿宋_GB2312" w:cs="仿宋_GB2312" w:eastAsia="仿宋_GB2312"/>
                      <w:sz w:val="24"/>
                    </w:rPr>
                    <w:t>网络存储</w:t>
                  </w:r>
                  <w:r>
                    <w:rPr>
                      <w:rFonts w:ascii="仿宋_GB2312" w:hAnsi="仿宋_GB2312" w:cs="仿宋_GB2312" w:eastAsia="仿宋_GB2312"/>
                      <w:sz w:val="24"/>
                    </w:rPr>
                    <w:t>: 具有Micro SD(即TF卡)/Micro SDHC/Micro SDXC卡（最大256 GB）断网本地存储及断网续传，NAS（NFS，SMB/CIFS均支持）</w:t>
                  </w:r>
                  <w:r>
                    <w:br/>
                  </w:r>
                  <w:r>
                    <w:rPr>
                      <w:rFonts w:ascii="仿宋_GB2312" w:hAnsi="仿宋_GB2312" w:cs="仿宋_GB2312" w:eastAsia="仿宋_GB2312"/>
                      <w:sz w:val="24"/>
                    </w:rPr>
                    <w:t>网络接口</w:t>
                  </w:r>
                  <w:r>
                    <w:rPr>
                      <w:rFonts w:ascii="仿宋_GB2312" w:hAnsi="仿宋_GB2312" w:cs="仿宋_GB2312" w:eastAsia="仿宋_GB2312"/>
                      <w:sz w:val="24"/>
                    </w:rPr>
                    <w:t>: ≥1个RJ45 ，≥1路RS485接口</w:t>
                  </w:r>
                  <w:r>
                    <w:br/>
                  </w:r>
                  <w:r>
                    <w:rPr>
                      <w:rFonts w:ascii="仿宋_GB2312" w:hAnsi="仿宋_GB2312" w:cs="仿宋_GB2312" w:eastAsia="仿宋_GB2312"/>
                      <w:sz w:val="24"/>
                    </w:rPr>
                    <w:t>音频接口</w:t>
                  </w:r>
                  <w:r>
                    <w:rPr>
                      <w:rFonts w:ascii="仿宋_GB2312" w:hAnsi="仿宋_GB2312" w:cs="仿宋_GB2312" w:eastAsia="仿宋_GB2312"/>
                      <w:sz w:val="24"/>
                    </w:rPr>
                    <w:t>: ≥2 路输入，≥1路输出，≥2个内置麦克风，≥1个内置扬声器</w:t>
                  </w:r>
                  <w:r>
                    <w:br/>
                  </w:r>
                  <w:r>
                    <w:rPr>
                      <w:rFonts w:ascii="仿宋_GB2312" w:hAnsi="仿宋_GB2312" w:cs="仿宋_GB2312" w:eastAsia="仿宋_GB2312"/>
                      <w:sz w:val="24"/>
                    </w:rPr>
                    <w:t>报警接口</w:t>
                  </w:r>
                  <w:r>
                    <w:rPr>
                      <w:rFonts w:ascii="仿宋_GB2312" w:hAnsi="仿宋_GB2312" w:cs="仿宋_GB2312" w:eastAsia="仿宋_GB2312"/>
                      <w:sz w:val="24"/>
                    </w:rPr>
                    <w:t>: ≥3路输入，≥2路输出</w:t>
                  </w:r>
                  <w:r>
                    <w:br/>
                  </w:r>
                  <w:r>
                    <w:rPr>
                      <w:rFonts w:ascii="仿宋_GB2312" w:hAnsi="仿宋_GB2312" w:cs="仿宋_GB2312" w:eastAsia="仿宋_GB2312"/>
                      <w:sz w:val="24"/>
                    </w:rPr>
                    <w:t>防护</w:t>
                  </w:r>
                  <w:r>
                    <w:rPr>
                      <w:rFonts w:ascii="仿宋_GB2312" w:hAnsi="仿宋_GB2312" w:cs="仿宋_GB2312" w:eastAsia="仿宋_GB2312"/>
                      <w:sz w:val="24"/>
                    </w:rPr>
                    <w:t>: IP67</w:t>
                  </w:r>
                  <w:r>
                    <w:br/>
                  </w:r>
                  <w:r>
                    <w:rPr>
                      <w:rFonts w:ascii="仿宋_GB2312" w:hAnsi="仿宋_GB2312" w:cs="仿宋_GB2312" w:eastAsia="仿宋_GB2312"/>
                      <w:sz w:val="24"/>
                    </w:rPr>
                    <w:t>含电源适配器及安装支架</w:t>
                  </w:r>
                  <w:r>
                    <w:br/>
                  </w:r>
                  <w:r>
                    <w:rPr>
                      <w:rFonts w:ascii="仿宋_GB2312" w:hAnsi="仿宋_GB2312" w:cs="仿宋_GB2312" w:eastAsia="仿宋_GB2312"/>
                      <w:sz w:val="24"/>
                    </w:rPr>
                    <w:t>功能要求：</w:t>
                  </w:r>
                  <w:r>
                    <w:br/>
                  </w:r>
                  <w:r>
                    <w:rPr>
                      <w:rFonts w:ascii="仿宋_GB2312" w:hAnsi="仿宋_GB2312" w:cs="仿宋_GB2312" w:eastAsia="仿宋_GB2312"/>
                      <w:sz w:val="24"/>
                    </w:rPr>
                    <w:t>1、具有485外接温湿度传感器。</w:t>
                  </w:r>
                  <w:r>
                    <w:br/>
                  </w:r>
                  <w:r>
                    <w:rPr>
                      <w:rFonts w:ascii="仿宋_GB2312" w:hAnsi="仿宋_GB2312" w:cs="仿宋_GB2312" w:eastAsia="仿宋_GB2312"/>
                      <w:sz w:val="24"/>
                    </w:rPr>
                    <w:t>2、具有OSD叠加温湿度数据。</w:t>
                  </w:r>
                  <w:r>
                    <w:br/>
                  </w:r>
                  <w:r>
                    <w:rPr>
                      <w:rFonts w:ascii="仿宋_GB2312" w:hAnsi="仿宋_GB2312" w:cs="仿宋_GB2312" w:eastAsia="仿宋_GB2312"/>
                      <w:sz w:val="24"/>
                    </w:rPr>
                    <w:t>3、具有温度、湿度上下限阈值设置。</w:t>
                  </w:r>
                  <w:r>
                    <w:br/>
                  </w:r>
                  <w:r>
                    <w:rPr>
                      <w:rFonts w:ascii="仿宋_GB2312" w:hAnsi="仿宋_GB2312" w:cs="仿宋_GB2312" w:eastAsia="仿宋_GB2312"/>
                      <w:sz w:val="24"/>
                    </w:rPr>
                    <w:t>4、具有超阈值事件上报间隔设置。</w:t>
                  </w:r>
                  <w:r>
                    <w:br/>
                  </w:r>
                  <w:r>
                    <w:rPr>
                      <w:rFonts w:ascii="仿宋_GB2312" w:hAnsi="仿宋_GB2312" w:cs="仿宋_GB2312" w:eastAsia="仿宋_GB2312"/>
                      <w:sz w:val="24"/>
                    </w:rPr>
                    <w:t>5、具有超阈值告警后，通过I/O报警输出到外接的报警音柱，实现语音播报。</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208</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312"/>
                  <w:vMerge/>
                  <w:tcBorders>
                    <w:top w:val="none" w:color="000000" w:sz="4"/>
                    <w:left w:val="none" w:color="000000" w:sz="4"/>
                    <w:bottom w:val="none" w:color="000000" w:sz="4"/>
                    <w:right w:val="single" w:color="000000" w:sz="4"/>
                  </w:tcBorders>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烟感监测</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技术参数：</w:t>
                  </w:r>
                  <w:r>
                    <w:br/>
                  </w:r>
                  <w:r>
                    <w:rPr>
                      <w:rFonts w:ascii="仿宋_GB2312" w:hAnsi="仿宋_GB2312" w:cs="仿宋_GB2312" w:eastAsia="仿宋_GB2312"/>
                      <w:sz w:val="24"/>
                    </w:rPr>
                    <w:t>耐压耐流：耐压</w:t>
                  </w:r>
                  <w:r>
                    <w:rPr>
                      <w:rFonts w:ascii="仿宋_GB2312" w:hAnsi="仿宋_GB2312" w:cs="仿宋_GB2312" w:eastAsia="仿宋_GB2312"/>
                      <w:sz w:val="24"/>
                    </w:rPr>
                    <w:t>24VDC、耐流:3A</w:t>
                  </w:r>
                  <w:r>
                    <w:br/>
                  </w:r>
                  <w:r>
                    <w:rPr>
                      <w:rFonts w:ascii="仿宋_GB2312" w:hAnsi="仿宋_GB2312" w:cs="仿宋_GB2312" w:eastAsia="仿宋_GB2312"/>
                      <w:sz w:val="24"/>
                    </w:rPr>
                    <w:t>报警输出：</w:t>
                  </w:r>
                  <w:r>
                    <w:rPr>
                      <w:rFonts w:ascii="仿宋_GB2312" w:hAnsi="仿宋_GB2312" w:cs="仿宋_GB2312" w:eastAsia="仿宋_GB2312"/>
                      <w:sz w:val="24"/>
                    </w:rPr>
                    <w:t>IO输出（常闭NC/常开NO可选），具有防拆报警</w:t>
                  </w:r>
                  <w:r>
                    <w:br/>
                  </w:r>
                  <w:r>
                    <w:rPr>
                      <w:rFonts w:ascii="仿宋_GB2312" w:hAnsi="仿宋_GB2312" w:cs="仿宋_GB2312" w:eastAsia="仿宋_GB2312"/>
                      <w:sz w:val="24"/>
                    </w:rPr>
                    <w:t>使用环境：室内；安装方式：吸顶</w:t>
                  </w:r>
                  <w:r>
                    <w:br/>
                  </w:r>
                  <w:r>
                    <w:rPr>
                      <w:rFonts w:ascii="仿宋_GB2312" w:hAnsi="仿宋_GB2312" w:cs="仿宋_GB2312" w:eastAsia="仿宋_GB2312"/>
                      <w:sz w:val="24"/>
                    </w:rPr>
                    <w:t>工作电源：</w:t>
                  </w:r>
                  <w:r>
                    <w:rPr>
                      <w:rFonts w:ascii="仿宋_GB2312" w:hAnsi="仿宋_GB2312" w:cs="仿宋_GB2312" w:eastAsia="仿宋_GB2312"/>
                      <w:sz w:val="24"/>
                    </w:rPr>
                    <w:t>DC12V/10mA（宽压9-30V DC）</w:t>
                  </w:r>
                  <w:r>
                    <w:br/>
                  </w:r>
                  <w:r>
                    <w:rPr>
                      <w:rFonts w:ascii="仿宋_GB2312" w:hAnsi="仿宋_GB2312" w:cs="仿宋_GB2312" w:eastAsia="仿宋_GB2312"/>
                      <w:sz w:val="24"/>
                    </w:rPr>
                    <w:t>工作温度：</w:t>
                  </w:r>
                  <w:r>
                    <w:rPr>
                      <w:rFonts w:ascii="仿宋_GB2312" w:hAnsi="仿宋_GB2312" w:cs="仿宋_GB2312" w:eastAsia="仿宋_GB2312"/>
                      <w:sz w:val="24"/>
                    </w:rPr>
                    <w:t>-10 °C 至 55°C</w:t>
                  </w:r>
                  <w:r>
                    <w:br/>
                  </w:r>
                  <w:r>
                    <w:rPr>
                      <w:rFonts w:ascii="仿宋_GB2312" w:hAnsi="仿宋_GB2312" w:cs="仿宋_GB2312" w:eastAsia="仿宋_GB2312"/>
                      <w:sz w:val="24"/>
                    </w:rPr>
                    <w:t>工作湿度：</w:t>
                  </w:r>
                  <w:r>
                    <w:rPr>
                      <w:rFonts w:ascii="仿宋_GB2312" w:hAnsi="仿宋_GB2312" w:cs="仿宋_GB2312" w:eastAsia="仿宋_GB2312"/>
                      <w:sz w:val="24"/>
                    </w:rPr>
                    <w:t>10% 至 90%</w:t>
                  </w:r>
                  <w:r>
                    <w:br/>
                  </w:r>
                  <w:r>
                    <w:rPr>
                      <w:rFonts w:ascii="仿宋_GB2312" w:hAnsi="仿宋_GB2312" w:cs="仿宋_GB2312" w:eastAsia="仿宋_GB2312"/>
                      <w:sz w:val="24"/>
                    </w:rPr>
                    <w:t>功能要求：</w:t>
                  </w:r>
                  <w:r>
                    <w:br/>
                  </w:r>
                  <w:r>
                    <w:rPr>
                      <w:rFonts w:ascii="仿宋_GB2312" w:hAnsi="仿宋_GB2312" w:cs="仿宋_GB2312" w:eastAsia="仿宋_GB2312"/>
                      <w:sz w:val="24"/>
                    </w:rPr>
                    <w:t>探测技术：采用光电感应原理，经过微处理器分析判断火灾产生时的烟雾，输出报警信息</w:t>
                  </w:r>
                  <w:r>
                    <w:br/>
                  </w:r>
                  <w:r>
                    <w:rPr>
                      <w:rFonts w:ascii="仿宋_GB2312" w:hAnsi="仿宋_GB2312" w:cs="仿宋_GB2312" w:eastAsia="仿宋_GB2312"/>
                      <w:sz w:val="24"/>
                    </w:rPr>
                    <w:t>消防认证：满足</w:t>
                  </w:r>
                  <w:r>
                    <w:rPr>
                      <w:rFonts w:ascii="仿宋_GB2312" w:hAnsi="仿宋_GB2312" w:cs="仿宋_GB2312" w:eastAsia="仿宋_GB2312"/>
                      <w:sz w:val="24"/>
                    </w:rPr>
                    <w:t>CCCF消防认证</w:t>
                  </w:r>
                  <w:r>
                    <w:br/>
                  </w:r>
                  <w:r>
                    <w:rPr>
                      <w:rFonts w:ascii="仿宋_GB2312" w:hAnsi="仿宋_GB2312" w:cs="仿宋_GB2312" w:eastAsia="仿宋_GB2312"/>
                      <w:sz w:val="24"/>
                    </w:rPr>
                    <w:t>声光报警：内置声光报警器，烟雾不散，声光不消</w:t>
                  </w:r>
                  <w:r>
                    <w:br/>
                  </w:r>
                  <w:r>
                    <w:rPr>
                      <w:rFonts w:ascii="仿宋_GB2312" w:hAnsi="仿宋_GB2312" w:cs="仿宋_GB2312" w:eastAsia="仿宋_GB2312"/>
                      <w:sz w:val="24"/>
                    </w:rPr>
                    <w:t>防虫防干扰：采用光学迷宫设计，防尘、防虫、抗光线干扰、避免误报</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208</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312"/>
                  <w:vMerge/>
                  <w:tcBorders>
                    <w:top w:val="none" w:color="000000" w:sz="4"/>
                    <w:left w:val="none" w:color="000000" w:sz="4"/>
                    <w:bottom w:val="none" w:color="000000" w:sz="4"/>
                    <w:right w:val="single" w:color="000000" w:sz="4"/>
                  </w:tcBorders>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温湿度监测</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带屏温湿度，自带屏幕显示，防过压、防过流、防静电</w:t>
                  </w:r>
                  <w:r>
                    <w:br/>
                  </w:r>
                  <w:r>
                    <w:rPr>
                      <w:rFonts w:ascii="仿宋_GB2312" w:hAnsi="仿宋_GB2312" w:cs="仿宋_GB2312" w:eastAsia="仿宋_GB2312"/>
                      <w:sz w:val="24"/>
                    </w:rPr>
                    <w:t>温度检测程</w:t>
                  </w:r>
                  <w:r>
                    <w:rPr>
                      <w:rFonts w:ascii="仿宋_GB2312" w:hAnsi="仿宋_GB2312" w:cs="仿宋_GB2312" w:eastAsia="仿宋_GB2312"/>
                      <w:sz w:val="24"/>
                    </w:rPr>
                    <w:t>-10℃-50℃；精度≤±0.3℃@25℃，分辨率不低于0.1℃</w:t>
                  </w:r>
                  <w:r>
                    <w:br/>
                  </w:r>
                  <w:r>
                    <w:rPr>
                      <w:rFonts w:ascii="仿宋_GB2312" w:hAnsi="仿宋_GB2312" w:cs="仿宋_GB2312" w:eastAsia="仿宋_GB2312"/>
                      <w:sz w:val="24"/>
                    </w:rPr>
                    <w:t>湿度检测：量程</w:t>
                  </w:r>
                  <w:r>
                    <w:rPr>
                      <w:rFonts w:ascii="仿宋_GB2312" w:hAnsi="仿宋_GB2312" w:cs="仿宋_GB2312" w:eastAsia="仿宋_GB2312"/>
                      <w:sz w:val="24"/>
                    </w:rPr>
                    <w:t xml:space="preserve">0-100%RH ，精度≤±2%@20%RH~80%RH，分辨率不低于 0.1%RH </w:t>
                  </w:r>
                  <w:r>
                    <w:br/>
                  </w:r>
                  <w:r>
                    <w:rPr>
                      <w:rFonts w:ascii="仿宋_GB2312" w:hAnsi="仿宋_GB2312" w:cs="仿宋_GB2312" w:eastAsia="仿宋_GB2312"/>
                      <w:sz w:val="24"/>
                    </w:rPr>
                    <w:t>电源输入：</w:t>
                  </w:r>
                  <w:r>
                    <w:rPr>
                      <w:rFonts w:ascii="仿宋_GB2312" w:hAnsi="仿宋_GB2312" w:cs="仿宋_GB2312" w:eastAsia="仿宋_GB2312"/>
                      <w:sz w:val="24"/>
                    </w:rPr>
                    <w:t>DC 12V</w:t>
                  </w:r>
                  <w:r>
                    <w:br/>
                  </w:r>
                  <w:r>
                    <w:rPr>
                      <w:rFonts w:ascii="仿宋_GB2312" w:hAnsi="仿宋_GB2312" w:cs="仿宋_GB2312" w:eastAsia="仿宋_GB2312"/>
                      <w:sz w:val="24"/>
                    </w:rPr>
                    <w:t>设备接口：</w:t>
                  </w:r>
                  <w:r>
                    <w:rPr>
                      <w:rFonts w:ascii="仿宋_GB2312" w:hAnsi="仿宋_GB2312" w:cs="仿宋_GB2312" w:eastAsia="仿宋_GB2312"/>
                      <w:sz w:val="24"/>
                    </w:rPr>
                    <w:t>RS485接口</w:t>
                  </w:r>
                  <w:r>
                    <w:br/>
                  </w:r>
                  <w:r>
                    <w:rPr>
                      <w:rFonts w:ascii="仿宋_GB2312" w:hAnsi="仿宋_GB2312" w:cs="仿宋_GB2312" w:eastAsia="仿宋_GB2312"/>
                      <w:sz w:val="24"/>
                    </w:rPr>
                    <w:t>防护等级：</w:t>
                  </w:r>
                  <w:r>
                    <w:rPr>
                      <w:rFonts w:ascii="仿宋_GB2312" w:hAnsi="仿宋_GB2312" w:cs="仿宋_GB2312" w:eastAsia="仿宋_GB2312"/>
                      <w:sz w:val="24"/>
                    </w:rPr>
                    <w:t>≥IP43</w:t>
                  </w:r>
                  <w:r>
                    <w:br/>
                  </w:r>
                  <w:r>
                    <w:rPr>
                      <w:rFonts w:ascii="仿宋_GB2312" w:hAnsi="仿宋_GB2312" w:cs="仿宋_GB2312" w:eastAsia="仿宋_GB2312"/>
                      <w:sz w:val="24"/>
                    </w:rPr>
                    <w:t>材质：</w:t>
                  </w:r>
                  <w:r>
                    <w:rPr>
                      <w:rFonts w:ascii="仿宋_GB2312" w:hAnsi="仿宋_GB2312" w:cs="仿宋_GB2312" w:eastAsia="仿宋_GB2312"/>
                      <w:sz w:val="24"/>
                    </w:rPr>
                    <w:t>ABS</w:t>
                  </w:r>
                  <w:r>
                    <w:br/>
                  </w:r>
                  <w:r>
                    <w:rPr>
                      <w:rFonts w:ascii="仿宋_GB2312" w:hAnsi="仿宋_GB2312" w:cs="仿宋_GB2312" w:eastAsia="仿宋_GB2312"/>
                      <w:sz w:val="24"/>
                    </w:rPr>
                    <w:t>安装方式：壁装</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208</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312"/>
                  <w:vMerge/>
                  <w:tcBorders>
                    <w:top w:val="none" w:color="000000" w:sz="4"/>
                    <w:left w:val="none" w:color="000000" w:sz="4"/>
                    <w:bottom w:val="none" w:color="000000" w:sz="4"/>
                    <w:right w:val="single" w:color="000000" w:sz="4"/>
                  </w:tcBorders>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网络机柜</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600*600*2200，冷轧钢板（国标）</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208</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c>
                <w:tcPr>
                  <w:tcW w:type="dxa" w:w="312"/>
                  <w:vMerge/>
                  <w:tcBorders>
                    <w:top w:val="none" w:color="000000" w:sz="4"/>
                    <w:left w:val="none" w:color="000000" w:sz="4"/>
                    <w:bottom w:val="none" w:color="000000" w:sz="4"/>
                    <w:right w:val="single" w:color="000000" w:sz="4"/>
                  </w:tcBorders>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手提式二氧化碳灭火器</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MT/2</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208</w:t>
                  </w:r>
                </w:p>
              </w:tc>
            </w:tr>
          </w:tbl>
          <w:p>
            <w:pPr>
              <w:pStyle w:val="null3"/>
              <w:jc w:val="both"/>
            </w:pPr>
            <w:r>
              <w:rPr>
                <w:rFonts w:ascii="仿宋_GB2312" w:hAnsi="仿宋_GB2312" w:cs="仿宋_GB2312" w:eastAsia="仿宋_GB2312"/>
                <w:sz w:val="24"/>
                <w:color w:val="000000"/>
              </w:rPr>
              <w:t>3、动环监测系统要求</w:t>
            </w:r>
          </w:p>
          <w:p>
            <w:pPr>
              <w:pStyle w:val="null3"/>
              <w:ind w:firstLine="480"/>
              <w:jc w:val="both"/>
            </w:pPr>
            <w:r>
              <w:rPr>
                <w:rFonts w:ascii="仿宋_GB2312" w:hAnsi="仿宋_GB2312" w:cs="仿宋_GB2312" w:eastAsia="仿宋_GB2312"/>
                <w:sz w:val="24"/>
                <w:color w:val="000000"/>
              </w:rPr>
              <w:t>整合数据中心机房及园区视频监控，接入一套监测系统，统一监测，统一管理。</w:t>
            </w:r>
          </w:p>
          <w:p>
            <w:pPr>
              <w:pStyle w:val="null3"/>
              <w:ind w:firstLine="480"/>
              <w:jc w:val="both"/>
            </w:pPr>
            <w:r>
              <w:rPr>
                <w:rFonts w:ascii="仿宋_GB2312" w:hAnsi="仿宋_GB2312" w:cs="仿宋_GB2312" w:eastAsia="仿宋_GB2312"/>
                <w:sz w:val="24"/>
                <w:color w:val="000000"/>
              </w:rPr>
              <w:t>对于行政办公园区</w:t>
            </w:r>
            <w:r>
              <w:rPr>
                <w:rFonts w:ascii="仿宋_GB2312" w:hAnsi="仿宋_GB2312" w:cs="仿宋_GB2312" w:eastAsia="仿宋_GB2312"/>
                <w:sz w:val="24"/>
                <w:color w:val="000000"/>
              </w:rPr>
              <w:t>208个</w:t>
            </w:r>
            <w:r>
              <w:rPr>
                <w:rFonts w:ascii="仿宋_GB2312" w:hAnsi="仿宋_GB2312" w:cs="仿宋_GB2312" w:eastAsia="仿宋_GB2312"/>
                <w:sz w:val="24"/>
                <w:color w:val="000000"/>
              </w:rPr>
              <w:t>弱电间提供智能化运维监测服务，实现对弱电间烟、视频、温度等指标的实时监测及异常告警，同时提供故障处理、弱电间巡检、传感器更换、版本升级、应急演练等运维工作。</w:t>
            </w:r>
          </w:p>
          <w:p>
            <w:pPr>
              <w:pStyle w:val="null3"/>
              <w:ind w:firstLine="480"/>
              <w:jc w:val="both"/>
            </w:pPr>
            <w:r>
              <w:rPr>
                <w:rFonts w:ascii="仿宋_GB2312" w:hAnsi="仿宋_GB2312" w:cs="仿宋_GB2312" w:eastAsia="仿宋_GB2312"/>
                <w:sz w:val="24"/>
                <w:color w:val="000000"/>
              </w:rPr>
              <w:t>具体指标要求如下：</w:t>
            </w:r>
          </w:p>
          <w:p>
            <w:pPr>
              <w:pStyle w:val="null3"/>
              <w:ind w:firstLine="480"/>
              <w:jc w:val="both"/>
            </w:pPr>
            <w:r>
              <w:rPr>
                <w:rFonts w:ascii="仿宋_GB2312" w:hAnsi="仿宋_GB2312" w:cs="仿宋_GB2312" w:eastAsia="仿宋_GB2312"/>
                <w:sz w:val="24"/>
              </w:rPr>
              <w:t>1.视频监测系统</w:t>
            </w:r>
          </w:p>
          <w:p>
            <w:pPr>
              <w:pStyle w:val="null3"/>
              <w:ind w:firstLine="480"/>
              <w:jc w:val="both"/>
            </w:pPr>
            <w:r>
              <w:rPr>
                <w:rFonts w:ascii="仿宋_GB2312" w:hAnsi="仿宋_GB2312" w:cs="仿宋_GB2312" w:eastAsia="仿宋_GB2312"/>
                <w:sz w:val="24"/>
              </w:rPr>
              <w:t>a.画质标准：需具有 200万像素（1080P） 实时传输，低照度环境下（≤0.01Lux）仍能清晰识别人员面部特征。视频流编码采用H.265，带宽占用≤4Mbps/路，存储保留≥90天。</w:t>
            </w:r>
          </w:p>
          <w:p>
            <w:pPr>
              <w:pStyle w:val="null3"/>
              <w:ind w:firstLine="480"/>
              <w:jc w:val="both"/>
            </w:pPr>
            <w:r>
              <w:rPr>
                <w:rFonts w:ascii="仿宋_GB2312" w:hAnsi="仿宋_GB2312" w:cs="仿宋_GB2312" w:eastAsia="仿宋_GB2312"/>
                <w:sz w:val="24"/>
              </w:rPr>
              <w:t>b</w:t>
            </w:r>
            <w:r>
              <w:rPr>
                <w:rFonts w:ascii="仿宋_GB2312" w:hAnsi="仿宋_GB2312" w:cs="仿宋_GB2312" w:eastAsia="仿宋_GB2312"/>
                <w:sz w:val="24"/>
              </w:rPr>
              <w:t>.智能分析：需具备异常行为检测（如人员滞留、物品遗留）和 人脸识别（与门禁系统联动）。</w:t>
            </w:r>
          </w:p>
          <w:p>
            <w:pPr>
              <w:pStyle w:val="null3"/>
              <w:ind w:firstLine="480"/>
              <w:jc w:val="both"/>
            </w:pPr>
            <w:r>
              <w:rPr>
                <w:rFonts w:ascii="仿宋_GB2312" w:hAnsi="仿宋_GB2312" w:cs="仿宋_GB2312" w:eastAsia="仿宋_GB2312"/>
                <w:sz w:val="24"/>
              </w:rPr>
              <w:t>c.可靠性：≥99.99%</w:t>
            </w:r>
          </w:p>
          <w:p>
            <w:pPr>
              <w:pStyle w:val="null3"/>
              <w:ind w:firstLine="480"/>
              <w:jc w:val="both"/>
            </w:pPr>
            <w:r>
              <w:rPr>
                <w:rFonts w:ascii="仿宋_GB2312" w:hAnsi="仿宋_GB2312" w:cs="仿宋_GB2312" w:eastAsia="仿宋_GB2312"/>
                <w:sz w:val="24"/>
              </w:rPr>
              <w:t>2.环境监测系统</w:t>
            </w:r>
          </w:p>
          <w:p>
            <w:pPr>
              <w:pStyle w:val="null3"/>
              <w:ind w:firstLine="480"/>
              <w:jc w:val="both"/>
            </w:pPr>
            <w:r>
              <w:rPr>
                <w:rFonts w:ascii="仿宋_GB2312" w:hAnsi="仿宋_GB2312" w:cs="仿宋_GB2312" w:eastAsia="仿宋_GB2312"/>
                <w:sz w:val="24"/>
              </w:rPr>
              <w:t>a.监测精度：温度±0.5℃、湿度±3% RH，漏水定位精度≤1米（感应绳式），配电系统监测需包含 三相不平衡度（≤15%）、谐波畸变率（THD≤5%）。</w:t>
            </w:r>
          </w:p>
          <w:p>
            <w:pPr>
              <w:pStyle w:val="null3"/>
              <w:ind w:firstLine="480"/>
              <w:jc w:val="both"/>
            </w:pPr>
            <w:r>
              <w:rPr>
                <w:rFonts w:ascii="仿宋_GB2312" w:hAnsi="仿宋_GB2312" w:cs="仿宋_GB2312" w:eastAsia="仿宋_GB2312"/>
                <w:sz w:val="24"/>
              </w:rPr>
              <w:t>b.报警响应：从异常发生到告警推送≤10秒，具有 多级报警（短信/声光/工单系统）。</w:t>
            </w:r>
          </w:p>
          <w:p>
            <w:pPr>
              <w:pStyle w:val="null3"/>
              <w:ind w:firstLine="480"/>
              <w:jc w:val="both"/>
            </w:pPr>
            <w:r>
              <w:rPr>
                <w:rFonts w:ascii="仿宋_GB2312" w:hAnsi="仿宋_GB2312" w:cs="仿宋_GB2312" w:eastAsia="仿宋_GB2312"/>
                <w:sz w:val="24"/>
              </w:rPr>
              <w:t>c.可靠性：≥99.95%</w:t>
            </w:r>
          </w:p>
          <w:p>
            <w:pPr>
              <w:pStyle w:val="null3"/>
              <w:ind w:firstLine="480"/>
              <w:jc w:val="both"/>
            </w:pPr>
            <w:r>
              <w:rPr>
                <w:rFonts w:ascii="仿宋_GB2312" w:hAnsi="仿宋_GB2312" w:cs="仿宋_GB2312" w:eastAsia="仿宋_GB2312"/>
                <w:sz w:val="24"/>
              </w:rPr>
              <w:t>3.门禁系统</w:t>
            </w:r>
          </w:p>
          <w:p>
            <w:pPr>
              <w:pStyle w:val="null3"/>
              <w:ind w:firstLine="480"/>
              <w:jc w:val="both"/>
            </w:pPr>
            <w:r>
              <w:rPr>
                <w:rFonts w:ascii="仿宋_GB2312" w:hAnsi="仿宋_GB2312" w:cs="仿宋_GB2312" w:eastAsia="仿宋_GB2312"/>
                <w:sz w:val="24"/>
              </w:rPr>
              <w:t>a.权限管理：具有多因子认证（刷卡+人脸+密码），权限可细分至 单个机柜，开门记录留存≥180天，具有反潜回和尾随报警。</w:t>
            </w:r>
          </w:p>
          <w:p>
            <w:pPr>
              <w:pStyle w:val="null3"/>
              <w:ind w:firstLine="480"/>
              <w:jc w:val="both"/>
            </w:pPr>
            <w:r>
              <w:rPr>
                <w:rFonts w:ascii="仿宋_GB2312" w:hAnsi="仿宋_GB2312" w:cs="仿宋_GB2312" w:eastAsia="仿宋_GB2312"/>
                <w:sz w:val="24"/>
              </w:rPr>
              <w:t>b.可靠性：≥99.9%</w:t>
            </w:r>
          </w:p>
          <w:p>
            <w:pPr>
              <w:pStyle w:val="null3"/>
              <w:ind w:firstLine="480"/>
              <w:jc w:val="both"/>
            </w:pPr>
            <w:r>
              <w:rPr>
                <w:rFonts w:ascii="仿宋_GB2312" w:hAnsi="仿宋_GB2312" w:cs="仿宋_GB2312" w:eastAsia="仿宋_GB2312"/>
                <w:sz w:val="24"/>
              </w:rPr>
              <w:t>4、具备平台管理能力且满足</w:t>
            </w:r>
            <w:r>
              <w:rPr>
                <w:rFonts w:ascii="仿宋_GB2312" w:hAnsi="仿宋_GB2312" w:cs="仿宋_GB2312" w:eastAsia="仿宋_GB2312"/>
                <w:sz w:val="24"/>
              </w:rPr>
              <w:t>视频</w:t>
            </w:r>
            <w:r>
              <w:rPr>
                <w:rFonts w:ascii="仿宋_GB2312" w:hAnsi="仿宋_GB2312" w:cs="仿宋_GB2312" w:eastAsia="仿宋_GB2312"/>
                <w:sz w:val="24"/>
              </w:rPr>
              <w:t>存储需求。</w:t>
            </w:r>
          </w:p>
          <w:p>
            <w:pPr>
              <w:pStyle w:val="null3"/>
              <w:numPr>
                <w:ilvl w:val="3"/>
                <w:numId w:val="2"/>
              </w:numPr>
            </w:pPr>
            <w:r>
              <w:rPr>
                <w:rFonts w:ascii="仿宋_GB2312" w:hAnsi="仿宋_GB2312" w:cs="仿宋_GB2312" w:eastAsia="仿宋_GB2312"/>
                <w:sz w:val="24"/>
                <w:b/>
              </w:rPr>
              <w:t>空调新风</w:t>
            </w:r>
            <w:r>
              <w:rPr>
                <w:rFonts w:ascii="仿宋_GB2312" w:hAnsi="仿宋_GB2312" w:cs="仿宋_GB2312" w:eastAsia="仿宋_GB2312"/>
                <w:sz w:val="24"/>
                <w:b/>
              </w:rPr>
              <w:t>服务</w:t>
            </w:r>
          </w:p>
          <w:p>
            <w:pPr>
              <w:pStyle w:val="null3"/>
              <w:ind w:firstLine="480"/>
              <w:jc w:val="both"/>
            </w:pPr>
            <w:r>
              <w:rPr>
                <w:rFonts w:ascii="仿宋_GB2312" w:hAnsi="仿宋_GB2312" w:cs="仿宋_GB2312" w:eastAsia="仿宋_GB2312"/>
                <w:sz w:val="24"/>
              </w:rPr>
              <w:t>空调</w:t>
            </w:r>
            <w:r>
              <w:rPr>
                <w:rFonts w:ascii="仿宋_GB2312" w:hAnsi="仿宋_GB2312" w:cs="仿宋_GB2312" w:eastAsia="仿宋_GB2312"/>
                <w:sz w:val="24"/>
              </w:rPr>
              <w:t>新风</w:t>
            </w:r>
            <w:r>
              <w:rPr>
                <w:rFonts w:ascii="仿宋_GB2312" w:hAnsi="仿宋_GB2312" w:cs="仿宋_GB2312" w:eastAsia="仿宋_GB2312"/>
                <w:sz w:val="24"/>
              </w:rPr>
              <w:t>系统针对数据中心核心机房、灾备机房、屏蔽机房、托管机房等</w:t>
            </w:r>
            <w:r>
              <w:rPr>
                <w:rFonts w:ascii="仿宋_GB2312" w:hAnsi="仿宋_GB2312" w:cs="仿宋_GB2312" w:eastAsia="仿宋_GB2312"/>
                <w:sz w:val="24"/>
              </w:rPr>
              <w:t>306架设备机柜的运维服务</w:t>
            </w:r>
            <w:r>
              <w:rPr>
                <w:rFonts w:ascii="仿宋_GB2312" w:hAnsi="仿宋_GB2312" w:cs="仿宋_GB2312" w:eastAsia="仿宋_GB2312"/>
                <w:sz w:val="24"/>
              </w:rPr>
              <w:t>，</w:t>
            </w:r>
            <w:r>
              <w:rPr>
                <w:rFonts w:ascii="仿宋_GB2312" w:hAnsi="仿宋_GB2312" w:cs="仿宋_GB2312" w:eastAsia="仿宋_GB2312"/>
                <w:sz w:val="24"/>
              </w:rPr>
              <w:t>包含对相关设备做故障诊断、现场测试及相关故障排除，设备发生的所有故障均由</w:t>
            </w:r>
            <w:r>
              <w:rPr>
                <w:rFonts w:ascii="仿宋_GB2312" w:hAnsi="仿宋_GB2312" w:cs="仿宋_GB2312" w:eastAsia="仿宋_GB2312"/>
                <w:sz w:val="24"/>
              </w:rPr>
              <w:t>现场</w:t>
            </w:r>
            <w:r>
              <w:rPr>
                <w:rFonts w:ascii="仿宋_GB2312" w:hAnsi="仿宋_GB2312" w:cs="仿宋_GB2312" w:eastAsia="仿宋_GB2312"/>
                <w:sz w:val="24"/>
              </w:rPr>
              <w:t>人员协助原厂商负责修复，同时提供</w:t>
            </w:r>
            <w:r>
              <w:rPr>
                <w:rFonts w:ascii="仿宋_GB2312" w:hAnsi="仿宋_GB2312" w:cs="仿宋_GB2312" w:eastAsia="仿宋_GB2312"/>
                <w:sz w:val="24"/>
              </w:rPr>
              <w:t>7*24小时专人咨询及应急服务热线。根据故障等级（四级）提供完善的服务方案。</w:t>
            </w:r>
          </w:p>
          <w:p>
            <w:pPr>
              <w:pStyle w:val="null3"/>
              <w:numPr>
                <w:ilvl w:val="0"/>
                <w:numId w:val="2"/>
              </w:numPr>
              <w:jc w:val="both"/>
            </w:pPr>
            <w:r>
              <w:rPr>
                <w:rFonts w:ascii="仿宋_GB2312" w:hAnsi="仿宋_GB2312" w:cs="仿宋_GB2312" w:eastAsia="仿宋_GB2312"/>
                <w:sz w:val="24"/>
              </w:rPr>
              <w:t>维保服务清单</w:t>
            </w:r>
          </w:p>
          <w:tbl>
            <w:tblPr>
              <w:tblBorders>
                <w:top w:val="none" w:color="000000" w:sz="4"/>
                <w:left w:val="none" w:color="000000" w:sz="4"/>
                <w:bottom w:val="none" w:color="000000" w:sz="4"/>
                <w:right w:val="none" w:color="000000" w:sz="4"/>
                <w:insideH w:val="none"/>
                <w:insideV w:val="none"/>
              </w:tblBorders>
            </w:tblPr>
            <w:tblGrid>
              <w:gridCol w:w="163"/>
              <w:gridCol w:w="492"/>
              <w:gridCol w:w="344"/>
              <w:gridCol w:w="833"/>
              <w:gridCol w:w="382"/>
              <w:gridCol w:w="338"/>
            </w:tblGrid>
            <w:tr>
              <w:tc>
                <w:tcPr>
                  <w:tcW w:type="dxa" w:w="1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4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名称</w:t>
                  </w:r>
                </w:p>
              </w:tc>
              <w:tc>
                <w:tcPr>
                  <w:tcW w:type="dxa" w:w="3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品牌</w:t>
                  </w:r>
                </w:p>
              </w:tc>
              <w:tc>
                <w:tcPr>
                  <w:tcW w:type="dxa" w:w="8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型号</w:t>
                  </w:r>
                </w:p>
              </w:tc>
              <w:tc>
                <w:tcPr>
                  <w:tcW w:type="dxa" w:w="3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3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精密空调</w:t>
                  </w:r>
                  <w:r>
                    <w:rPr>
                      <w:rFonts w:ascii="仿宋_GB2312" w:hAnsi="仿宋_GB2312" w:cs="仿宋_GB2312" w:eastAsia="仿宋_GB2312"/>
                      <w:sz w:val="24"/>
                      <w:color w:val="000000"/>
                    </w:rPr>
                    <w:t>K4</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维谛</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P3100FARMS1R</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精密空调</w:t>
                  </w:r>
                  <w:r>
                    <w:rPr>
                      <w:rFonts w:ascii="仿宋_GB2312" w:hAnsi="仿宋_GB2312" w:cs="仿宋_GB2312" w:eastAsia="仿宋_GB2312"/>
                      <w:sz w:val="24"/>
                      <w:color w:val="000000"/>
                    </w:rPr>
                    <w:t>K5</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维谛</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P3100FARMS1R</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精密空调</w:t>
                  </w:r>
                  <w:r>
                    <w:rPr>
                      <w:rFonts w:ascii="仿宋_GB2312" w:hAnsi="仿宋_GB2312" w:cs="仿宋_GB2312" w:eastAsia="仿宋_GB2312"/>
                      <w:sz w:val="24"/>
                      <w:color w:val="000000"/>
                    </w:rPr>
                    <w:t>K6</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维谛</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P3100FARMS1R</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精密空调</w:t>
                  </w:r>
                  <w:r>
                    <w:rPr>
                      <w:rFonts w:ascii="仿宋_GB2312" w:hAnsi="仿宋_GB2312" w:cs="仿宋_GB2312" w:eastAsia="仿宋_GB2312"/>
                      <w:sz w:val="24"/>
                      <w:color w:val="000000"/>
                    </w:rPr>
                    <w:t>K7</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维谛</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P3100FARMS1R</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精密空调</w:t>
                  </w:r>
                  <w:r>
                    <w:rPr>
                      <w:rFonts w:ascii="仿宋_GB2312" w:hAnsi="仿宋_GB2312" w:cs="仿宋_GB2312" w:eastAsia="仿宋_GB2312"/>
                      <w:sz w:val="24"/>
                      <w:color w:val="000000"/>
                    </w:rPr>
                    <w:t>K8</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维谛</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P3100FARMS1R</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精密空调</w:t>
                  </w:r>
                  <w:r>
                    <w:rPr>
                      <w:rFonts w:ascii="仿宋_GB2312" w:hAnsi="仿宋_GB2312" w:cs="仿宋_GB2312" w:eastAsia="仿宋_GB2312"/>
                      <w:sz w:val="24"/>
                      <w:color w:val="000000"/>
                    </w:rPr>
                    <w:t>K9</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维谛</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P3100FARMS1R</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精密空调</w:t>
                  </w:r>
                  <w:r>
                    <w:rPr>
                      <w:rFonts w:ascii="仿宋_GB2312" w:hAnsi="仿宋_GB2312" w:cs="仿宋_GB2312" w:eastAsia="仿宋_GB2312"/>
                      <w:sz w:val="24"/>
                      <w:color w:val="000000"/>
                    </w:rPr>
                    <w:t>K10</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维谛</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P3100FARMS1R</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精密空调</w:t>
                  </w:r>
                  <w:r>
                    <w:rPr>
                      <w:rFonts w:ascii="仿宋_GB2312" w:hAnsi="仿宋_GB2312" w:cs="仿宋_GB2312" w:eastAsia="仿宋_GB2312"/>
                      <w:sz w:val="24"/>
                      <w:color w:val="000000"/>
                    </w:rPr>
                    <w:t>K11</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维谛</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P3100FARMS1R</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精密空调</w:t>
                  </w:r>
                  <w:r>
                    <w:rPr>
                      <w:rFonts w:ascii="仿宋_GB2312" w:hAnsi="仿宋_GB2312" w:cs="仿宋_GB2312" w:eastAsia="仿宋_GB2312"/>
                      <w:sz w:val="24"/>
                      <w:color w:val="000000"/>
                    </w:rPr>
                    <w:t>K12</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维谛</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P3100FARMS1R</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精密空调</w:t>
                  </w:r>
                  <w:r>
                    <w:rPr>
                      <w:rFonts w:ascii="仿宋_GB2312" w:hAnsi="仿宋_GB2312" w:cs="仿宋_GB2312" w:eastAsia="仿宋_GB2312"/>
                      <w:sz w:val="24"/>
                      <w:color w:val="000000"/>
                    </w:rPr>
                    <w:t>K13</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维谛</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P3100FARMS1R</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精密空调</w:t>
                  </w:r>
                  <w:r>
                    <w:rPr>
                      <w:rFonts w:ascii="仿宋_GB2312" w:hAnsi="仿宋_GB2312" w:cs="仿宋_GB2312" w:eastAsia="仿宋_GB2312"/>
                      <w:sz w:val="24"/>
                      <w:color w:val="000000"/>
                    </w:rPr>
                    <w:t>K14</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维谛</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P3100FARMS1R</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精密空调（新空调）</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维谛</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P2100DA13FHL</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精密空调</w:t>
                  </w:r>
                  <w:r>
                    <w:rPr>
                      <w:rFonts w:ascii="仿宋_GB2312" w:hAnsi="仿宋_GB2312" w:cs="仿宋_GB2312" w:eastAsia="仿宋_GB2312"/>
                      <w:sz w:val="24"/>
                      <w:color w:val="000000"/>
                    </w:rPr>
                    <w:t>K15</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维谛</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P3100FARMS1R</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精密空调</w:t>
                  </w:r>
                  <w:r>
                    <w:rPr>
                      <w:rFonts w:ascii="仿宋_GB2312" w:hAnsi="仿宋_GB2312" w:cs="仿宋_GB2312" w:eastAsia="仿宋_GB2312"/>
                      <w:sz w:val="24"/>
                      <w:color w:val="000000"/>
                    </w:rPr>
                    <w:t>K16</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维谛</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P3100FARMS1R</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精密空调</w:t>
                  </w:r>
                  <w:r>
                    <w:rPr>
                      <w:rFonts w:ascii="仿宋_GB2312" w:hAnsi="仿宋_GB2312" w:cs="仿宋_GB2312" w:eastAsia="仿宋_GB2312"/>
                      <w:sz w:val="24"/>
                      <w:color w:val="000000"/>
                    </w:rPr>
                    <w:t>KI7</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维谛</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P3100FARMS1R</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精密空调</w:t>
                  </w:r>
                  <w:r>
                    <w:rPr>
                      <w:rFonts w:ascii="仿宋_GB2312" w:hAnsi="仿宋_GB2312" w:cs="仿宋_GB2312" w:eastAsia="仿宋_GB2312"/>
                      <w:sz w:val="24"/>
                      <w:color w:val="000000"/>
                    </w:rPr>
                    <w:t>K18</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维谛</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P3080FAPMS2R</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精密空调</w:t>
                  </w:r>
                  <w:r>
                    <w:rPr>
                      <w:rFonts w:ascii="仿宋_GB2312" w:hAnsi="仿宋_GB2312" w:cs="仿宋_GB2312" w:eastAsia="仿宋_GB2312"/>
                      <w:sz w:val="24"/>
                      <w:color w:val="000000"/>
                    </w:rPr>
                    <w:t>K19</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维谛</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P3100FARMS1R</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精密空调</w:t>
                  </w:r>
                  <w:r>
                    <w:rPr>
                      <w:rFonts w:ascii="仿宋_GB2312" w:hAnsi="仿宋_GB2312" w:cs="仿宋_GB2312" w:eastAsia="仿宋_GB2312"/>
                      <w:sz w:val="24"/>
                      <w:color w:val="000000"/>
                    </w:rPr>
                    <w:t>K20</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维谛</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P3100FARMS1R</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精密空调</w:t>
                  </w:r>
                  <w:r>
                    <w:rPr>
                      <w:rFonts w:ascii="仿宋_GB2312" w:hAnsi="仿宋_GB2312" w:cs="仿宋_GB2312" w:eastAsia="仿宋_GB2312"/>
                      <w:sz w:val="24"/>
                      <w:color w:val="000000"/>
                    </w:rPr>
                    <w:t>K21</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维谛</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P3100FARMS1R</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南电池室柜式空调</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维谛</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P1020UAZMR1R</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北电池室柜式空调</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维谛</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P1020UAZMR1R</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舒适性空调</w:t>
                  </w:r>
                  <w:r>
                    <w:rPr>
                      <w:rFonts w:ascii="仿宋_GB2312" w:hAnsi="仿宋_GB2312" w:cs="仿宋_GB2312" w:eastAsia="仿宋_GB2312"/>
                      <w:sz w:val="24"/>
                      <w:color w:val="000000"/>
                    </w:rPr>
                    <w:t>1</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大金</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FXFP28LVC</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舒适性空调</w:t>
                  </w:r>
                  <w:r>
                    <w:rPr>
                      <w:rFonts w:ascii="仿宋_GB2312" w:hAnsi="仿宋_GB2312" w:cs="仿宋_GB2312" w:eastAsia="仿宋_GB2312"/>
                      <w:sz w:val="24"/>
                      <w:color w:val="000000"/>
                    </w:rPr>
                    <w:t>2</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大金</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FXFP28LVC</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舒适性空调</w:t>
                  </w:r>
                  <w:r>
                    <w:rPr>
                      <w:rFonts w:ascii="仿宋_GB2312" w:hAnsi="仿宋_GB2312" w:cs="仿宋_GB2312" w:eastAsia="仿宋_GB2312"/>
                      <w:sz w:val="24"/>
                      <w:color w:val="000000"/>
                    </w:rPr>
                    <w:t>3</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大金</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FXFP45LVC</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舒适性空调</w:t>
                  </w:r>
                  <w:r>
                    <w:rPr>
                      <w:rFonts w:ascii="仿宋_GB2312" w:hAnsi="仿宋_GB2312" w:cs="仿宋_GB2312" w:eastAsia="仿宋_GB2312"/>
                      <w:sz w:val="24"/>
                      <w:color w:val="000000"/>
                    </w:rPr>
                    <w:t>4</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大金</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FXFP45LVC</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舒适性空调</w:t>
                  </w:r>
                  <w:r>
                    <w:rPr>
                      <w:rFonts w:ascii="仿宋_GB2312" w:hAnsi="仿宋_GB2312" w:cs="仿宋_GB2312" w:eastAsia="仿宋_GB2312"/>
                      <w:sz w:val="24"/>
                      <w:color w:val="000000"/>
                    </w:rPr>
                    <w:t>5</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大金</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FXFP71LVC</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舒适性空调</w:t>
                  </w:r>
                  <w:r>
                    <w:rPr>
                      <w:rFonts w:ascii="仿宋_GB2312" w:hAnsi="仿宋_GB2312" w:cs="仿宋_GB2312" w:eastAsia="仿宋_GB2312"/>
                      <w:sz w:val="24"/>
                      <w:color w:val="000000"/>
                    </w:rPr>
                    <w:t>6</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大金</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FXFP71LVC</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舒适性空调</w:t>
                  </w:r>
                  <w:r>
                    <w:rPr>
                      <w:rFonts w:ascii="仿宋_GB2312" w:hAnsi="仿宋_GB2312" w:cs="仿宋_GB2312" w:eastAsia="仿宋_GB2312"/>
                      <w:sz w:val="24"/>
                      <w:color w:val="000000"/>
                    </w:rPr>
                    <w:t>7</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大金</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FXFP71LVC</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舒适性空调</w:t>
                  </w:r>
                  <w:r>
                    <w:rPr>
                      <w:rFonts w:ascii="仿宋_GB2312" w:hAnsi="仿宋_GB2312" w:cs="仿宋_GB2312" w:eastAsia="仿宋_GB2312"/>
                      <w:sz w:val="24"/>
                      <w:color w:val="000000"/>
                    </w:rPr>
                    <w:t>8</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大金</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FXFP71LVC</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新风</w:t>
                  </w:r>
                  <w:r>
                    <w:rPr>
                      <w:rFonts w:ascii="仿宋_GB2312" w:hAnsi="仿宋_GB2312" w:cs="仿宋_GB2312" w:eastAsia="仿宋_GB2312"/>
                      <w:sz w:val="24"/>
                      <w:color w:val="000000"/>
                    </w:rPr>
                    <w:t>1</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大金</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VAM1000GMVE</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新风</w:t>
                  </w:r>
                  <w:r>
                    <w:rPr>
                      <w:rFonts w:ascii="仿宋_GB2312" w:hAnsi="仿宋_GB2312" w:cs="仿宋_GB2312" w:eastAsia="仿宋_GB2312"/>
                      <w:sz w:val="24"/>
                      <w:color w:val="000000"/>
                    </w:rPr>
                    <w:t>2</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大金</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VAM1000GMVE</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新风</w:t>
                  </w:r>
                  <w:r>
                    <w:rPr>
                      <w:rFonts w:ascii="仿宋_GB2312" w:hAnsi="仿宋_GB2312" w:cs="仿宋_GB2312" w:eastAsia="仿宋_GB2312"/>
                      <w:sz w:val="24"/>
                      <w:color w:val="000000"/>
                    </w:rPr>
                    <w:t>3</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大金</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VAM1000GMVE</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新风</w:t>
                  </w:r>
                  <w:r>
                    <w:rPr>
                      <w:rFonts w:ascii="仿宋_GB2312" w:hAnsi="仿宋_GB2312" w:cs="仿宋_GB2312" w:eastAsia="仿宋_GB2312"/>
                      <w:sz w:val="24"/>
                      <w:color w:val="000000"/>
                    </w:rPr>
                    <w:t>4</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大金</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VAM1000GMVE</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新风</w:t>
                  </w:r>
                  <w:r>
                    <w:rPr>
                      <w:rFonts w:ascii="仿宋_GB2312" w:hAnsi="仿宋_GB2312" w:cs="仿宋_GB2312" w:eastAsia="仿宋_GB2312"/>
                      <w:sz w:val="24"/>
                      <w:color w:val="000000"/>
                    </w:rPr>
                    <w:t>5</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大金</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VAM1000GMVE</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新风</w:t>
                  </w:r>
                  <w:r>
                    <w:rPr>
                      <w:rFonts w:ascii="仿宋_GB2312" w:hAnsi="仿宋_GB2312" w:cs="仿宋_GB2312" w:eastAsia="仿宋_GB2312"/>
                      <w:sz w:val="24"/>
                      <w:color w:val="000000"/>
                    </w:rPr>
                    <w:t>6</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大金</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VAM1000GMVE</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精密空调</w:t>
                  </w:r>
                  <w:r>
                    <w:rPr>
                      <w:rFonts w:ascii="仿宋_GB2312" w:hAnsi="仿宋_GB2312" w:cs="仿宋_GB2312" w:eastAsia="仿宋_GB2312"/>
                      <w:sz w:val="24"/>
                      <w:color w:val="000000"/>
                    </w:rPr>
                    <w:t>1</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世图斯</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CSD652A</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w:t>
                  </w:r>
                </w:p>
              </w:tc>
              <w:tc>
                <w:tcPr>
                  <w:tcW w:type="dxa" w:w="4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精密空调</w:t>
                  </w:r>
                  <w:r>
                    <w:rPr>
                      <w:rFonts w:ascii="仿宋_GB2312" w:hAnsi="仿宋_GB2312" w:cs="仿宋_GB2312" w:eastAsia="仿宋_GB2312"/>
                      <w:sz w:val="24"/>
                      <w:color w:val="000000"/>
                    </w:rPr>
                    <w:t>2</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世图斯</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CSD652A</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6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c>
                <w:tcPr>
                  <w:tcW w:type="dxa" w:w="49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备品备件</w:t>
                  </w:r>
                </w:p>
              </w:tc>
              <w:tc>
                <w:tcPr>
                  <w:tcW w:type="dxa" w:w="3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制冷核心部件</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压缩机：</w:t>
                  </w:r>
                  <w:r>
                    <w:rPr>
                      <w:rFonts w:ascii="仿宋_GB2312" w:hAnsi="仿宋_GB2312" w:cs="仿宋_GB2312" w:eastAsia="仿宋_GB2312"/>
                      <w:sz w:val="24"/>
                      <w:color w:val="000000"/>
                    </w:rPr>
                    <w:t>2台，规格要求：涡旋式</w:t>
                  </w:r>
                </w:p>
              </w:tc>
              <w:tc>
                <w:tcPr>
                  <w:tcW w:type="dxa" w:w="3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3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63"/>
                  <w:vMerge/>
                  <w:tcBorders>
                    <w:top w:val="none" w:color="000000" w:sz="4"/>
                    <w:left w:val="single" w:color="000000" w:sz="4"/>
                    <w:bottom w:val="single" w:color="000000" w:sz="4"/>
                    <w:right w:val="single" w:color="000000" w:sz="4"/>
                  </w:tcBorders>
                </w:tcPr>
                <w:p/>
              </w:tc>
              <w:tc>
                <w:tcPr>
                  <w:tcW w:type="dxa" w:w="492"/>
                  <w:vMerge/>
                  <w:tcBorders>
                    <w:top w:val="none" w:color="000000" w:sz="4"/>
                    <w:left w:val="none" w:color="000000" w:sz="4"/>
                    <w:bottom w:val="single" w:color="000000" w:sz="4"/>
                    <w:right w:val="single" w:color="000000" w:sz="4"/>
                  </w:tcBorders>
                </w:tcPr>
                <w:p/>
              </w:tc>
              <w:tc>
                <w:tcPr>
                  <w:tcW w:type="dxa" w:w="344"/>
                  <w:vMerge/>
                  <w:tcBorders>
                    <w:top w:val="none" w:color="000000" w:sz="4"/>
                    <w:left w:val="none" w:color="000000" w:sz="4"/>
                    <w:bottom w:val="single" w:color="000000" w:sz="4"/>
                    <w:right w:val="single" w:color="000000" w:sz="4"/>
                  </w:tcBorders>
                </w:tcP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冷凝风机：</w:t>
                  </w:r>
                  <w:r>
                    <w:rPr>
                      <w:rFonts w:ascii="仿宋_GB2312" w:hAnsi="仿宋_GB2312" w:cs="仿宋_GB2312" w:eastAsia="仿宋_GB2312"/>
                      <w:sz w:val="24"/>
                      <w:color w:val="000000"/>
                    </w:rPr>
                    <w:t>4套，规格要求：轴流式/EC电机</w:t>
                  </w:r>
                </w:p>
              </w:tc>
              <w:tc>
                <w:tcPr>
                  <w:tcW w:type="dxa" w:w="382"/>
                  <w:vMerge/>
                  <w:tcBorders>
                    <w:top w:val="none" w:color="000000" w:sz="4"/>
                    <w:left w:val="none" w:color="000000" w:sz="4"/>
                    <w:bottom w:val="single" w:color="000000" w:sz="4"/>
                    <w:right w:val="single" w:color="000000" w:sz="4"/>
                  </w:tcBorders>
                </w:tcPr>
                <w:p/>
              </w:tc>
              <w:tc>
                <w:tcPr>
                  <w:tcW w:type="dxa" w:w="338"/>
                  <w:vMerge/>
                  <w:tcBorders>
                    <w:top w:val="none" w:color="000000" w:sz="4"/>
                    <w:left w:val="none" w:color="000000" w:sz="4"/>
                    <w:bottom w:val="single" w:color="000000" w:sz="4"/>
                    <w:right w:val="single" w:color="000000" w:sz="4"/>
                  </w:tcBorders>
                </w:tcPr>
                <w:p/>
              </w:tc>
            </w:tr>
            <w:tr>
              <w:tc>
                <w:tcPr>
                  <w:tcW w:type="dxa" w:w="163"/>
                  <w:vMerge/>
                  <w:tcBorders>
                    <w:top w:val="none" w:color="000000" w:sz="4"/>
                    <w:left w:val="single" w:color="000000" w:sz="4"/>
                    <w:bottom w:val="single" w:color="000000" w:sz="4"/>
                    <w:right w:val="single" w:color="000000" w:sz="4"/>
                  </w:tcBorders>
                </w:tcPr>
                <w:p/>
              </w:tc>
              <w:tc>
                <w:tcPr>
                  <w:tcW w:type="dxa" w:w="492"/>
                  <w:vMerge/>
                  <w:tcBorders>
                    <w:top w:val="none" w:color="000000" w:sz="4"/>
                    <w:left w:val="none" w:color="000000" w:sz="4"/>
                    <w:bottom w:val="single" w:color="000000" w:sz="4"/>
                    <w:right w:val="single" w:color="000000" w:sz="4"/>
                  </w:tcBorders>
                </w:tcPr>
                <w:p/>
              </w:tc>
              <w:tc>
                <w:tcPr>
                  <w:tcW w:type="dxa" w:w="3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电气控制系统</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主控制板：</w:t>
                  </w:r>
                  <w:r>
                    <w:rPr>
                      <w:rFonts w:ascii="仿宋_GB2312" w:hAnsi="仿宋_GB2312" w:cs="仿宋_GB2312" w:eastAsia="仿宋_GB2312"/>
                      <w:sz w:val="24"/>
                      <w:color w:val="000000"/>
                    </w:rPr>
                    <w:t>2套，规格要求：原厂同型号</w:t>
                  </w:r>
                </w:p>
              </w:tc>
              <w:tc>
                <w:tcPr>
                  <w:tcW w:type="dxa" w:w="382"/>
                  <w:vMerge/>
                  <w:tcBorders>
                    <w:top w:val="none" w:color="000000" w:sz="4"/>
                    <w:left w:val="none" w:color="000000" w:sz="4"/>
                    <w:bottom w:val="single" w:color="000000" w:sz="4"/>
                    <w:right w:val="single" w:color="000000" w:sz="4"/>
                  </w:tcBorders>
                </w:tcPr>
                <w:p/>
              </w:tc>
              <w:tc>
                <w:tcPr>
                  <w:tcW w:type="dxa" w:w="338"/>
                  <w:vMerge/>
                  <w:tcBorders>
                    <w:top w:val="none" w:color="000000" w:sz="4"/>
                    <w:left w:val="none" w:color="000000" w:sz="4"/>
                    <w:bottom w:val="single" w:color="000000" w:sz="4"/>
                    <w:right w:val="single" w:color="000000" w:sz="4"/>
                  </w:tcBorders>
                </w:tcPr>
                <w:p/>
              </w:tc>
            </w:tr>
            <w:tr>
              <w:tc>
                <w:tcPr>
                  <w:tcW w:type="dxa" w:w="163"/>
                  <w:vMerge/>
                  <w:tcBorders>
                    <w:top w:val="none" w:color="000000" w:sz="4"/>
                    <w:left w:val="single" w:color="000000" w:sz="4"/>
                    <w:bottom w:val="single" w:color="000000" w:sz="4"/>
                    <w:right w:val="single" w:color="000000" w:sz="4"/>
                  </w:tcBorders>
                </w:tcPr>
                <w:p/>
              </w:tc>
              <w:tc>
                <w:tcPr>
                  <w:tcW w:type="dxa" w:w="492"/>
                  <w:vMerge/>
                  <w:tcBorders>
                    <w:top w:val="none" w:color="000000" w:sz="4"/>
                    <w:left w:val="none" w:color="000000" w:sz="4"/>
                    <w:bottom w:val="single" w:color="000000" w:sz="4"/>
                    <w:right w:val="single" w:color="000000" w:sz="4"/>
                  </w:tcBorders>
                </w:tcPr>
                <w:p/>
              </w:tc>
              <w:tc>
                <w:tcPr>
                  <w:tcW w:type="dxa" w:w="344"/>
                  <w:vMerge/>
                  <w:tcBorders>
                    <w:top w:val="none" w:color="000000" w:sz="4"/>
                    <w:left w:val="none" w:color="000000" w:sz="4"/>
                    <w:bottom w:val="single" w:color="000000" w:sz="4"/>
                    <w:right w:val="single" w:color="000000" w:sz="4"/>
                  </w:tcBorders>
                </w:tcP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温度传感器</w:t>
                  </w:r>
                  <w:r>
                    <w:rPr>
                      <w:rFonts w:ascii="仿宋_GB2312" w:hAnsi="仿宋_GB2312" w:cs="仿宋_GB2312" w:eastAsia="仿宋_GB2312"/>
                      <w:sz w:val="24"/>
                      <w:color w:val="000000"/>
                    </w:rPr>
                    <w:t>:10个，规格要求：原厂同型号</w:t>
                  </w:r>
                </w:p>
              </w:tc>
              <w:tc>
                <w:tcPr>
                  <w:tcW w:type="dxa" w:w="382"/>
                  <w:vMerge/>
                  <w:tcBorders>
                    <w:top w:val="none" w:color="000000" w:sz="4"/>
                    <w:left w:val="none" w:color="000000" w:sz="4"/>
                    <w:bottom w:val="single" w:color="000000" w:sz="4"/>
                    <w:right w:val="single" w:color="000000" w:sz="4"/>
                  </w:tcBorders>
                </w:tcPr>
                <w:p/>
              </w:tc>
              <w:tc>
                <w:tcPr>
                  <w:tcW w:type="dxa" w:w="338"/>
                  <w:vMerge/>
                  <w:tcBorders>
                    <w:top w:val="none" w:color="000000" w:sz="4"/>
                    <w:left w:val="none" w:color="000000" w:sz="4"/>
                    <w:bottom w:val="single" w:color="000000" w:sz="4"/>
                    <w:right w:val="single" w:color="000000" w:sz="4"/>
                  </w:tcBorders>
                </w:tcPr>
                <w:p/>
              </w:tc>
            </w:tr>
            <w:tr>
              <w:tc>
                <w:tcPr>
                  <w:tcW w:type="dxa" w:w="163"/>
                  <w:vMerge/>
                  <w:tcBorders>
                    <w:top w:val="none" w:color="000000" w:sz="4"/>
                    <w:left w:val="single" w:color="000000" w:sz="4"/>
                    <w:bottom w:val="single" w:color="000000" w:sz="4"/>
                    <w:right w:val="single" w:color="000000" w:sz="4"/>
                  </w:tcBorders>
                </w:tcPr>
                <w:p/>
              </w:tc>
              <w:tc>
                <w:tcPr>
                  <w:tcW w:type="dxa" w:w="492"/>
                  <w:vMerge/>
                  <w:tcBorders>
                    <w:top w:val="none" w:color="000000" w:sz="4"/>
                    <w:left w:val="none" w:color="000000" w:sz="4"/>
                    <w:bottom w:val="single" w:color="000000" w:sz="4"/>
                    <w:right w:val="single" w:color="000000" w:sz="4"/>
                  </w:tcBorders>
                </w:tcPr>
                <w:p/>
              </w:tc>
              <w:tc>
                <w:tcPr>
                  <w:tcW w:type="dxa" w:w="344"/>
                  <w:vMerge/>
                  <w:tcBorders>
                    <w:top w:val="none" w:color="000000" w:sz="4"/>
                    <w:left w:val="none" w:color="000000" w:sz="4"/>
                    <w:bottom w:val="single" w:color="000000" w:sz="4"/>
                    <w:right w:val="single" w:color="000000" w:sz="4"/>
                  </w:tcBorders>
                </w:tcP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接触器：</w:t>
                  </w:r>
                  <w:r>
                    <w:rPr>
                      <w:rFonts w:ascii="仿宋_GB2312" w:hAnsi="仿宋_GB2312" w:cs="仿宋_GB2312" w:eastAsia="仿宋_GB2312"/>
                      <w:sz w:val="24"/>
                      <w:color w:val="000000"/>
                    </w:rPr>
                    <w:t>6个，规格要求：原厂同型号</w:t>
                  </w:r>
                </w:p>
              </w:tc>
              <w:tc>
                <w:tcPr>
                  <w:tcW w:type="dxa" w:w="382"/>
                  <w:vMerge/>
                  <w:tcBorders>
                    <w:top w:val="none" w:color="000000" w:sz="4"/>
                    <w:left w:val="none" w:color="000000" w:sz="4"/>
                    <w:bottom w:val="single" w:color="000000" w:sz="4"/>
                    <w:right w:val="single" w:color="000000" w:sz="4"/>
                  </w:tcBorders>
                </w:tcPr>
                <w:p/>
              </w:tc>
              <w:tc>
                <w:tcPr>
                  <w:tcW w:type="dxa" w:w="338"/>
                  <w:vMerge/>
                  <w:tcBorders>
                    <w:top w:val="none" w:color="000000" w:sz="4"/>
                    <w:left w:val="none" w:color="000000" w:sz="4"/>
                    <w:bottom w:val="single" w:color="000000" w:sz="4"/>
                    <w:right w:val="single" w:color="000000" w:sz="4"/>
                  </w:tcBorders>
                </w:tcPr>
                <w:p/>
              </w:tc>
            </w:tr>
            <w:tr>
              <w:tc>
                <w:tcPr>
                  <w:tcW w:type="dxa" w:w="163"/>
                  <w:vMerge/>
                  <w:tcBorders>
                    <w:top w:val="none" w:color="000000" w:sz="4"/>
                    <w:left w:val="single" w:color="000000" w:sz="4"/>
                    <w:bottom w:val="single" w:color="000000" w:sz="4"/>
                    <w:right w:val="single" w:color="000000" w:sz="4"/>
                  </w:tcBorders>
                </w:tcPr>
                <w:p/>
              </w:tc>
              <w:tc>
                <w:tcPr>
                  <w:tcW w:type="dxa" w:w="492"/>
                  <w:vMerge/>
                  <w:tcBorders>
                    <w:top w:val="none" w:color="000000" w:sz="4"/>
                    <w:left w:val="none" w:color="000000" w:sz="4"/>
                    <w:bottom w:val="single" w:color="000000" w:sz="4"/>
                    <w:right w:val="single" w:color="000000" w:sz="4"/>
                  </w:tcBorders>
                </w:tcPr>
                <w:p/>
              </w:tc>
              <w:tc>
                <w:tcPr>
                  <w:tcW w:type="dxa" w:w="34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新风系统</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初效过滤器：</w:t>
                  </w:r>
                  <w:r>
                    <w:rPr>
                      <w:rFonts w:ascii="仿宋_GB2312" w:hAnsi="仿宋_GB2312" w:cs="仿宋_GB2312" w:eastAsia="仿宋_GB2312"/>
                      <w:sz w:val="24"/>
                      <w:color w:val="000000"/>
                    </w:rPr>
                    <w:t>20片，规格要求：G4级</w:t>
                  </w:r>
                </w:p>
              </w:tc>
              <w:tc>
                <w:tcPr>
                  <w:tcW w:type="dxa" w:w="382"/>
                  <w:vMerge/>
                  <w:tcBorders>
                    <w:top w:val="none" w:color="000000" w:sz="4"/>
                    <w:left w:val="none" w:color="000000" w:sz="4"/>
                    <w:bottom w:val="single" w:color="000000" w:sz="4"/>
                    <w:right w:val="single" w:color="000000" w:sz="4"/>
                  </w:tcBorders>
                </w:tcPr>
                <w:p/>
              </w:tc>
              <w:tc>
                <w:tcPr>
                  <w:tcW w:type="dxa" w:w="338"/>
                  <w:vMerge/>
                  <w:tcBorders>
                    <w:top w:val="none" w:color="000000" w:sz="4"/>
                    <w:left w:val="none" w:color="000000" w:sz="4"/>
                    <w:bottom w:val="single" w:color="000000" w:sz="4"/>
                    <w:right w:val="single" w:color="000000" w:sz="4"/>
                  </w:tcBorders>
                </w:tcPr>
                <w:p/>
              </w:tc>
            </w:tr>
            <w:tr>
              <w:tc>
                <w:tcPr>
                  <w:tcW w:type="dxa" w:w="163"/>
                  <w:vMerge/>
                  <w:tcBorders>
                    <w:top w:val="none" w:color="000000" w:sz="4"/>
                    <w:left w:val="single" w:color="000000" w:sz="4"/>
                    <w:bottom w:val="single" w:color="000000" w:sz="4"/>
                    <w:right w:val="single" w:color="000000" w:sz="4"/>
                  </w:tcBorders>
                </w:tcPr>
                <w:p/>
              </w:tc>
              <w:tc>
                <w:tcPr>
                  <w:tcW w:type="dxa" w:w="492"/>
                  <w:vMerge/>
                  <w:tcBorders>
                    <w:top w:val="none" w:color="000000" w:sz="4"/>
                    <w:left w:val="none" w:color="000000" w:sz="4"/>
                    <w:bottom w:val="single" w:color="000000" w:sz="4"/>
                    <w:right w:val="single" w:color="000000" w:sz="4"/>
                  </w:tcBorders>
                </w:tcPr>
                <w:p/>
              </w:tc>
              <w:tc>
                <w:tcPr>
                  <w:tcW w:type="dxa" w:w="344"/>
                  <w:vMerge/>
                  <w:tcBorders>
                    <w:top w:val="none" w:color="000000" w:sz="4"/>
                    <w:left w:val="none" w:color="000000" w:sz="4"/>
                    <w:bottom w:val="single" w:color="000000" w:sz="4"/>
                    <w:right w:val="single" w:color="000000" w:sz="4"/>
                  </w:tcBorders>
                </w:tcP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化学过滤器：</w:t>
                  </w:r>
                  <w:r>
                    <w:rPr>
                      <w:rFonts w:ascii="仿宋_GB2312" w:hAnsi="仿宋_GB2312" w:cs="仿宋_GB2312" w:eastAsia="仿宋_GB2312"/>
                      <w:sz w:val="24"/>
                      <w:color w:val="000000"/>
                    </w:rPr>
                    <w:t>10片，规格要求：活性炭+氧化铝复合型</w:t>
                  </w:r>
                </w:p>
              </w:tc>
              <w:tc>
                <w:tcPr>
                  <w:tcW w:type="dxa" w:w="382"/>
                  <w:vMerge/>
                  <w:tcBorders>
                    <w:top w:val="none" w:color="000000" w:sz="4"/>
                    <w:left w:val="none" w:color="000000" w:sz="4"/>
                    <w:bottom w:val="single" w:color="000000" w:sz="4"/>
                    <w:right w:val="single" w:color="000000" w:sz="4"/>
                  </w:tcBorders>
                </w:tcPr>
                <w:p/>
              </w:tc>
              <w:tc>
                <w:tcPr>
                  <w:tcW w:type="dxa" w:w="338"/>
                  <w:vMerge/>
                  <w:tcBorders>
                    <w:top w:val="none" w:color="000000" w:sz="4"/>
                    <w:left w:val="none" w:color="000000" w:sz="4"/>
                    <w:bottom w:val="single" w:color="000000" w:sz="4"/>
                    <w:right w:val="single" w:color="000000" w:sz="4"/>
                  </w:tcBorders>
                </w:tcPr>
                <w:p/>
              </w:tc>
            </w:tr>
            <w:tr>
              <w:tc>
                <w:tcPr>
                  <w:tcW w:type="dxa" w:w="163"/>
                  <w:vMerge/>
                  <w:tcBorders>
                    <w:top w:val="none" w:color="000000" w:sz="4"/>
                    <w:left w:val="single" w:color="000000" w:sz="4"/>
                    <w:bottom w:val="single" w:color="000000" w:sz="4"/>
                    <w:right w:val="single" w:color="000000" w:sz="4"/>
                  </w:tcBorders>
                </w:tcPr>
                <w:p/>
              </w:tc>
              <w:tc>
                <w:tcPr>
                  <w:tcW w:type="dxa" w:w="492"/>
                  <w:vMerge/>
                  <w:tcBorders>
                    <w:top w:val="none" w:color="000000" w:sz="4"/>
                    <w:left w:val="none" w:color="000000" w:sz="4"/>
                    <w:bottom w:val="single" w:color="000000" w:sz="4"/>
                    <w:right w:val="single" w:color="000000" w:sz="4"/>
                  </w:tcBorders>
                </w:tcPr>
                <w:p/>
              </w:tc>
              <w:tc>
                <w:tcPr>
                  <w:tcW w:type="dxa" w:w="344"/>
                  <w:vMerge/>
                  <w:tcBorders>
                    <w:top w:val="none" w:color="000000" w:sz="4"/>
                    <w:left w:val="none" w:color="000000" w:sz="4"/>
                    <w:bottom w:val="single" w:color="000000" w:sz="4"/>
                    <w:right w:val="single" w:color="000000" w:sz="4"/>
                  </w:tcBorders>
                </w:tcP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风阀执行器：</w:t>
                  </w:r>
                  <w:r>
                    <w:rPr>
                      <w:rFonts w:ascii="仿宋_GB2312" w:hAnsi="仿宋_GB2312" w:cs="仿宋_GB2312" w:eastAsia="仿宋_GB2312"/>
                      <w:sz w:val="24"/>
                      <w:color w:val="000000"/>
                    </w:rPr>
                    <w:t>4台，规格要求：0-90°角行程</w:t>
                  </w:r>
                </w:p>
              </w:tc>
              <w:tc>
                <w:tcPr>
                  <w:tcW w:type="dxa" w:w="382"/>
                  <w:vMerge/>
                  <w:tcBorders>
                    <w:top w:val="none" w:color="000000" w:sz="4"/>
                    <w:left w:val="none" w:color="000000" w:sz="4"/>
                    <w:bottom w:val="single" w:color="000000" w:sz="4"/>
                    <w:right w:val="single" w:color="000000" w:sz="4"/>
                  </w:tcBorders>
                </w:tcPr>
                <w:p/>
              </w:tc>
              <w:tc>
                <w:tcPr>
                  <w:tcW w:type="dxa" w:w="338"/>
                  <w:vMerge/>
                  <w:tcBorders>
                    <w:top w:val="none" w:color="000000" w:sz="4"/>
                    <w:left w:val="none" w:color="000000" w:sz="4"/>
                    <w:bottom w:val="single" w:color="000000" w:sz="4"/>
                    <w:right w:val="single" w:color="000000" w:sz="4"/>
                  </w:tcBorders>
                </w:tcPr>
                <w:p/>
              </w:tc>
            </w:tr>
            <w:tr>
              <w:tc>
                <w:tcPr>
                  <w:tcW w:type="dxa" w:w="163"/>
                  <w:vMerge/>
                  <w:tcBorders>
                    <w:top w:val="none" w:color="000000" w:sz="4"/>
                    <w:left w:val="single" w:color="000000" w:sz="4"/>
                    <w:bottom w:val="single" w:color="000000" w:sz="4"/>
                    <w:right w:val="single" w:color="000000" w:sz="4"/>
                  </w:tcBorders>
                </w:tcPr>
                <w:p/>
              </w:tc>
              <w:tc>
                <w:tcPr>
                  <w:tcW w:type="dxa" w:w="492"/>
                  <w:vMerge/>
                  <w:tcBorders>
                    <w:top w:val="none" w:color="000000" w:sz="4"/>
                    <w:left w:val="none" w:color="000000" w:sz="4"/>
                    <w:bottom w:val="single" w:color="000000" w:sz="4"/>
                    <w:right w:val="single" w:color="000000" w:sz="4"/>
                  </w:tcBorders>
                </w:tcPr>
                <w:p/>
              </w:tc>
              <w:tc>
                <w:tcPr>
                  <w:tcW w:type="dxa" w:w="344"/>
                  <w:vMerge/>
                  <w:tcBorders>
                    <w:top w:val="none" w:color="000000" w:sz="4"/>
                    <w:left w:val="none" w:color="000000" w:sz="4"/>
                    <w:bottom w:val="single" w:color="000000" w:sz="4"/>
                    <w:right w:val="single" w:color="000000" w:sz="4"/>
                  </w:tcBorders>
                </w:tcP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粉尘传感器：</w:t>
                  </w:r>
                  <w:r>
                    <w:rPr>
                      <w:rFonts w:ascii="仿宋_GB2312" w:hAnsi="仿宋_GB2312" w:cs="仿宋_GB2312" w:eastAsia="仿宋_GB2312"/>
                      <w:sz w:val="24"/>
                      <w:color w:val="000000"/>
                    </w:rPr>
                    <w:t>3个，规格要求：激光</w:t>
                  </w:r>
                </w:p>
              </w:tc>
              <w:tc>
                <w:tcPr>
                  <w:tcW w:type="dxa" w:w="382"/>
                  <w:vMerge/>
                  <w:tcBorders>
                    <w:top w:val="none" w:color="000000" w:sz="4"/>
                    <w:left w:val="none" w:color="000000" w:sz="4"/>
                    <w:bottom w:val="single" w:color="000000" w:sz="4"/>
                    <w:right w:val="single" w:color="000000" w:sz="4"/>
                  </w:tcBorders>
                </w:tcPr>
                <w:p/>
              </w:tc>
              <w:tc>
                <w:tcPr>
                  <w:tcW w:type="dxa" w:w="338"/>
                  <w:vMerge/>
                  <w:tcBorders>
                    <w:top w:val="none" w:color="000000" w:sz="4"/>
                    <w:left w:val="none" w:color="000000" w:sz="4"/>
                    <w:bottom w:val="single" w:color="000000" w:sz="4"/>
                    <w:right w:val="single" w:color="000000" w:sz="4"/>
                  </w:tcBorders>
                </w:tcPr>
                <w:p/>
              </w:tc>
            </w:tr>
            <w:tr>
              <w:tc>
                <w:tcPr>
                  <w:tcW w:type="dxa" w:w="163"/>
                  <w:vMerge/>
                  <w:tcBorders>
                    <w:top w:val="none" w:color="000000" w:sz="4"/>
                    <w:left w:val="single" w:color="000000" w:sz="4"/>
                    <w:bottom w:val="single" w:color="000000" w:sz="4"/>
                    <w:right w:val="single" w:color="000000" w:sz="4"/>
                  </w:tcBorders>
                </w:tcPr>
                <w:p/>
              </w:tc>
              <w:tc>
                <w:tcPr>
                  <w:tcW w:type="dxa" w:w="492"/>
                  <w:vMerge/>
                  <w:tcBorders>
                    <w:top w:val="none" w:color="000000" w:sz="4"/>
                    <w:left w:val="none" w:color="000000" w:sz="4"/>
                    <w:bottom w:val="single" w:color="000000" w:sz="4"/>
                    <w:right w:val="single" w:color="000000" w:sz="4"/>
                  </w:tcBorders>
                </w:tcPr>
                <w:p/>
              </w:tc>
              <w:tc>
                <w:tcPr>
                  <w:tcW w:type="dxa" w:w="344"/>
                  <w:vMerge/>
                  <w:tcBorders>
                    <w:top w:val="none" w:color="000000" w:sz="4"/>
                    <w:left w:val="none" w:color="000000" w:sz="4"/>
                    <w:bottom w:val="single" w:color="000000" w:sz="4"/>
                    <w:right w:val="single" w:color="000000" w:sz="4"/>
                  </w:tcBorders>
                </w:tcP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温湿度变送器：</w:t>
                  </w:r>
                  <w:r>
                    <w:rPr>
                      <w:rFonts w:ascii="仿宋_GB2312" w:hAnsi="仿宋_GB2312" w:cs="仿宋_GB2312" w:eastAsia="仿宋_GB2312"/>
                      <w:sz w:val="24"/>
                      <w:color w:val="000000"/>
                    </w:rPr>
                    <w:t>1个，规格要求：±1%RH/±0.3℃</w:t>
                  </w:r>
                </w:p>
              </w:tc>
              <w:tc>
                <w:tcPr>
                  <w:tcW w:type="dxa" w:w="382"/>
                  <w:vMerge/>
                  <w:tcBorders>
                    <w:top w:val="none" w:color="000000" w:sz="4"/>
                    <w:left w:val="none" w:color="000000" w:sz="4"/>
                    <w:bottom w:val="single" w:color="000000" w:sz="4"/>
                    <w:right w:val="single" w:color="000000" w:sz="4"/>
                  </w:tcBorders>
                </w:tcPr>
                <w:p/>
              </w:tc>
              <w:tc>
                <w:tcPr>
                  <w:tcW w:type="dxa" w:w="338"/>
                  <w:vMerge/>
                  <w:tcBorders>
                    <w:top w:val="none" w:color="000000" w:sz="4"/>
                    <w:left w:val="none" w:color="000000" w:sz="4"/>
                    <w:bottom w:val="single" w:color="000000" w:sz="4"/>
                    <w:right w:val="single" w:color="000000" w:sz="4"/>
                  </w:tcBorders>
                </w:tcPr>
                <w:p/>
              </w:tc>
            </w:tr>
          </w:tbl>
          <w:p>
            <w:pPr>
              <w:pStyle w:val="null3"/>
              <w:numPr>
                <w:ilvl w:val="0"/>
                <w:numId w:val="2"/>
              </w:numPr>
              <w:jc w:val="both"/>
            </w:pPr>
            <w:r>
              <w:rPr>
                <w:rFonts w:ascii="仿宋_GB2312" w:hAnsi="仿宋_GB2312" w:cs="仿宋_GB2312" w:eastAsia="仿宋_GB2312"/>
                <w:sz w:val="24"/>
              </w:rPr>
              <w:t>租赁服务清单</w:t>
            </w:r>
          </w:p>
          <w:tbl>
            <w:tblPr>
              <w:tblBorders>
                <w:top w:val="none" w:color="000000" w:sz="4"/>
                <w:left w:val="none" w:color="000000" w:sz="4"/>
                <w:bottom w:val="none" w:color="000000" w:sz="4"/>
                <w:right w:val="none" w:color="000000" w:sz="4"/>
                <w:insideH w:val="none"/>
                <w:insideV w:val="none"/>
              </w:tblBorders>
            </w:tblPr>
            <w:tblGrid>
              <w:gridCol w:w="188"/>
              <w:gridCol w:w="676"/>
              <w:gridCol w:w="1335"/>
              <w:gridCol w:w="164"/>
              <w:gridCol w:w="188"/>
            </w:tblGrid>
            <w:tr>
              <w:tc>
                <w:tcPr>
                  <w:tcW w:type="dxa" w:w="188"/>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676"/>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产品类型</w:t>
                  </w:r>
                </w:p>
              </w:tc>
              <w:tc>
                <w:tcPr>
                  <w:tcW w:type="dxa" w:w="1335"/>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技术参数</w:t>
                  </w:r>
                </w:p>
              </w:tc>
              <w:tc>
                <w:tcPr>
                  <w:tcW w:type="dxa" w:w="164"/>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188"/>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精密空调（南空调）</w:t>
                  </w:r>
                </w:p>
              </w:tc>
              <w:tc>
                <w:tcPr>
                  <w:tcW w:type="dxa" w:w="1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不低于以下参数</w:t>
                  </w:r>
                  <w:r>
                    <w:br/>
                  </w:r>
                  <w:r>
                    <w:rPr>
                      <w:rFonts w:ascii="仿宋_GB2312" w:hAnsi="仿宋_GB2312" w:cs="仿宋_GB2312" w:eastAsia="仿宋_GB2312"/>
                      <w:sz w:val="24"/>
                    </w:rPr>
                    <w:t>制冷量：</w:t>
                  </w:r>
                  <w:r>
                    <w:rPr>
                      <w:rFonts w:ascii="仿宋_GB2312" w:hAnsi="仿宋_GB2312" w:cs="仿宋_GB2312" w:eastAsia="仿宋_GB2312"/>
                      <w:sz w:val="24"/>
                    </w:rPr>
                    <w:t>100</w:t>
                  </w:r>
                  <w:r>
                    <w:br/>
                  </w:r>
                  <w:r>
                    <w:rPr>
                      <w:rFonts w:ascii="仿宋_GB2312" w:hAnsi="仿宋_GB2312" w:cs="仿宋_GB2312" w:eastAsia="仿宋_GB2312"/>
                      <w:sz w:val="24"/>
                    </w:rPr>
                    <w:t>显冷量：</w:t>
                  </w:r>
                  <w:r>
                    <w:rPr>
                      <w:rFonts w:ascii="仿宋_GB2312" w:hAnsi="仿宋_GB2312" w:cs="仿宋_GB2312" w:eastAsia="仿宋_GB2312"/>
                      <w:sz w:val="24"/>
                    </w:rPr>
                    <w:t>90</w:t>
                  </w:r>
                  <w:r>
                    <w:br/>
                  </w:r>
                  <w:r>
                    <w:rPr>
                      <w:rFonts w:ascii="仿宋_GB2312" w:hAnsi="仿宋_GB2312" w:cs="仿宋_GB2312" w:eastAsia="仿宋_GB2312"/>
                      <w:sz w:val="24"/>
                    </w:rPr>
                    <w:t>泵模式制冷量</w:t>
                  </w:r>
                  <w:r>
                    <w:rPr>
                      <w:rFonts w:ascii="仿宋_GB2312" w:hAnsi="仿宋_GB2312" w:cs="仿宋_GB2312" w:eastAsia="仿宋_GB2312"/>
                      <w:sz w:val="24"/>
                    </w:rPr>
                    <w:t>：</w:t>
                  </w:r>
                  <w:r>
                    <w:rPr>
                      <w:rFonts w:ascii="仿宋_GB2312" w:hAnsi="仿宋_GB2312" w:cs="仿宋_GB2312" w:eastAsia="仿宋_GB2312"/>
                      <w:sz w:val="24"/>
                    </w:rPr>
                    <w:t>98</w:t>
                  </w:r>
                  <w:r>
                    <w:br/>
                  </w:r>
                  <w:r>
                    <w:rPr>
                      <w:rFonts w:ascii="仿宋_GB2312" w:hAnsi="仿宋_GB2312" w:cs="仿宋_GB2312" w:eastAsia="仿宋_GB2312"/>
                      <w:sz w:val="24"/>
                    </w:rPr>
                    <w:t>风机标准风量（</w:t>
                  </w:r>
                  <w:r>
                    <w:rPr>
                      <w:rFonts w:ascii="仿宋_GB2312" w:hAnsi="仿宋_GB2312" w:cs="仿宋_GB2312" w:eastAsia="仿宋_GB2312"/>
                      <w:sz w:val="24"/>
                    </w:rPr>
                    <w:t>m2/h) ：27200</w:t>
                  </w:r>
                  <w:r>
                    <w:br/>
                  </w:r>
                  <w:r>
                    <w:rPr>
                      <w:rFonts w:ascii="仿宋_GB2312" w:hAnsi="仿宋_GB2312" w:cs="仿宋_GB2312" w:eastAsia="仿宋_GB2312"/>
                      <w:sz w:val="24"/>
                    </w:rPr>
                    <w:t>风机台数</w:t>
                  </w:r>
                  <w:r>
                    <w:rPr>
                      <w:rFonts w:ascii="仿宋_GB2312" w:hAnsi="仿宋_GB2312" w:cs="仿宋_GB2312" w:eastAsia="仿宋_GB2312"/>
                      <w:sz w:val="24"/>
                    </w:rPr>
                    <w:t>：</w:t>
                  </w:r>
                  <w:r>
                    <w:rPr>
                      <w:rFonts w:ascii="仿宋_GB2312" w:hAnsi="仿宋_GB2312" w:cs="仿宋_GB2312" w:eastAsia="仿宋_GB2312"/>
                      <w:sz w:val="24"/>
                    </w:rPr>
                    <w:t>2</w:t>
                  </w:r>
                  <w:r>
                    <w:br/>
                  </w:r>
                  <w:r>
                    <w:rPr>
                      <w:rFonts w:ascii="仿宋_GB2312" w:hAnsi="仿宋_GB2312" w:cs="仿宋_GB2312" w:eastAsia="仿宋_GB2312"/>
                      <w:sz w:val="24"/>
                    </w:rPr>
                    <w:t>机外静压（</w:t>
                  </w:r>
                  <w:r>
                    <w:rPr>
                      <w:rFonts w:ascii="仿宋_GB2312" w:hAnsi="仿宋_GB2312" w:cs="仿宋_GB2312" w:eastAsia="仿宋_GB2312"/>
                      <w:sz w:val="24"/>
                    </w:rPr>
                    <w:t>Pa) ：20-300</w:t>
                  </w:r>
                  <w:r>
                    <w:br/>
                  </w:r>
                  <w:r>
                    <w:rPr>
                      <w:rFonts w:ascii="仿宋_GB2312" w:hAnsi="仿宋_GB2312" w:cs="仿宋_GB2312" w:eastAsia="仿宋_GB2312"/>
                      <w:sz w:val="24"/>
                    </w:rPr>
                    <w:t>压缩机数量</w:t>
                  </w:r>
                  <w:r>
                    <w:rPr>
                      <w:rFonts w:ascii="仿宋_GB2312" w:hAnsi="仿宋_GB2312" w:cs="仿宋_GB2312" w:eastAsia="仿宋_GB2312"/>
                      <w:sz w:val="24"/>
                    </w:rPr>
                    <w:t>：</w:t>
                  </w:r>
                  <w:r>
                    <w:rPr>
                      <w:rFonts w:ascii="仿宋_GB2312" w:hAnsi="仿宋_GB2312" w:cs="仿宋_GB2312" w:eastAsia="仿宋_GB2312"/>
                      <w:sz w:val="24"/>
                    </w:rPr>
                    <w:t>2</w:t>
                  </w:r>
                  <w:r>
                    <w:br/>
                  </w:r>
                  <w:r>
                    <w:rPr>
                      <w:rFonts w:ascii="仿宋_GB2312" w:hAnsi="仿宋_GB2312" w:cs="仿宋_GB2312" w:eastAsia="仿宋_GB2312"/>
                      <w:sz w:val="24"/>
                    </w:rPr>
                    <w:t>泵数量</w:t>
                  </w:r>
                  <w:r>
                    <w:rPr>
                      <w:rFonts w:ascii="仿宋_GB2312" w:hAnsi="仿宋_GB2312" w:cs="仿宋_GB2312" w:eastAsia="仿宋_GB2312"/>
                      <w:sz w:val="24"/>
                    </w:rPr>
                    <w:t>：</w:t>
                  </w:r>
                  <w:r>
                    <w:rPr>
                      <w:rFonts w:ascii="仿宋_GB2312" w:hAnsi="仿宋_GB2312" w:cs="仿宋_GB2312" w:eastAsia="仿宋_GB2312"/>
                      <w:sz w:val="24"/>
                    </w:rPr>
                    <w:t>2</w:t>
                  </w:r>
                  <w:r>
                    <w:br/>
                  </w:r>
                  <w:r>
                    <w:rPr>
                      <w:rFonts w:ascii="仿宋_GB2312" w:hAnsi="仿宋_GB2312" w:cs="仿宋_GB2312" w:eastAsia="仿宋_GB2312"/>
                      <w:sz w:val="24"/>
                    </w:rPr>
                    <w:t>功率（</w:t>
                  </w:r>
                  <w:r>
                    <w:rPr>
                      <w:rFonts w:ascii="仿宋_GB2312" w:hAnsi="仿宋_GB2312" w:cs="仿宋_GB2312" w:eastAsia="仿宋_GB2312"/>
                      <w:sz w:val="24"/>
                    </w:rPr>
                    <w:t>kW) ：1.1</w:t>
                  </w:r>
                  <w:r>
                    <w:br/>
                  </w:r>
                  <w:r>
                    <w:rPr>
                      <w:rFonts w:ascii="仿宋_GB2312" w:hAnsi="仿宋_GB2312" w:cs="仿宋_GB2312" w:eastAsia="仿宋_GB2312"/>
                      <w:sz w:val="24"/>
                    </w:rPr>
                    <w:t>电加热功率（</w:t>
                  </w:r>
                  <w:r>
                    <w:rPr>
                      <w:rFonts w:ascii="仿宋_GB2312" w:hAnsi="仿宋_GB2312" w:cs="仿宋_GB2312" w:eastAsia="仿宋_GB2312"/>
                      <w:sz w:val="24"/>
                    </w:rPr>
                    <w:t>kW) ：12</w:t>
                  </w:r>
                  <w:r>
                    <w:br/>
                  </w:r>
                  <w:r>
                    <w:rPr>
                      <w:rFonts w:ascii="仿宋_GB2312" w:hAnsi="仿宋_GB2312" w:cs="仿宋_GB2312" w:eastAsia="仿宋_GB2312"/>
                      <w:sz w:val="24"/>
                    </w:rPr>
                    <w:t>加湿量（</w:t>
                  </w:r>
                  <w:r>
                    <w:rPr>
                      <w:rFonts w:ascii="仿宋_GB2312" w:hAnsi="仿宋_GB2312" w:cs="仿宋_GB2312" w:eastAsia="仿宋_GB2312"/>
                      <w:sz w:val="24"/>
                    </w:rPr>
                    <w:t>kg/h)：  7</w:t>
                  </w:r>
                  <w:r>
                    <w:br/>
                  </w:r>
                  <w:r>
                    <w:rPr>
                      <w:rFonts w:ascii="仿宋_GB2312" w:hAnsi="仿宋_GB2312" w:cs="仿宋_GB2312" w:eastAsia="仿宋_GB2312"/>
                      <w:sz w:val="24"/>
                    </w:rPr>
                    <w:t>过滤网滤网等级：</w:t>
                  </w:r>
                  <w:r>
                    <w:rPr>
                      <w:rFonts w:ascii="仿宋_GB2312" w:hAnsi="仿宋_GB2312" w:cs="仿宋_GB2312" w:eastAsia="仿宋_GB2312"/>
                      <w:sz w:val="24"/>
                    </w:rPr>
                    <w:t>G4</w:t>
                  </w:r>
                  <w:r>
                    <w:br/>
                  </w:r>
                  <w:r>
                    <w:rPr>
                      <w:rFonts w:ascii="仿宋_GB2312" w:hAnsi="仿宋_GB2312" w:cs="仿宋_GB2312" w:eastAsia="仿宋_GB2312"/>
                      <w:sz w:val="24"/>
                    </w:rPr>
                    <w:t>室内机组回液管</w:t>
                  </w:r>
                  <w:r>
                    <w:rPr>
                      <w:rFonts w:ascii="仿宋_GB2312" w:hAnsi="仿宋_GB2312" w:cs="仿宋_GB2312" w:eastAsia="仿宋_GB2312"/>
                      <w:sz w:val="24"/>
                    </w:rPr>
                    <w:t>ID(mm)：16</w:t>
                  </w:r>
                  <w:r>
                    <w:br/>
                  </w:r>
                  <w:r>
                    <w:rPr>
                      <w:rFonts w:ascii="仿宋_GB2312" w:hAnsi="仿宋_GB2312" w:cs="仿宋_GB2312" w:eastAsia="仿宋_GB2312"/>
                      <w:sz w:val="24"/>
                    </w:rPr>
                    <w:t>回液管数量：</w:t>
                  </w:r>
                  <w:r>
                    <w:rPr>
                      <w:rFonts w:ascii="仿宋_GB2312" w:hAnsi="仿宋_GB2312" w:cs="仿宋_GB2312" w:eastAsia="仿宋_GB2312"/>
                      <w:sz w:val="24"/>
                    </w:rPr>
                    <w:t>2</w:t>
                  </w:r>
                  <w:r>
                    <w:br/>
                  </w:r>
                  <w:r>
                    <w:rPr>
                      <w:rFonts w:ascii="仿宋_GB2312" w:hAnsi="仿宋_GB2312" w:cs="仿宋_GB2312" w:eastAsia="仿宋_GB2312"/>
                      <w:sz w:val="24"/>
                    </w:rPr>
                    <w:t>排气管</w:t>
                  </w:r>
                  <w:r>
                    <w:rPr>
                      <w:rFonts w:ascii="仿宋_GB2312" w:hAnsi="仿宋_GB2312" w:cs="仿宋_GB2312" w:eastAsia="仿宋_GB2312"/>
                      <w:sz w:val="24"/>
                    </w:rPr>
                    <w:t>ID(mm)：22</w:t>
                  </w:r>
                  <w:r>
                    <w:br/>
                  </w:r>
                  <w:r>
                    <w:rPr>
                      <w:rFonts w:ascii="仿宋_GB2312" w:hAnsi="仿宋_GB2312" w:cs="仿宋_GB2312" w:eastAsia="仿宋_GB2312"/>
                      <w:sz w:val="24"/>
                    </w:rPr>
                    <w:t>排气管数量：</w:t>
                  </w:r>
                  <w:r>
                    <w:rPr>
                      <w:rFonts w:ascii="仿宋_GB2312" w:hAnsi="仿宋_GB2312" w:cs="仿宋_GB2312" w:eastAsia="仿宋_GB2312"/>
                      <w:sz w:val="24"/>
                    </w:rPr>
                    <w:t>2</w:t>
                  </w:r>
                  <w:r>
                    <w:br/>
                  </w:r>
                  <w:r>
                    <w:rPr>
                      <w:rFonts w:ascii="仿宋_GB2312" w:hAnsi="仿宋_GB2312" w:cs="仿宋_GB2312" w:eastAsia="仿宋_GB2312"/>
                      <w:sz w:val="24"/>
                    </w:rPr>
                    <w:t>OD(mm)：6.39</w:t>
                  </w:r>
                  <w:r>
                    <w:br/>
                  </w:r>
                  <w:r>
                    <w:rPr>
                      <w:rFonts w:ascii="仿宋_GB2312" w:hAnsi="仿宋_GB2312" w:cs="仿宋_GB2312" w:eastAsia="仿宋_GB2312"/>
                      <w:sz w:val="24"/>
                    </w:rPr>
                    <w:t>冷凝水排水管</w:t>
                  </w:r>
                  <w:r>
                    <w:rPr>
                      <w:rFonts w:ascii="仿宋_GB2312" w:hAnsi="仿宋_GB2312" w:cs="仿宋_GB2312" w:eastAsia="仿宋_GB2312"/>
                      <w:sz w:val="24"/>
                    </w:rPr>
                    <w:t>ID(mm)：19</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精密空调（中空调）</w:t>
                  </w:r>
                </w:p>
              </w:tc>
              <w:tc>
                <w:tcPr>
                  <w:tcW w:type="dxa" w:w="1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不低于以下参数</w:t>
                  </w:r>
                  <w:r>
                    <w:br/>
                  </w:r>
                  <w:r>
                    <w:rPr>
                      <w:rFonts w:ascii="仿宋_GB2312" w:hAnsi="仿宋_GB2312" w:cs="仿宋_GB2312" w:eastAsia="仿宋_GB2312"/>
                      <w:sz w:val="24"/>
                    </w:rPr>
                    <w:t>制冷量：</w:t>
                  </w:r>
                  <w:r>
                    <w:rPr>
                      <w:rFonts w:ascii="仿宋_GB2312" w:hAnsi="仿宋_GB2312" w:cs="仿宋_GB2312" w:eastAsia="仿宋_GB2312"/>
                      <w:sz w:val="24"/>
                    </w:rPr>
                    <w:t>100</w:t>
                  </w:r>
                  <w:r>
                    <w:br/>
                  </w:r>
                  <w:r>
                    <w:rPr>
                      <w:rFonts w:ascii="仿宋_GB2312" w:hAnsi="仿宋_GB2312" w:cs="仿宋_GB2312" w:eastAsia="仿宋_GB2312"/>
                      <w:sz w:val="24"/>
                    </w:rPr>
                    <w:t>显冷量：</w:t>
                  </w:r>
                  <w:r>
                    <w:rPr>
                      <w:rFonts w:ascii="仿宋_GB2312" w:hAnsi="仿宋_GB2312" w:cs="仿宋_GB2312" w:eastAsia="仿宋_GB2312"/>
                      <w:sz w:val="24"/>
                    </w:rPr>
                    <w:t>90</w:t>
                  </w:r>
                  <w:r>
                    <w:br/>
                  </w:r>
                  <w:r>
                    <w:rPr>
                      <w:rFonts w:ascii="仿宋_GB2312" w:hAnsi="仿宋_GB2312" w:cs="仿宋_GB2312" w:eastAsia="仿宋_GB2312"/>
                      <w:sz w:val="24"/>
                    </w:rPr>
                    <w:t>泵模式制冷量</w:t>
                  </w:r>
                  <w:r>
                    <w:rPr>
                      <w:rFonts w:ascii="仿宋_GB2312" w:hAnsi="仿宋_GB2312" w:cs="仿宋_GB2312" w:eastAsia="仿宋_GB2312"/>
                      <w:sz w:val="24"/>
                    </w:rPr>
                    <w:t>：</w:t>
                  </w:r>
                  <w:r>
                    <w:rPr>
                      <w:rFonts w:ascii="仿宋_GB2312" w:hAnsi="仿宋_GB2312" w:cs="仿宋_GB2312" w:eastAsia="仿宋_GB2312"/>
                      <w:sz w:val="24"/>
                    </w:rPr>
                    <w:t>98</w:t>
                  </w:r>
                  <w:r>
                    <w:br/>
                  </w:r>
                  <w:r>
                    <w:rPr>
                      <w:rFonts w:ascii="仿宋_GB2312" w:hAnsi="仿宋_GB2312" w:cs="仿宋_GB2312" w:eastAsia="仿宋_GB2312"/>
                      <w:sz w:val="24"/>
                    </w:rPr>
                    <w:t>风机标准风量（</w:t>
                  </w:r>
                  <w:r>
                    <w:rPr>
                      <w:rFonts w:ascii="仿宋_GB2312" w:hAnsi="仿宋_GB2312" w:cs="仿宋_GB2312" w:eastAsia="仿宋_GB2312"/>
                      <w:sz w:val="24"/>
                    </w:rPr>
                    <w:t>m2/h) ：27200</w:t>
                  </w:r>
                  <w:r>
                    <w:br/>
                  </w:r>
                  <w:r>
                    <w:rPr>
                      <w:rFonts w:ascii="仿宋_GB2312" w:hAnsi="仿宋_GB2312" w:cs="仿宋_GB2312" w:eastAsia="仿宋_GB2312"/>
                      <w:sz w:val="24"/>
                    </w:rPr>
                    <w:t>风机台数</w:t>
                  </w:r>
                  <w:r>
                    <w:rPr>
                      <w:rFonts w:ascii="仿宋_GB2312" w:hAnsi="仿宋_GB2312" w:cs="仿宋_GB2312" w:eastAsia="仿宋_GB2312"/>
                      <w:sz w:val="24"/>
                    </w:rPr>
                    <w:t>：</w:t>
                  </w:r>
                  <w:r>
                    <w:rPr>
                      <w:rFonts w:ascii="仿宋_GB2312" w:hAnsi="仿宋_GB2312" w:cs="仿宋_GB2312" w:eastAsia="仿宋_GB2312"/>
                      <w:sz w:val="24"/>
                    </w:rPr>
                    <w:t>2</w:t>
                  </w:r>
                  <w:r>
                    <w:br/>
                  </w:r>
                  <w:r>
                    <w:rPr>
                      <w:rFonts w:ascii="仿宋_GB2312" w:hAnsi="仿宋_GB2312" w:cs="仿宋_GB2312" w:eastAsia="仿宋_GB2312"/>
                      <w:sz w:val="24"/>
                    </w:rPr>
                    <w:t>机外静压（</w:t>
                  </w:r>
                  <w:r>
                    <w:rPr>
                      <w:rFonts w:ascii="仿宋_GB2312" w:hAnsi="仿宋_GB2312" w:cs="仿宋_GB2312" w:eastAsia="仿宋_GB2312"/>
                      <w:sz w:val="24"/>
                    </w:rPr>
                    <w:t>Pa) ：20-300</w:t>
                  </w:r>
                  <w:r>
                    <w:br/>
                  </w:r>
                  <w:r>
                    <w:rPr>
                      <w:rFonts w:ascii="仿宋_GB2312" w:hAnsi="仿宋_GB2312" w:cs="仿宋_GB2312" w:eastAsia="仿宋_GB2312"/>
                      <w:sz w:val="24"/>
                    </w:rPr>
                    <w:t>压缩机数量</w:t>
                  </w:r>
                  <w:r>
                    <w:rPr>
                      <w:rFonts w:ascii="仿宋_GB2312" w:hAnsi="仿宋_GB2312" w:cs="仿宋_GB2312" w:eastAsia="仿宋_GB2312"/>
                      <w:sz w:val="24"/>
                    </w:rPr>
                    <w:t>：</w:t>
                  </w:r>
                  <w:r>
                    <w:rPr>
                      <w:rFonts w:ascii="仿宋_GB2312" w:hAnsi="仿宋_GB2312" w:cs="仿宋_GB2312" w:eastAsia="仿宋_GB2312"/>
                      <w:sz w:val="24"/>
                    </w:rPr>
                    <w:t>2</w:t>
                  </w:r>
                  <w:r>
                    <w:br/>
                  </w:r>
                  <w:r>
                    <w:rPr>
                      <w:rFonts w:ascii="仿宋_GB2312" w:hAnsi="仿宋_GB2312" w:cs="仿宋_GB2312" w:eastAsia="仿宋_GB2312"/>
                      <w:sz w:val="24"/>
                    </w:rPr>
                    <w:t>泵数量</w:t>
                  </w:r>
                  <w:r>
                    <w:rPr>
                      <w:rFonts w:ascii="仿宋_GB2312" w:hAnsi="仿宋_GB2312" w:cs="仿宋_GB2312" w:eastAsia="仿宋_GB2312"/>
                      <w:sz w:val="24"/>
                    </w:rPr>
                    <w:t>：</w:t>
                  </w:r>
                  <w:r>
                    <w:rPr>
                      <w:rFonts w:ascii="仿宋_GB2312" w:hAnsi="仿宋_GB2312" w:cs="仿宋_GB2312" w:eastAsia="仿宋_GB2312"/>
                      <w:sz w:val="24"/>
                    </w:rPr>
                    <w:t>2</w:t>
                  </w:r>
                  <w:r>
                    <w:br/>
                  </w:r>
                  <w:r>
                    <w:rPr>
                      <w:rFonts w:ascii="仿宋_GB2312" w:hAnsi="仿宋_GB2312" w:cs="仿宋_GB2312" w:eastAsia="仿宋_GB2312"/>
                      <w:sz w:val="24"/>
                    </w:rPr>
                    <w:t>功率（</w:t>
                  </w:r>
                  <w:r>
                    <w:rPr>
                      <w:rFonts w:ascii="仿宋_GB2312" w:hAnsi="仿宋_GB2312" w:cs="仿宋_GB2312" w:eastAsia="仿宋_GB2312"/>
                      <w:sz w:val="24"/>
                    </w:rPr>
                    <w:t>kW) ：1.1</w:t>
                  </w:r>
                  <w:r>
                    <w:br/>
                  </w:r>
                  <w:r>
                    <w:rPr>
                      <w:rFonts w:ascii="仿宋_GB2312" w:hAnsi="仿宋_GB2312" w:cs="仿宋_GB2312" w:eastAsia="仿宋_GB2312"/>
                      <w:sz w:val="24"/>
                    </w:rPr>
                    <w:t>电加热功率（</w:t>
                  </w:r>
                  <w:r>
                    <w:rPr>
                      <w:rFonts w:ascii="仿宋_GB2312" w:hAnsi="仿宋_GB2312" w:cs="仿宋_GB2312" w:eastAsia="仿宋_GB2312"/>
                      <w:sz w:val="24"/>
                    </w:rPr>
                    <w:t>kW) ：12</w:t>
                  </w:r>
                  <w:r>
                    <w:br/>
                  </w:r>
                  <w:r>
                    <w:rPr>
                      <w:rFonts w:ascii="仿宋_GB2312" w:hAnsi="仿宋_GB2312" w:cs="仿宋_GB2312" w:eastAsia="仿宋_GB2312"/>
                      <w:sz w:val="24"/>
                    </w:rPr>
                    <w:t>加湿量（</w:t>
                  </w:r>
                  <w:r>
                    <w:rPr>
                      <w:rFonts w:ascii="仿宋_GB2312" w:hAnsi="仿宋_GB2312" w:cs="仿宋_GB2312" w:eastAsia="仿宋_GB2312"/>
                      <w:sz w:val="24"/>
                    </w:rPr>
                    <w:t>kg/h)：  7</w:t>
                  </w:r>
                  <w:r>
                    <w:br/>
                  </w:r>
                  <w:r>
                    <w:rPr>
                      <w:rFonts w:ascii="仿宋_GB2312" w:hAnsi="仿宋_GB2312" w:cs="仿宋_GB2312" w:eastAsia="仿宋_GB2312"/>
                      <w:sz w:val="24"/>
                    </w:rPr>
                    <w:t>过滤网滤网等级：</w:t>
                  </w:r>
                  <w:r>
                    <w:rPr>
                      <w:rFonts w:ascii="仿宋_GB2312" w:hAnsi="仿宋_GB2312" w:cs="仿宋_GB2312" w:eastAsia="仿宋_GB2312"/>
                      <w:sz w:val="24"/>
                    </w:rPr>
                    <w:t>G4</w:t>
                  </w:r>
                  <w:r>
                    <w:br/>
                  </w:r>
                  <w:r>
                    <w:rPr>
                      <w:rFonts w:ascii="仿宋_GB2312" w:hAnsi="仿宋_GB2312" w:cs="仿宋_GB2312" w:eastAsia="仿宋_GB2312"/>
                      <w:sz w:val="24"/>
                    </w:rPr>
                    <w:t>室内机组回液管</w:t>
                  </w:r>
                  <w:r>
                    <w:rPr>
                      <w:rFonts w:ascii="仿宋_GB2312" w:hAnsi="仿宋_GB2312" w:cs="仿宋_GB2312" w:eastAsia="仿宋_GB2312"/>
                      <w:sz w:val="24"/>
                    </w:rPr>
                    <w:t>ID(mm)：16</w:t>
                  </w:r>
                  <w:r>
                    <w:br/>
                  </w:r>
                  <w:r>
                    <w:rPr>
                      <w:rFonts w:ascii="仿宋_GB2312" w:hAnsi="仿宋_GB2312" w:cs="仿宋_GB2312" w:eastAsia="仿宋_GB2312"/>
                      <w:sz w:val="24"/>
                    </w:rPr>
                    <w:t>回液管数量：</w:t>
                  </w:r>
                  <w:r>
                    <w:rPr>
                      <w:rFonts w:ascii="仿宋_GB2312" w:hAnsi="仿宋_GB2312" w:cs="仿宋_GB2312" w:eastAsia="仿宋_GB2312"/>
                      <w:sz w:val="24"/>
                    </w:rPr>
                    <w:t>2</w:t>
                  </w:r>
                  <w:r>
                    <w:br/>
                  </w:r>
                  <w:r>
                    <w:rPr>
                      <w:rFonts w:ascii="仿宋_GB2312" w:hAnsi="仿宋_GB2312" w:cs="仿宋_GB2312" w:eastAsia="仿宋_GB2312"/>
                      <w:sz w:val="24"/>
                    </w:rPr>
                    <w:t>排气管</w:t>
                  </w:r>
                  <w:r>
                    <w:rPr>
                      <w:rFonts w:ascii="仿宋_GB2312" w:hAnsi="仿宋_GB2312" w:cs="仿宋_GB2312" w:eastAsia="仿宋_GB2312"/>
                      <w:sz w:val="24"/>
                    </w:rPr>
                    <w:t>ID(mm)：22</w:t>
                  </w:r>
                  <w:r>
                    <w:br/>
                  </w:r>
                  <w:r>
                    <w:rPr>
                      <w:rFonts w:ascii="仿宋_GB2312" w:hAnsi="仿宋_GB2312" w:cs="仿宋_GB2312" w:eastAsia="仿宋_GB2312"/>
                      <w:sz w:val="24"/>
                    </w:rPr>
                    <w:t>排气管数量：</w:t>
                  </w:r>
                  <w:r>
                    <w:rPr>
                      <w:rFonts w:ascii="仿宋_GB2312" w:hAnsi="仿宋_GB2312" w:cs="仿宋_GB2312" w:eastAsia="仿宋_GB2312"/>
                      <w:sz w:val="24"/>
                    </w:rPr>
                    <w:t>2</w:t>
                  </w:r>
                  <w:r>
                    <w:br/>
                  </w:r>
                  <w:r>
                    <w:rPr>
                      <w:rFonts w:ascii="仿宋_GB2312" w:hAnsi="仿宋_GB2312" w:cs="仿宋_GB2312" w:eastAsia="仿宋_GB2312"/>
                      <w:sz w:val="24"/>
                    </w:rPr>
                    <w:t>OD(mm)：6.39</w:t>
                  </w:r>
                  <w:r>
                    <w:br/>
                  </w:r>
                  <w:r>
                    <w:rPr>
                      <w:rFonts w:ascii="仿宋_GB2312" w:hAnsi="仿宋_GB2312" w:cs="仿宋_GB2312" w:eastAsia="仿宋_GB2312"/>
                      <w:sz w:val="24"/>
                    </w:rPr>
                    <w:t>冷凝水排水管</w:t>
                  </w:r>
                  <w:r>
                    <w:rPr>
                      <w:rFonts w:ascii="仿宋_GB2312" w:hAnsi="仿宋_GB2312" w:cs="仿宋_GB2312" w:eastAsia="仿宋_GB2312"/>
                      <w:sz w:val="24"/>
                    </w:rPr>
                    <w:t>ID(mm)：19</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bl>
          <w:p>
            <w:pPr>
              <w:pStyle w:val="null3"/>
              <w:jc w:val="both"/>
            </w:pPr>
            <w:r>
              <w:rPr>
                <w:rFonts w:ascii="仿宋_GB2312" w:hAnsi="仿宋_GB2312" w:cs="仿宋_GB2312" w:eastAsia="仿宋_GB2312"/>
                <w:sz w:val="24"/>
              </w:rPr>
              <w:t>3、空调新风系统要求</w:t>
            </w:r>
          </w:p>
          <w:p>
            <w:pPr>
              <w:pStyle w:val="null3"/>
              <w:ind w:firstLine="480"/>
              <w:jc w:val="both"/>
            </w:pPr>
            <w:r>
              <w:rPr>
                <w:rFonts w:ascii="仿宋_GB2312" w:hAnsi="仿宋_GB2312" w:cs="仿宋_GB2312" w:eastAsia="仿宋_GB2312"/>
                <w:sz w:val="24"/>
                <w:color w:val="000000"/>
              </w:rPr>
              <w:t>1.精密空调系统</w:t>
            </w:r>
          </w:p>
          <w:p>
            <w:pPr>
              <w:pStyle w:val="null3"/>
              <w:ind w:firstLine="480"/>
              <w:jc w:val="both"/>
            </w:pPr>
            <w:r>
              <w:rPr>
                <w:rFonts w:ascii="仿宋_GB2312" w:hAnsi="仿宋_GB2312" w:cs="仿宋_GB2312" w:eastAsia="仿宋_GB2312"/>
                <w:sz w:val="24"/>
                <w:color w:val="000000"/>
              </w:rPr>
              <w:t>a.制冷能力</w:t>
            </w:r>
          </w:p>
          <w:p>
            <w:pPr>
              <w:pStyle w:val="null3"/>
              <w:ind w:firstLine="480"/>
              <w:jc w:val="both"/>
            </w:pPr>
            <w:r>
              <w:rPr>
                <w:rFonts w:ascii="仿宋_GB2312" w:hAnsi="仿宋_GB2312" w:cs="仿宋_GB2312" w:eastAsia="仿宋_GB2312"/>
                <w:sz w:val="24"/>
                <w:color w:val="000000"/>
              </w:rPr>
              <w:t>需满足</w:t>
            </w:r>
            <w:r>
              <w:rPr>
                <w:rFonts w:ascii="仿宋_GB2312" w:hAnsi="仿宋_GB2312" w:cs="仿宋_GB2312" w:eastAsia="仿宋_GB2312"/>
                <w:sz w:val="24"/>
                <w:color w:val="000000"/>
              </w:rPr>
              <w:t>N+1冗余 配置，单台故障时剩余机组仍能维持机房温度≤25℃（ASHRAE TC9.9标准）。</w:t>
            </w:r>
          </w:p>
          <w:p>
            <w:pPr>
              <w:pStyle w:val="null3"/>
              <w:ind w:firstLine="480"/>
              <w:jc w:val="both"/>
            </w:pPr>
            <w:r>
              <w:rPr>
                <w:rFonts w:ascii="仿宋_GB2312" w:hAnsi="仿宋_GB2312" w:cs="仿宋_GB2312" w:eastAsia="仿宋_GB2312"/>
                <w:sz w:val="24"/>
                <w:color w:val="000000"/>
              </w:rPr>
              <w:t>显热比（</w:t>
            </w:r>
            <w:r>
              <w:rPr>
                <w:rFonts w:ascii="仿宋_GB2312" w:hAnsi="仿宋_GB2312" w:cs="仿宋_GB2312" w:eastAsia="仿宋_GB2312"/>
                <w:sz w:val="24"/>
                <w:color w:val="000000"/>
              </w:rPr>
              <w:t>SHR）≥0.9，湿度控制精度±5% RH。</w:t>
            </w:r>
          </w:p>
          <w:p>
            <w:pPr>
              <w:pStyle w:val="null3"/>
              <w:ind w:firstLine="480"/>
              <w:jc w:val="both"/>
            </w:pPr>
            <w:r>
              <w:rPr>
                <w:rFonts w:ascii="仿宋_GB2312" w:hAnsi="仿宋_GB2312" w:cs="仿宋_GB2312" w:eastAsia="仿宋_GB2312"/>
                <w:sz w:val="24"/>
                <w:color w:val="000000"/>
              </w:rPr>
              <w:t>b.能效指标</w:t>
            </w:r>
          </w:p>
          <w:p>
            <w:pPr>
              <w:pStyle w:val="null3"/>
              <w:ind w:firstLine="480"/>
              <w:jc w:val="both"/>
            </w:pPr>
            <w:r>
              <w:rPr>
                <w:rFonts w:ascii="仿宋_GB2312" w:hAnsi="仿宋_GB2312" w:cs="仿宋_GB2312" w:eastAsia="仿宋_GB2312"/>
                <w:sz w:val="24"/>
                <w:color w:val="000000"/>
              </w:rPr>
              <w:t>全年能效比（</w:t>
            </w:r>
            <w:r>
              <w:rPr>
                <w:rFonts w:ascii="仿宋_GB2312" w:hAnsi="仿宋_GB2312" w:cs="仿宋_GB2312" w:eastAsia="仿宋_GB2312"/>
                <w:sz w:val="24"/>
                <w:color w:val="000000"/>
              </w:rPr>
              <w:t>AEER）≥3.5，变频压缩机需</w:t>
            </w:r>
            <w:r>
              <w:rPr>
                <w:rFonts w:ascii="仿宋_GB2312" w:hAnsi="仿宋_GB2312" w:cs="仿宋_GB2312" w:eastAsia="仿宋_GB2312"/>
                <w:sz w:val="24"/>
                <w:color w:val="000000"/>
              </w:rPr>
              <w:t>具有</w:t>
            </w:r>
            <w:r>
              <w:rPr>
                <w:rFonts w:ascii="仿宋_GB2312" w:hAnsi="仿宋_GB2312" w:cs="仿宋_GB2312" w:eastAsia="仿宋_GB2312"/>
                <w:sz w:val="24"/>
                <w:color w:val="000000"/>
              </w:rPr>
              <w:t>10%-100%无级调节。</w:t>
            </w:r>
          </w:p>
          <w:p>
            <w:pPr>
              <w:pStyle w:val="null3"/>
              <w:ind w:firstLine="480"/>
              <w:jc w:val="both"/>
            </w:pPr>
            <w:r>
              <w:rPr>
                <w:rFonts w:ascii="仿宋_GB2312" w:hAnsi="仿宋_GB2312" w:cs="仿宋_GB2312" w:eastAsia="仿宋_GB2312"/>
                <w:sz w:val="24"/>
                <w:color w:val="000000"/>
              </w:rPr>
              <w:t>采用</w:t>
            </w:r>
            <w:r>
              <w:rPr>
                <w:rFonts w:ascii="仿宋_GB2312" w:hAnsi="仿宋_GB2312" w:cs="仿宋_GB2312" w:eastAsia="仿宋_GB2312"/>
                <w:sz w:val="24"/>
                <w:color w:val="000000"/>
              </w:rPr>
              <w:t>EC风机，比传统风机节能≥30%。</w:t>
            </w:r>
          </w:p>
          <w:p>
            <w:pPr>
              <w:pStyle w:val="null3"/>
              <w:ind w:firstLine="480"/>
              <w:jc w:val="both"/>
            </w:pPr>
            <w:r>
              <w:rPr>
                <w:rFonts w:ascii="仿宋_GB2312" w:hAnsi="仿宋_GB2312" w:cs="仿宋_GB2312" w:eastAsia="仿宋_GB2312"/>
                <w:sz w:val="24"/>
                <w:color w:val="000000"/>
              </w:rPr>
              <w:t>c.监控功能</w:t>
            </w:r>
          </w:p>
          <w:p>
            <w:pPr>
              <w:pStyle w:val="null3"/>
              <w:ind w:firstLine="480"/>
              <w:jc w:val="both"/>
            </w:pPr>
            <w:r>
              <w:rPr>
                <w:rFonts w:ascii="仿宋_GB2312" w:hAnsi="仿宋_GB2312" w:cs="仿宋_GB2312" w:eastAsia="仿宋_GB2312"/>
                <w:sz w:val="24"/>
                <w:color w:val="000000"/>
              </w:rPr>
              <w:t>实时监测冷媒压力、滤网压差、压缩机电流，数据接口</w:t>
            </w:r>
            <w:r>
              <w:rPr>
                <w:rFonts w:ascii="仿宋_GB2312" w:hAnsi="仿宋_GB2312" w:cs="仿宋_GB2312" w:eastAsia="仿宋_GB2312"/>
                <w:sz w:val="24"/>
                <w:color w:val="000000"/>
              </w:rPr>
              <w:t>具有</w:t>
            </w:r>
            <w:r>
              <w:rPr>
                <w:rFonts w:ascii="仿宋_GB2312" w:hAnsi="仿宋_GB2312" w:cs="仿宋_GB2312" w:eastAsia="仿宋_GB2312"/>
                <w:sz w:val="24"/>
                <w:color w:val="000000"/>
              </w:rPr>
              <w:t>Modbus TCP/BACnet协议。</w:t>
            </w:r>
          </w:p>
          <w:p>
            <w:pPr>
              <w:pStyle w:val="null3"/>
              <w:ind w:firstLine="480"/>
              <w:jc w:val="both"/>
            </w:pPr>
            <w:r>
              <w:rPr>
                <w:rFonts w:ascii="仿宋_GB2312" w:hAnsi="仿宋_GB2312" w:cs="仿宋_GB2312" w:eastAsia="仿宋_GB2312"/>
                <w:sz w:val="24"/>
                <w:color w:val="000000"/>
              </w:rPr>
              <w:t>2.新风系统</w:t>
            </w:r>
          </w:p>
          <w:p>
            <w:pPr>
              <w:pStyle w:val="null3"/>
              <w:ind w:firstLine="480"/>
              <w:jc w:val="both"/>
            </w:pPr>
            <w:r>
              <w:rPr>
                <w:rFonts w:ascii="仿宋_GB2312" w:hAnsi="仿宋_GB2312" w:cs="仿宋_GB2312" w:eastAsia="仿宋_GB2312"/>
                <w:sz w:val="24"/>
                <w:color w:val="000000"/>
              </w:rPr>
              <w:t>a.过滤等级</w:t>
            </w:r>
          </w:p>
          <w:p>
            <w:pPr>
              <w:pStyle w:val="null3"/>
              <w:ind w:firstLine="480"/>
              <w:jc w:val="both"/>
            </w:pPr>
            <w:r>
              <w:rPr>
                <w:rFonts w:ascii="仿宋_GB2312" w:hAnsi="仿宋_GB2312" w:cs="仿宋_GB2312" w:eastAsia="仿宋_GB2312"/>
                <w:sz w:val="24"/>
                <w:color w:val="000000"/>
              </w:rPr>
              <w:t>初效（</w:t>
            </w:r>
            <w:r>
              <w:rPr>
                <w:rFonts w:ascii="仿宋_GB2312" w:hAnsi="仿宋_GB2312" w:cs="仿宋_GB2312" w:eastAsia="仿宋_GB2312"/>
                <w:sz w:val="24"/>
                <w:color w:val="000000"/>
              </w:rPr>
              <w:t>G4）+化学过滤器（针对SO₂/NO₂），PM2.5过滤效率≥95%。</w:t>
            </w:r>
          </w:p>
          <w:p>
            <w:pPr>
              <w:pStyle w:val="null3"/>
              <w:ind w:firstLine="480"/>
              <w:jc w:val="both"/>
            </w:pPr>
            <w:r>
              <w:rPr>
                <w:rFonts w:ascii="仿宋_GB2312" w:hAnsi="仿宋_GB2312" w:cs="仿宋_GB2312" w:eastAsia="仿宋_GB2312"/>
                <w:sz w:val="24"/>
                <w:color w:val="000000"/>
              </w:rPr>
              <w:t>屏蔽机房需配置</w:t>
            </w:r>
            <w:r>
              <w:rPr>
                <w:rFonts w:ascii="仿宋_GB2312" w:hAnsi="仿宋_GB2312" w:cs="仿宋_GB2312" w:eastAsia="仿宋_GB2312"/>
                <w:sz w:val="24"/>
                <w:color w:val="000000"/>
              </w:rPr>
              <w:t>波导窗</w:t>
            </w:r>
            <w:r>
              <w:rPr>
                <w:rFonts w:ascii="仿宋_GB2312" w:hAnsi="仿宋_GB2312" w:cs="仿宋_GB2312" w:eastAsia="仿宋_GB2312"/>
                <w:sz w:val="24"/>
                <w:color w:val="000000"/>
              </w:rPr>
              <w:t>+电磁屏蔽滤网（30dB衰减）。</w:t>
            </w:r>
          </w:p>
          <w:p>
            <w:pPr>
              <w:pStyle w:val="null3"/>
              <w:ind w:firstLine="480"/>
              <w:jc w:val="both"/>
            </w:pPr>
            <w:r>
              <w:rPr>
                <w:rFonts w:ascii="仿宋_GB2312" w:hAnsi="仿宋_GB2312" w:cs="仿宋_GB2312" w:eastAsia="仿宋_GB2312"/>
                <w:sz w:val="24"/>
                <w:color w:val="000000"/>
              </w:rPr>
              <w:t>b.风量控制</w:t>
            </w:r>
          </w:p>
          <w:p>
            <w:pPr>
              <w:pStyle w:val="null3"/>
              <w:ind w:firstLine="480"/>
              <w:jc w:val="both"/>
            </w:pPr>
            <w:r>
              <w:rPr>
                <w:rFonts w:ascii="仿宋_GB2312" w:hAnsi="仿宋_GB2312" w:cs="仿宋_GB2312" w:eastAsia="仿宋_GB2312"/>
                <w:sz w:val="24"/>
                <w:color w:val="000000"/>
              </w:rPr>
              <w:t>变频风机根据</w:t>
            </w:r>
            <w:r>
              <w:rPr>
                <w:rFonts w:ascii="仿宋_GB2312" w:hAnsi="仿宋_GB2312" w:cs="仿宋_GB2312" w:eastAsia="仿宋_GB2312"/>
                <w:sz w:val="24"/>
                <w:color w:val="000000"/>
              </w:rPr>
              <w:t>CO₂浓度（≤800ppm）自动调节风量，换气次数≥5次/小时。</w:t>
            </w:r>
          </w:p>
          <w:p>
            <w:pPr>
              <w:pStyle w:val="null3"/>
              <w:ind w:firstLine="480"/>
              <w:jc w:val="both"/>
            </w:pPr>
            <w:r>
              <w:rPr>
                <w:rFonts w:ascii="仿宋_GB2312" w:hAnsi="仿宋_GB2312" w:cs="仿宋_GB2312" w:eastAsia="仿宋_GB2312"/>
                <w:sz w:val="24"/>
                <w:color w:val="000000"/>
              </w:rPr>
              <w:t>3. 智能联动</w:t>
            </w:r>
          </w:p>
          <w:p>
            <w:pPr>
              <w:pStyle w:val="null3"/>
              <w:ind w:firstLine="480"/>
              <w:jc w:val="both"/>
            </w:pPr>
            <w:r>
              <w:rPr>
                <w:rFonts w:ascii="仿宋_GB2312" w:hAnsi="仿宋_GB2312" w:cs="仿宋_GB2312" w:eastAsia="仿宋_GB2312"/>
                <w:sz w:val="24"/>
                <w:color w:val="000000"/>
              </w:rPr>
              <w:t>空调与新风机需与消防系统联动，火警时</w:t>
            </w:r>
            <w:r>
              <w:rPr>
                <w:rFonts w:ascii="仿宋_GB2312" w:hAnsi="仿宋_GB2312" w:cs="仿宋_GB2312" w:eastAsia="仿宋_GB2312"/>
                <w:sz w:val="24"/>
                <w:color w:val="000000"/>
              </w:rPr>
              <w:t>自动关闭风阀</w:t>
            </w:r>
            <w:r>
              <w:rPr>
                <w:rFonts w:ascii="仿宋_GB2312" w:hAnsi="仿宋_GB2312" w:cs="仿宋_GB2312" w:eastAsia="仿宋_GB2312"/>
                <w:sz w:val="24"/>
                <w:color w:val="000000"/>
              </w:rPr>
              <w:t>并启动气体灭火。</w:t>
            </w:r>
          </w:p>
          <w:p>
            <w:pPr>
              <w:pStyle w:val="null3"/>
              <w:numPr>
                <w:ilvl w:val="3"/>
                <w:numId w:val="2"/>
              </w:numPr>
            </w:pPr>
            <w:r>
              <w:rPr>
                <w:rFonts w:ascii="仿宋_GB2312" w:hAnsi="仿宋_GB2312" w:cs="仿宋_GB2312" w:eastAsia="仿宋_GB2312"/>
                <w:sz w:val="24"/>
                <w:b/>
              </w:rPr>
              <w:t>配电系统</w:t>
            </w:r>
            <w:r>
              <w:rPr>
                <w:rFonts w:ascii="仿宋_GB2312" w:hAnsi="仿宋_GB2312" w:cs="仿宋_GB2312" w:eastAsia="仿宋_GB2312"/>
                <w:sz w:val="24"/>
                <w:b/>
              </w:rPr>
              <w:t>服务</w:t>
            </w:r>
          </w:p>
          <w:p>
            <w:pPr>
              <w:pStyle w:val="null3"/>
              <w:ind w:firstLine="480"/>
              <w:jc w:val="both"/>
            </w:pPr>
            <w:r>
              <w:rPr>
                <w:rFonts w:ascii="仿宋_GB2312" w:hAnsi="仿宋_GB2312" w:cs="仿宋_GB2312" w:eastAsia="仿宋_GB2312"/>
                <w:sz w:val="24"/>
              </w:rPr>
              <w:t>针对数据中心核心机房、灾备机房、屏蔽机房、托管机房等</w:t>
            </w:r>
            <w:r>
              <w:rPr>
                <w:rFonts w:ascii="仿宋_GB2312" w:hAnsi="仿宋_GB2312" w:cs="仿宋_GB2312" w:eastAsia="仿宋_GB2312"/>
                <w:sz w:val="24"/>
              </w:rPr>
              <w:t>306架设备机柜的</w:t>
            </w:r>
            <w:r>
              <w:rPr>
                <w:rFonts w:ascii="仿宋_GB2312" w:hAnsi="仿宋_GB2312" w:cs="仿宋_GB2312" w:eastAsia="仿宋_GB2312"/>
                <w:sz w:val="24"/>
              </w:rPr>
              <w:t>配电系统</w:t>
            </w:r>
            <w:r>
              <w:rPr>
                <w:rFonts w:ascii="仿宋_GB2312" w:hAnsi="仿宋_GB2312" w:cs="仿宋_GB2312" w:eastAsia="仿宋_GB2312"/>
                <w:sz w:val="24"/>
              </w:rPr>
              <w:t>运维服务</w:t>
            </w:r>
            <w:r>
              <w:rPr>
                <w:rFonts w:ascii="仿宋_GB2312" w:hAnsi="仿宋_GB2312" w:cs="仿宋_GB2312" w:eastAsia="仿宋_GB2312"/>
                <w:sz w:val="24"/>
              </w:rPr>
              <w:t>。</w:t>
            </w:r>
            <w:r>
              <w:rPr>
                <w:rFonts w:ascii="仿宋_GB2312" w:hAnsi="仿宋_GB2312" w:cs="仿宋_GB2312" w:eastAsia="仿宋_GB2312"/>
                <w:sz w:val="24"/>
              </w:rPr>
              <w:t>服务期内提供配电柜、列头柜（智能精密配电柜）；</w:t>
            </w:r>
            <w:r>
              <w:rPr>
                <w:rFonts w:ascii="仿宋_GB2312" w:hAnsi="仿宋_GB2312" w:cs="仿宋_GB2312" w:eastAsia="仿宋_GB2312"/>
                <w:sz w:val="24"/>
              </w:rPr>
              <w:t>UPS、配电柜及列头柜设备间连接电缆维保服务，UPS巡检服务，UPS深度年检服务。</w:t>
            </w:r>
          </w:p>
          <w:p>
            <w:pPr>
              <w:pStyle w:val="null3"/>
              <w:numPr>
                <w:ilvl w:val="0"/>
                <w:numId w:val="2"/>
              </w:numPr>
              <w:jc w:val="both"/>
            </w:pPr>
            <w:r>
              <w:rPr>
                <w:rFonts w:ascii="仿宋_GB2312" w:hAnsi="仿宋_GB2312" w:cs="仿宋_GB2312" w:eastAsia="仿宋_GB2312"/>
                <w:sz w:val="24"/>
              </w:rPr>
              <w:t>维保服务清单</w:t>
            </w:r>
          </w:p>
          <w:tbl>
            <w:tblPr>
              <w:tblBorders>
                <w:top w:val="none" w:color="000000" w:sz="4"/>
                <w:left w:val="none" w:color="000000" w:sz="4"/>
                <w:bottom w:val="none" w:color="000000" w:sz="4"/>
                <w:right w:val="none" w:color="000000" w:sz="4"/>
                <w:insideH w:val="none"/>
                <w:insideV w:val="none"/>
              </w:tblBorders>
            </w:tblPr>
            <w:tblGrid>
              <w:gridCol w:w="133"/>
              <w:gridCol w:w="443"/>
              <w:gridCol w:w="416"/>
              <w:gridCol w:w="1125"/>
              <w:gridCol w:w="241"/>
              <w:gridCol w:w="195"/>
            </w:tblGrid>
            <w:tr>
              <w:tc>
                <w:tcPr>
                  <w:tcW w:type="dxa" w:w="1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4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名称</w:t>
                  </w:r>
                </w:p>
              </w:tc>
              <w:tc>
                <w:tcPr>
                  <w:tcW w:type="dxa" w:w="4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品牌</w:t>
                  </w:r>
                </w:p>
              </w:tc>
              <w:tc>
                <w:tcPr>
                  <w:tcW w:type="dxa" w:w="1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型号</w:t>
                  </w:r>
                </w:p>
              </w:tc>
              <w:tc>
                <w:tcPr>
                  <w:tcW w:type="dxa" w:w="2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1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UPS</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UPS A1</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艾默生</w:t>
                  </w:r>
                  <w:r>
                    <w:rPr>
                      <w:rFonts w:ascii="仿宋_GB2312" w:hAnsi="仿宋_GB2312" w:cs="仿宋_GB2312" w:eastAsia="仿宋_GB2312"/>
                      <w:sz w:val="24"/>
                      <w:color w:val="000000"/>
                    </w:rPr>
                    <w:t>Hipulse7000    NXL500KVA 12P</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UPS</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UPS A2</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艾默生</w:t>
                  </w:r>
                  <w:r>
                    <w:rPr>
                      <w:rFonts w:ascii="仿宋_GB2312" w:hAnsi="仿宋_GB2312" w:cs="仿宋_GB2312" w:eastAsia="仿宋_GB2312"/>
                      <w:sz w:val="24"/>
                      <w:color w:val="000000"/>
                    </w:rPr>
                    <w:t>Hipulse7000    NXL500KVA 12P</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UPS</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UPS A3</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艾默生</w:t>
                  </w:r>
                  <w:r>
                    <w:rPr>
                      <w:rFonts w:ascii="仿宋_GB2312" w:hAnsi="仿宋_GB2312" w:cs="仿宋_GB2312" w:eastAsia="仿宋_GB2312"/>
                      <w:sz w:val="24"/>
                      <w:color w:val="000000"/>
                    </w:rPr>
                    <w:t>Hipulse7000    NXL500KVA 12P</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ATS</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切换柜</w:t>
                  </w:r>
                  <w:r>
                    <w:rPr>
                      <w:rFonts w:ascii="仿宋_GB2312" w:hAnsi="仿宋_GB2312" w:cs="仿宋_GB2312" w:eastAsia="仿宋_GB2312"/>
                      <w:sz w:val="24"/>
                      <w:color w:val="000000"/>
                    </w:rPr>
                    <w:t>1</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ASCO  7000</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ATS</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切换柜</w:t>
                  </w:r>
                  <w:r>
                    <w:rPr>
                      <w:rFonts w:ascii="仿宋_GB2312" w:hAnsi="仿宋_GB2312" w:cs="仿宋_GB2312" w:eastAsia="仿宋_GB2312"/>
                      <w:sz w:val="24"/>
                      <w:color w:val="000000"/>
                    </w:rPr>
                    <w:t>2</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ASCO  7000</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ATS</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切换柜</w:t>
                  </w:r>
                  <w:r>
                    <w:rPr>
                      <w:rFonts w:ascii="仿宋_GB2312" w:hAnsi="仿宋_GB2312" w:cs="仿宋_GB2312" w:eastAsia="仿宋_GB2312"/>
                      <w:sz w:val="24"/>
                      <w:color w:val="000000"/>
                    </w:rPr>
                    <w:t>3</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ASCO  7000</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配电柜</w:t>
                  </w:r>
                  <w:r>
                    <w:rPr>
                      <w:rFonts w:ascii="仿宋_GB2312" w:hAnsi="仿宋_GB2312" w:cs="仿宋_GB2312" w:eastAsia="仿宋_GB2312"/>
                      <w:sz w:val="24"/>
                      <w:color w:val="000000"/>
                    </w:rPr>
                    <w:t>1</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空调配电柜</w:t>
                  </w:r>
                  <w:r>
                    <w:rPr>
                      <w:rFonts w:ascii="仿宋_GB2312" w:hAnsi="仿宋_GB2312" w:cs="仿宋_GB2312" w:eastAsia="仿宋_GB2312"/>
                      <w:sz w:val="24"/>
                      <w:color w:val="000000"/>
                    </w:rPr>
                    <w:t>1</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mns-4000</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配电柜</w:t>
                  </w:r>
                  <w:r>
                    <w:rPr>
                      <w:rFonts w:ascii="仿宋_GB2312" w:hAnsi="仿宋_GB2312" w:cs="仿宋_GB2312" w:eastAsia="仿宋_GB2312"/>
                      <w:sz w:val="24"/>
                      <w:color w:val="000000"/>
                    </w:rPr>
                    <w:t>2</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空调配电柜</w:t>
                  </w:r>
                  <w:r>
                    <w:rPr>
                      <w:rFonts w:ascii="仿宋_GB2312" w:hAnsi="仿宋_GB2312" w:cs="仿宋_GB2312" w:eastAsia="仿宋_GB2312"/>
                      <w:sz w:val="24"/>
                      <w:color w:val="000000"/>
                    </w:rPr>
                    <w:t>2</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mns-4000</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配电柜</w:t>
                  </w:r>
                  <w:r>
                    <w:rPr>
                      <w:rFonts w:ascii="仿宋_GB2312" w:hAnsi="仿宋_GB2312" w:cs="仿宋_GB2312" w:eastAsia="仿宋_GB2312"/>
                      <w:sz w:val="24"/>
                      <w:color w:val="000000"/>
                    </w:rPr>
                    <w:t>3</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空调配电柜</w:t>
                  </w:r>
                  <w:r>
                    <w:rPr>
                      <w:rFonts w:ascii="仿宋_GB2312" w:hAnsi="仿宋_GB2312" w:cs="仿宋_GB2312" w:eastAsia="仿宋_GB2312"/>
                      <w:sz w:val="24"/>
                      <w:color w:val="000000"/>
                    </w:rPr>
                    <w:t>3</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mns-4000</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配电柜</w:t>
                  </w:r>
                  <w:r>
                    <w:rPr>
                      <w:rFonts w:ascii="仿宋_GB2312" w:hAnsi="仿宋_GB2312" w:cs="仿宋_GB2312" w:eastAsia="仿宋_GB2312"/>
                      <w:sz w:val="24"/>
                      <w:color w:val="000000"/>
                    </w:rPr>
                    <w:t>1pd-a1</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联络开关柜</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mns-4000</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配电柜</w:t>
                  </w:r>
                  <w:r>
                    <w:rPr>
                      <w:rFonts w:ascii="仿宋_GB2312" w:hAnsi="仿宋_GB2312" w:cs="仿宋_GB2312" w:eastAsia="仿宋_GB2312"/>
                      <w:sz w:val="24"/>
                      <w:color w:val="000000"/>
                    </w:rPr>
                    <w:t>2pd-a2</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A路总输入柜</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mns-4000</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配电柜</w:t>
                  </w:r>
                  <w:r>
                    <w:rPr>
                      <w:rFonts w:ascii="仿宋_GB2312" w:hAnsi="仿宋_GB2312" w:cs="仿宋_GB2312" w:eastAsia="仿宋_GB2312"/>
                      <w:sz w:val="24"/>
                      <w:color w:val="000000"/>
                    </w:rPr>
                    <w:t>3pd-a3</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UPS输入柜</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mns-4000</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配电柜</w:t>
                  </w:r>
                  <w:r>
                    <w:rPr>
                      <w:rFonts w:ascii="仿宋_GB2312" w:hAnsi="仿宋_GB2312" w:cs="仿宋_GB2312" w:eastAsia="仿宋_GB2312"/>
                      <w:sz w:val="24"/>
                      <w:color w:val="000000"/>
                    </w:rPr>
                    <w:t>4pd-a4</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旁路开关柜</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mns-4000</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配电柜</w:t>
                  </w:r>
                  <w:r>
                    <w:rPr>
                      <w:rFonts w:ascii="仿宋_GB2312" w:hAnsi="仿宋_GB2312" w:cs="仿宋_GB2312" w:eastAsia="仿宋_GB2312"/>
                      <w:sz w:val="24"/>
                      <w:color w:val="000000"/>
                    </w:rPr>
                    <w:t>5pd-a5</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UPS输出柜</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mns-4000</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配电柜</w:t>
                  </w:r>
                  <w:r>
                    <w:rPr>
                      <w:rFonts w:ascii="仿宋_GB2312" w:hAnsi="仿宋_GB2312" w:cs="仿宋_GB2312" w:eastAsia="仿宋_GB2312"/>
                      <w:sz w:val="24"/>
                      <w:color w:val="000000"/>
                    </w:rPr>
                    <w:t>6pd-a6</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配电输出柜</w:t>
                  </w:r>
                  <w:r>
                    <w:rPr>
                      <w:rFonts w:ascii="仿宋_GB2312" w:hAnsi="仿宋_GB2312" w:cs="仿宋_GB2312" w:eastAsia="仿宋_GB2312"/>
                      <w:sz w:val="24"/>
                      <w:color w:val="000000"/>
                    </w:rPr>
                    <w:t>1</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mns-4000</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配电柜</w:t>
                  </w:r>
                  <w:r>
                    <w:rPr>
                      <w:rFonts w:ascii="仿宋_GB2312" w:hAnsi="仿宋_GB2312" w:cs="仿宋_GB2312" w:eastAsia="仿宋_GB2312"/>
                      <w:sz w:val="24"/>
                      <w:color w:val="000000"/>
                    </w:rPr>
                    <w:t>7pd-a7</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配电输出柜</w:t>
                  </w:r>
                  <w:r>
                    <w:rPr>
                      <w:rFonts w:ascii="仿宋_GB2312" w:hAnsi="仿宋_GB2312" w:cs="仿宋_GB2312" w:eastAsia="仿宋_GB2312"/>
                      <w:sz w:val="24"/>
                      <w:color w:val="000000"/>
                    </w:rPr>
                    <w:t>2</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mns-4000</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配电柜</w:t>
                  </w:r>
                  <w:r>
                    <w:rPr>
                      <w:rFonts w:ascii="仿宋_GB2312" w:hAnsi="仿宋_GB2312" w:cs="仿宋_GB2312" w:eastAsia="仿宋_GB2312"/>
                      <w:sz w:val="24"/>
                      <w:color w:val="000000"/>
                    </w:rPr>
                    <w:t>7pd-a8</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配电输出柜</w:t>
                  </w:r>
                  <w:r>
                    <w:rPr>
                      <w:rFonts w:ascii="仿宋_GB2312" w:hAnsi="仿宋_GB2312" w:cs="仿宋_GB2312" w:eastAsia="仿宋_GB2312"/>
                      <w:sz w:val="24"/>
                      <w:color w:val="000000"/>
                    </w:rPr>
                    <w:t>3</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mns-4000</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配电柜</w:t>
                  </w:r>
                  <w:r>
                    <w:rPr>
                      <w:rFonts w:ascii="仿宋_GB2312" w:hAnsi="仿宋_GB2312" w:cs="仿宋_GB2312" w:eastAsia="仿宋_GB2312"/>
                      <w:sz w:val="24"/>
                      <w:color w:val="000000"/>
                    </w:rPr>
                    <w:t>9pd-a9</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配电输出柜</w:t>
                  </w:r>
                  <w:r>
                    <w:rPr>
                      <w:rFonts w:ascii="仿宋_GB2312" w:hAnsi="仿宋_GB2312" w:cs="仿宋_GB2312" w:eastAsia="仿宋_GB2312"/>
                      <w:sz w:val="24"/>
                      <w:color w:val="000000"/>
                    </w:rPr>
                    <w:t>4</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mns-4000</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配电柜</w:t>
                  </w:r>
                  <w:r>
                    <w:rPr>
                      <w:rFonts w:ascii="仿宋_GB2312" w:hAnsi="仿宋_GB2312" w:cs="仿宋_GB2312" w:eastAsia="仿宋_GB2312"/>
                      <w:sz w:val="24"/>
                      <w:color w:val="000000"/>
                    </w:rPr>
                    <w:t>1pd-b1</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B路总输入柜</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mns-4000</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配电柜</w:t>
                  </w:r>
                  <w:r>
                    <w:rPr>
                      <w:rFonts w:ascii="仿宋_GB2312" w:hAnsi="仿宋_GB2312" w:cs="仿宋_GB2312" w:eastAsia="仿宋_GB2312"/>
                      <w:sz w:val="24"/>
                      <w:color w:val="000000"/>
                    </w:rPr>
                    <w:t>1pd-b2</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UPS输入柜</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mns-4000</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配电柜</w:t>
                  </w:r>
                  <w:r>
                    <w:rPr>
                      <w:rFonts w:ascii="仿宋_GB2312" w:hAnsi="仿宋_GB2312" w:cs="仿宋_GB2312" w:eastAsia="仿宋_GB2312"/>
                      <w:sz w:val="24"/>
                      <w:color w:val="000000"/>
                    </w:rPr>
                    <w:t>3pd-b3</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旁路开关柜</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mns-4000</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配电柜</w:t>
                  </w:r>
                  <w:r>
                    <w:rPr>
                      <w:rFonts w:ascii="仿宋_GB2312" w:hAnsi="仿宋_GB2312" w:cs="仿宋_GB2312" w:eastAsia="仿宋_GB2312"/>
                      <w:sz w:val="24"/>
                      <w:color w:val="000000"/>
                    </w:rPr>
                    <w:t>4pd-b4</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UPS输出柜</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mns-4000</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配电柜</w:t>
                  </w:r>
                  <w:r>
                    <w:rPr>
                      <w:rFonts w:ascii="仿宋_GB2312" w:hAnsi="仿宋_GB2312" w:cs="仿宋_GB2312" w:eastAsia="仿宋_GB2312"/>
                      <w:sz w:val="24"/>
                      <w:color w:val="000000"/>
                    </w:rPr>
                    <w:t>5pd-b5</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UPS输出柜</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mns-4000</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配电柜</w:t>
                  </w:r>
                  <w:r>
                    <w:rPr>
                      <w:rFonts w:ascii="仿宋_GB2312" w:hAnsi="仿宋_GB2312" w:cs="仿宋_GB2312" w:eastAsia="仿宋_GB2312"/>
                      <w:sz w:val="24"/>
                      <w:color w:val="000000"/>
                    </w:rPr>
                    <w:t>6pd-b6</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配电输出柜</w:t>
                  </w:r>
                  <w:r>
                    <w:rPr>
                      <w:rFonts w:ascii="仿宋_GB2312" w:hAnsi="仿宋_GB2312" w:cs="仿宋_GB2312" w:eastAsia="仿宋_GB2312"/>
                      <w:sz w:val="24"/>
                      <w:color w:val="000000"/>
                    </w:rPr>
                    <w:t>1</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mns-4000</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配电柜</w:t>
                  </w:r>
                  <w:r>
                    <w:rPr>
                      <w:rFonts w:ascii="仿宋_GB2312" w:hAnsi="仿宋_GB2312" w:cs="仿宋_GB2312" w:eastAsia="仿宋_GB2312"/>
                      <w:sz w:val="24"/>
                      <w:color w:val="000000"/>
                    </w:rPr>
                    <w:t>7pd-b7</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配电输出柜</w:t>
                  </w:r>
                  <w:r>
                    <w:rPr>
                      <w:rFonts w:ascii="仿宋_GB2312" w:hAnsi="仿宋_GB2312" w:cs="仿宋_GB2312" w:eastAsia="仿宋_GB2312"/>
                      <w:sz w:val="24"/>
                      <w:color w:val="000000"/>
                    </w:rPr>
                    <w:t>2</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mns-4000</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配电柜</w:t>
                  </w:r>
                  <w:r>
                    <w:rPr>
                      <w:rFonts w:ascii="仿宋_GB2312" w:hAnsi="仿宋_GB2312" w:cs="仿宋_GB2312" w:eastAsia="仿宋_GB2312"/>
                      <w:sz w:val="24"/>
                      <w:color w:val="000000"/>
                    </w:rPr>
                    <w:t>7pd-b8</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配电输出柜</w:t>
                  </w:r>
                  <w:r>
                    <w:rPr>
                      <w:rFonts w:ascii="仿宋_GB2312" w:hAnsi="仿宋_GB2312" w:cs="仿宋_GB2312" w:eastAsia="仿宋_GB2312"/>
                      <w:sz w:val="24"/>
                      <w:color w:val="000000"/>
                    </w:rPr>
                    <w:t>3</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mns-4000</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电源列头柜</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列头柜</w:t>
                  </w:r>
                  <w:r>
                    <w:rPr>
                      <w:rFonts w:ascii="仿宋_GB2312" w:hAnsi="仿宋_GB2312" w:cs="仿宋_GB2312" w:eastAsia="仿宋_GB2312"/>
                      <w:sz w:val="24"/>
                      <w:color w:val="000000"/>
                    </w:rPr>
                    <w:t>1</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GGD-1500：柜体为双路输入、每路配置输入380V/400A空开1个、输出220V/32A空开36个</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电源列头柜</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列头柜</w:t>
                  </w:r>
                  <w:r>
                    <w:rPr>
                      <w:rFonts w:ascii="仿宋_GB2312" w:hAnsi="仿宋_GB2312" w:cs="仿宋_GB2312" w:eastAsia="仿宋_GB2312"/>
                      <w:sz w:val="24"/>
                      <w:color w:val="000000"/>
                    </w:rPr>
                    <w:t>2</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GGD-1500：柜体为双路输入、每路配置输入380V/160A空开1个、输出220V/32A空开18个</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电源列头柜</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列头柜</w:t>
                  </w:r>
                  <w:r>
                    <w:rPr>
                      <w:rFonts w:ascii="仿宋_GB2312" w:hAnsi="仿宋_GB2312" w:cs="仿宋_GB2312" w:eastAsia="仿宋_GB2312"/>
                      <w:sz w:val="24"/>
                      <w:color w:val="000000"/>
                    </w:rPr>
                    <w:t>3</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GGD-1500：柜体为双路输入、每路配置输入380V/250A空开1个、输出220V/32A空开27个</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电源列头柜</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列头柜</w:t>
                  </w:r>
                  <w:r>
                    <w:rPr>
                      <w:rFonts w:ascii="仿宋_GB2312" w:hAnsi="仿宋_GB2312" w:cs="仿宋_GB2312" w:eastAsia="仿宋_GB2312"/>
                      <w:sz w:val="24"/>
                      <w:color w:val="000000"/>
                    </w:rPr>
                    <w:t>4</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GGD-1500：柜体为双路输入、每路配置输入380V/250A空开1个、输出220V/32A空开27个</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电源列头柜</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列头柜</w:t>
                  </w:r>
                  <w:r>
                    <w:rPr>
                      <w:rFonts w:ascii="仿宋_GB2312" w:hAnsi="仿宋_GB2312" w:cs="仿宋_GB2312" w:eastAsia="仿宋_GB2312"/>
                      <w:sz w:val="24"/>
                      <w:color w:val="000000"/>
                    </w:rPr>
                    <w:t>5</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GGD-1500：柜体为双路输入、每路配置输入380V/250A空开1个、输出220V/32A空开27个</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电源列头柜</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列头柜</w:t>
                  </w:r>
                  <w:r>
                    <w:rPr>
                      <w:rFonts w:ascii="仿宋_GB2312" w:hAnsi="仿宋_GB2312" w:cs="仿宋_GB2312" w:eastAsia="仿宋_GB2312"/>
                      <w:sz w:val="24"/>
                      <w:color w:val="000000"/>
                    </w:rPr>
                    <w:t>6</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GGD-1500：柜体为双路输入、每路配置输入380V/400A空开1个、输出220V/32A空开36个</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电源列头柜</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列头柜</w:t>
                  </w:r>
                  <w:r>
                    <w:rPr>
                      <w:rFonts w:ascii="仿宋_GB2312" w:hAnsi="仿宋_GB2312" w:cs="仿宋_GB2312" w:eastAsia="仿宋_GB2312"/>
                      <w:sz w:val="24"/>
                      <w:color w:val="000000"/>
                    </w:rPr>
                    <w:t>7</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GGD-1500：柜体为双路输入、每路配置输入380V/160A空开1个、输出220V/32A空开27个</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电源列头柜</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列头柜</w:t>
                  </w:r>
                  <w:r>
                    <w:rPr>
                      <w:rFonts w:ascii="仿宋_GB2312" w:hAnsi="仿宋_GB2312" w:cs="仿宋_GB2312" w:eastAsia="仿宋_GB2312"/>
                      <w:sz w:val="24"/>
                      <w:color w:val="000000"/>
                    </w:rPr>
                    <w:t>8</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GGD-1500：柜体为双路输入、每路配置输入380V/250A空开1个、输出220V/32A空开27个</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电源列头柜</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列头柜</w:t>
                  </w:r>
                  <w:r>
                    <w:rPr>
                      <w:rFonts w:ascii="仿宋_GB2312" w:hAnsi="仿宋_GB2312" w:cs="仿宋_GB2312" w:eastAsia="仿宋_GB2312"/>
                      <w:sz w:val="24"/>
                      <w:color w:val="000000"/>
                    </w:rPr>
                    <w:t>9</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GGD-1500：柜体为双路输入、每路配置输入380V/250A空开1个、输出220V/32A空开27个</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电源列头柜</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列头柜</w:t>
                  </w:r>
                  <w:r>
                    <w:rPr>
                      <w:rFonts w:ascii="仿宋_GB2312" w:hAnsi="仿宋_GB2312" w:cs="仿宋_GB2312" w:eastAsia="仿宋_GB2312"/>
                      <w:sz w:val="24"/>
                      <w:color w:val="000000"/>
                    </w:rPr>
                    <w:t>10</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SPM：柜体为双路输入、每路配置输入380V/250A空开1个、输出220V/32A空开27个</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电源列头柜</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列头柜</w:t>
                  </w:r>
                  <w:r>
                    <w:rPr>
                      <w:rFonts w:ascii="仿宋_GB2312" w:hAnsi="仿宋_GB2312" w:cs="仿宋_GB2312" w:eastAsia="仿宋_GB2312"/>
                      <w:sz w:val="24"/>
                      <w:color w:val="000000"/>
                    </w:rPr>
                    <w:t>11</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SPM：柜体为双路输入、每路配置输入380V/250A空开1个、输出220V/32A空开27个</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电源列头柜</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列头柜</w:t>
                  </w:r>
                  <w:r>
                    <w:rPr>
                      <w:rFonts w:ascii="仿宋_GB2312" w:hAnsi="仿宋_GB2312" w:cs="仿宋_GB2312" w:eastAsia="仿宋_GB2312"/>
                      <w:sz w:val="24"/>
                      <w:color w:val="000000"/>
                    </w:rPr>
                    <w:t>12</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GGD-1500：柜体为双路输入、每路配置输入380V/250A空开1个、输出380V/32A空开4个、输出220V/32A空开24个</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电源列头柜</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列头柜</w:t>
                  </w:r>
                  <w:r>
                    <w:rPr>
                      <w:rFonts w:ascii="仿宋_GB2312" w:hAnsi="仿宋_GB2312" w:cs="仿宋_GB2312" w:eastAsia="仿宋_GB2312"/>
                      <w:sz w:val="24"/>
                      <w:color w:val="000000"/>
                    </w:rPr>
                    <w:t>13</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GGD-1500：柜体为双路输入、每路配置输入380V/250A空开1个、输出380V/32A空开12个，220V/32A空开12个</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电源列头柜</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列头柜</w:t>
                  </w:r>
                  <w:r>
                    <w:rPr>
                      <w:rFonts w:ascii="仿宋_GB2312" w:hAnsi="仿宋_GB2312" w:cs="仿宋_GB2312" w:eastAsia="仿宋_GB2312"/>
                      <w:sz w:val="24"/>
                      <w:color w:val="000000"/>
                    </w:rPr>
                    <w:t>14</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GGD-1500：柜体为双路输入、每路配置输入380V/250A空开1个、输出220V/32A空开27个</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电源列头柜</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列头柜</w:t>
                  </w:r>
                  <w:r>
                    <w:rPr>
                      <w:rFonts w:ascii="仿宋_GB2312" w:hAnsi="仿宋_GB2312" w:cs="仿宋_GB2312" w:eastAsia="仿宋_GB2312"/>
                      <w:sz w:val="24"/>
                      <w:color w:val="000000"/>
                    </w:rPr>
                    <w:t>15</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GGD-1500：柜体为双路输入、每路配置输入380V/250A空开1个、输出220V/32A空开27个</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电源列头柜</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列头柜</w:t>
                  </w:r>
                  <w:r>
                    <w:rPr>
                      <w:rFonts w:ascii="仿宋_GB2312" w:hAnsi="仿宋_GB2312" w:cs="仿宋_GB2312" w:eastAsia="仿宋_GB2312"/>
                      <w:sz w:val="24"/>
                      <w:color w:val="000000"/>
                    </w:rPr>
                    <w:t>16</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GGD-1500：柜体为双路输入、每路配置输入380V/160A空开1个、输出220V/32A空开18个</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电源列头柜</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列头柜</w:t>
                  </w:r>
                  <w:r>
                    <w:rPr>
                      <w:rFonts w:ascii="仿宋_GB2312" w:hAnsi="仿宋_GB2312" w:cs="仿宋_GB2312" w:eastAsia="仿宋_GB2312"/>
                      <w:sz w:val="24"/>
                      <w:color w:val="000000"/>
                    </w:rPr>
                    <w:t>17</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GGD-1500：柜体为双路输入、每路配置输入380V/160A空开1个、输出380V/32A空开10个、输出220V/32A空开3个</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44</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电源列头柜</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列头柜</w:t>
                  </w:r>
                  <w:r>
                    <w:rPr>
                      <w:rFonts w:ascii="仿宋_GB2312" w:hAnsi="仿宋_GB2312" w:cs="仿宋_GB2312" w:eastAsia="仿宋_GB2312"/>
                      <w:sz w:val="24"/>
                      <w:color w:val="000000"/>
                    </w:rPr>
                    <w:t>18</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GGD-1500：柜体为双路输入、每路配置输入380V/250A空开1个、输出220V/32A空开30个</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电源列头柜</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列头柜</w:t>
                  </w:r>
                  <w:r>
                    <w:rPr>
                      <w:rFonts w:ascii="仿宋_GB2312" w:hAnsi="仿宋_GB2312" w:cs="仿宋_GB2312" w:eastAsia="仿宋_GB2312"/>
                      <w:sz w:val="24"/>
                      <w:color w:val="000000"/>
                    </w:rPr>
                    <w:t>19</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GGD-1500：柜体为双路输入、每路配置输入380V/250A空开1个、输出220V/32A空开27个</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46</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电源列头柜</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列头柜</w:t>
                  </w:r>
                  <w:r>
                    <w:rPr>
                      <w:rFonts w:ascii="仿宋_GB2312" w:hAnsi="仿宋_GB2312" w:cs="仿宋_GB2312" w:eastAsia="仿宋_GB2312"/>
                      <w:sz w:val="24"/>
                      <w:color w:val="000000"/>
                    </w:rPr>
                    <w:t>20</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GGD-1500：柜体为双路输入、每路配置输入380V/250A空开1个、输出220V/32A空开27个</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47</w:t>
                  </w:r>
                </w:p>
              </w:tc>
              <w:tc>
                <w:tcPr>
                  <w:tcW w:type="dxa" w:w="4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备品备件</w:t>
                  </w:r>
                </w:p>
              </w:tc>
              <w:tc>
                <w:tcPr>
                  <w:tcW w:type="dxa" w:w="4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配电柜系统</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框架断路器（主开关）：</w:t>
                  </w:r>
                  <w:r>
                    <w:rPr>
                      <w:rFonts w:ascii="仿宋_GB2312" w:hAnsi="仿宋_GB2312" w:cs="仿宋_GB2312" w:eastAsia="仿宋_GB2312"/>
                      <w:sz w:val="24"/>
                      <w:color w:val="000000"/>
                    </w:rPr>
                    <w:t>2台，规格要求：同型号额定电流</w:t>
                  </w:r>
                </w:p>
              </w:tc>
              <w:tc>
                <w:tcPr>
                  <w:tcW w:type="dxa" w:w="2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1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3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416"/>
                  <w:vMerge/>
                  <w:tcBorders>
                    <w:top w:val="none" w:color="000000" w:sz="4"/>
                    <w:left w:val="none" w:color="000000" w:sz="4"/>
                    <w:bottom w:val="single" w:color="000000" w:sz="4"/>
                    <w:right w:val="single" w:color="000000" w:sz="4"/>
                  </w:tcBorders>
                </w:tc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塑壳断路器（分支）：</w:t>
                  </w:r>
                  <w:r>
                    <w:rPr>
                      <w:rFonts w:ascii="仿宋_GB2312" w:hAnsi="仿宋_GB2312" w:cs="仿宋_GB2312" w:eastAsia="仿宋_GB2312"/>
                      <w:sz w:val="24"/>
                      <w:color w:val="000000"/>
                    </w:rPr>
                    <w:t>10个，规格要求250A/3P</w:t>
                  </w:r>
                </w:p>
              </w:tc>
              <w:tc>
                <w:tcPr>
                  <w:tcW w:type="dxa" w:w="241"/>
                  <w:vMerge/>
                  <w:tcBorders>
                    <w:top w:val="none" w:color="000000" w:sz="4"/>
                    <w:left w:val="none" w:color="000000" w:sz="4"/>
                    <w:bottom w:val="single" w:color="000000" w:sz="4"/>
                    <w:right w:val="single" w:color="000000" w:sz="4"/>
                  </w:tcBorders>
                </w:tcPr>
                <w:p/>
              </w:tc>
              <w:tc>
                <w:tcPr>
                  <w:tcW w:type="dxa" w:w="195"/>
                  <w:vMerge/>
                  <w:tcBorders>
                    <w:top w:val="none" w:color="000000" w:sz="4"/>
                    <w:left w:val="none" w:color="000000" w:sz="4"/>
                    <w:bottom w:val="single" w:color="000000" w:sz="4"/>
                    <w:right w:val="single" w:color="000000" w:sz="4"/>
                  </w:tcBorders>
                </w:tcPr>
                <w:p/>
              </w:tc>
            </w:tr>
            <w:tr>
              <w:tc>
                <w:tcPr>
                  <w:tcW w:type="dxa" w:w="13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416"/>
                  <w:vMerge/>
                  <w:tcBorders>
                    <w:top w:val="none" w:color="000000" w:sz="4"/>
                    <w:left w:val="none" w:color="000000" w:sz="4"/>
                    <w:bottom w:val="single" w:color="000000" w:sz="4"/>
                    <w:right w:val="single" w:color="000000" w:sz="4"/>
                  </w:tcBorders>
                </w:tc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电流互感器：</w:t>
                  </w:r>
                  <w:r>
                    <w:rPr>
                      <w:rFonts w:ascii="仿宋_GB2312" w:hAnsi="仿宋_GB2312" w:cs="仿宋_GB2312" w:eastAsia="仿宋_GB2312"/>
                      <w:sz w:val="24"/>
                      <w:color w:val="000000"/>
                    </w:rPr>
                    <w:t>6套，规格要求：精度0.5级</w:t>
                  </w:r>
                </w:p>
              </w:tc>
              <w:tc>
                <w:tcPr>
                  <w:tcW w:type="dxa" w:w="241"/>
                  <w:vMerge/>
                  <w:tcBorders>
                    <w:top w:val="none" w:color="000000" w:sz="4"/>
                    <w:left w:val="none" w:color="000000" w:sz="4"/>
                    <w:bottom w:val="single" w:color="000000" w:sz="4"/>
                    <w:right w:val="single" w:color="000000" w:sz="4"/>
                  </w:tcBorders>
                </w:tcPr>
                <w:p/>
              </w:tc>
              <w:tc>
                <w:tcPr>
                  <w:tcW w:type="dxa" w:w="195"/>
                  <w:vMerge/>
                  <w:tcBorders>
                    <w:top w:val="none" w:color="000000" w:sz="4"/>
                    <w:left w:val="none" w:color="000000" w:sz="4"/>
                    <w:bottom w:val="single" w:color="000000" w:sz="4"/>
                    <w:right w:val="single" w:color="000000" w:sz="4"/>
                  </w:tcBorders>
                </w:tcPr>
                <w:p/>
              </w:tc>
            </w:tr>
            <w:tr>
              <w:tc>
                <w:tcPr>
                  <w:tcW w:type="dxa" w:w="13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416"/>
                  <w:vMerge/>
                  <w:tcBorders>
                    <w:top w:val="none" w:color="000000" w:sz="4"/>
                    <w:left w:val="none" w:color="000000" w:sz="4"/>
                    <w:bottom w:val="single" w:color="000000" w:sz="4"/>
                    <w:right w:val="single" w:color="000000" w:sz="4"/>
                  </w:tcBorders>
                </w:tc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母排连接件：</w:t>
                  </w:r>
                  <w:r>
                    <w:rPr>
                      <w:rFonts w:ascii="仿宋_GB2312" w:hAnsi="仿宋_GB2312" w:cs="仿宋_GB2312" w:eastAsia="仿宋_GB2312"/>
                      <w:sz w:val="24"/>
                      <w:color w:val="000000"/>
                    </w:rPr>
                    <w:t>20套，规格要求：铜排TMY-60×6（带绝缘护套）</w:t>
                  </w:r>
                </w:p>
              </w:tc>
              <w:tc>
                <w:tcPr>
                  <w:tcW w:type="dxa" w:w="241"/>
                  <w:vMerge/>
                  <w:tcBorders>
                    <w:top w:val="none" w:color="000000" w:sz="4"/>
                    <w:left w:val="none" w:color="000000" w:sz="4"/>
                    <w:bottom w:val="single" w:color="000000" w:sz="4"/>
                    <w:right w:val="single" w:color="000000" w:sz="4"/>
                  </w:tcBorders>
                </w:tcPr>
                <w:p/>
              </w:tc>
              <w:tc>
                <w:tcPr>
                  <w:tcW w:type="dxa" w:w="195"/>
                  <w:vMerge/>
                  <w:tcBorders>
                    <w:top w:val="none" w:color="000000" w:sz="4"/>
                    <w:left w:val="none" w:color="000000" w:sz="4"/>
                    <w:bottom w:val="single" w:color="000000" w:sz="4"/>
                    <w:right w:val="single" w:color="000000" w:sz="4"/>
                  </w:tcBorders>
                </w:tcPr>
                <w:p/>
              </w:tc>
            </w:tr>
            <w:tr>
              <w:tc>
                <w:tcPr>
                  <w:tcW w:type="dxa" w:w="13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416"/>
                  <w:vMerge/>
                  <w:tcBorders>
                    <w:top w:val="none" w:color="000000" w:sz="4"/>
                    <w:left w:val="none" w:color="000000" w:sz="4"/>
                    <w:bottom w:val="single" w:color="000000" w:sz="4"/>
                    <w:right w:val="single" w:color="000000" w:sz="4"/>
                  </w:tcBorders>
                </w:tc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防雷模块：</w:t>
                  </w:r>
                  <w:r>
                    <w:rPr>
                      <w:rFonts w:ascii="仿宋_GB2312" w:hAnsi="仿宋_GB2312" w:cs="仿宋_GB2312" w:eastAsia="仿宋_GB2312"/>
                      <w:sz w:val="24"/>
                      <w:color w:val="000000"/>
                    </w:rPr>
                    <w:t>4套，规格要求：40kA/4P</w:t>
                  </w:r>
                </w:p>
              </w:tc>
              <w:tc>
                <w:tcPr>
                  <w:tcW w:type="dxa" w:w="241"/>
                  <w:vMerge/>
                  <w:tcBorders>
                    <w:top w:val="none" w:color="000000" w:sz="4"/>
                    <w:left w:val="none" w:color="000000" w:sz="4"/>
                    <w:bottom w:val="single" w:color="000000" w:sz="4"/>
                    <w:right w:val="single" w:color="000000" w:sz="4"/>
                  </w:tcBorders>
                </w:tcPr>
                <w:p/>
              </w:tc>
              <w:tc>
                <w:tcPr>
                  <w:tcW w:type="dxa" w:w="195"/>
                  <w:vMerge/>
                  <w:tcBorders>
                    <w:top w:val="none" w:color="000000" w:sz="4"/>
                    <w:left w:val="none" w:color="000000" w:sz="4"/>
                    <w:bottom w:val="single" w:color="000000" w:sz="4"/>
                    <w:right w:val="single" w:color="000000" w:sz="4"/>
                  </w:tcBorders>
                </w:tcPr>
                <w:p/>
              </w:tc>
            </w:tr>
            <w:tr>
              <w:tc>
                <w:tcPr>
                  <w:tcW w:type="dxa" w:w="13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4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列头柜系统</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数字电表模块：</w:t>
                  </w:r>
                  <w:r>
                    <w:rPr>
                      <w:rFonts w:ascii="仿宋_GB2312" w:hAnsi="仿宋_GB2312" w:cs="仿宋_GB2312" w:eastAsia="仿宋_GB2312"/>
                      <w:sz w:val="24"/>
                      <w:color w:val="000000"/>
                    </w:rPr>
                    <w:t>4个，规格要求：具有RS485/MODBUS</w:t>
                  </w:r>
                </w:p>
              </w:tc>
              <w:tc>
                <w:tcPr>
                  <w:tcW w:type="dxa" w:w="241"/>
                  <w:vMerge/>
                  <w:tcBorders>
                    <w:top w:val="none" w:color="000000" w:sz="4"/>
                    <w:left w:val="none" w:color="000000" w:sz="4"/>
                    <w:bottom w:val="single" w:color="000000" w:sz="4"/>
                    <w:right w:val="single" w:color="000000" w:sz="4"/>
                  </w:tcBorders>
                </w:tcPr>
                <w:p/>
              </w:tc>
              <w:tc>
                <w:tcPr>
                  <w:tcW w:type="dxa" w:w="195"/>
                  <w:vMerge/>
                  <w:tcBorders>
                    <w:top w:val="none" w:color="000000" w:sz="4"/>
                    <w:left w:val="none" w:color="000000" w:sz="4"/>
                    <w:bottom w:val="single" w:color="000000" w:sz="4"/>
                    <w:right w:val="single" w:color="000000" w:sz="4"/>
                  </w:tcBorders>
                </w:tcPr>
                <w:p/>
              </w:tc>
            </w:tr>
            <w:tr>
              <w:tc>
                <w:tcPr>
                  <w:tcW w:type="dxa" w:w="13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416"/>
                  <w:vMerge/>
                  <w:tcBorders>
                    <w:top w:val="none" w:color="000000" w:sz="4"/>
                    <w:left w:val="none" w:color="000000" w:sz="4"/>
                    <w:bottom w:val="single" w:color="000000" w:sz="4"/>
                    <w:right w:val="single" w:color="000000" w:sz="4"/>
                  </w:tcBorders>
                </w:tc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触摸屏</w:t>
                  </w:r>
                  <w:r>
                    <w:rPr>
                      <w:rFonts w:ascii="仿宋_GB2312" w:hAnsi="仿宋_GB2312" w:cs="仿宋_GB2312" w:eastAsia="仿宋_GB2312"/>
                      <w:sz w:val="24"/>
                      <w:color w:val="000000"/>
                    </w:rPr>
                    <w:t>HMI：2块，规格要求：原厂兼容型号</w:t>
                  </w:r>
                </w:p>
              </w:tc>
              <w:tc>
                <w:tcPr>
                  <w:tcW w:type="dxa" w:w="241"/>
                  <w:vMerge/>
                  <w:tcBorders>
                    <w:top w:val="none" w:color="000000" w:sz="4"/>
                    <w:left w:val="none" w:color="000000" w:sz="4"/>
                    <w:bottom w:val="single" w:color="000000" w:sz="4"/>
                    <w:right w:val="single" w:color="000000" w:sz="4"/>
                  </w:tcBorders>
                </w:tcPr>
                <w:p/>
              </w:tc>
              <w:tc>
                <w:tcPr>
                  <w:tcW w:type="dxa" w:w="195"/>
                  <w:vMerge/>
                  <w:tcBorders>
                    <w:top w:val="none" w:color="000000" w:sz="4"/>
                    <w:left w:val="none" w:color="000000" w:sz="4"/>
                    <w:bottom w:val="single" w:color="000000" w:sz="4"/>
                    <w:right w:val="single" w:color="000000" w:sz="4"/>
                  </w:tcBorders>
                </w:tcPr>
                <w:p/>
              </w:tc>
            </w:tr>
            <w:tr>
              <w:tc>
                <w:tcPr>
                  <w:tcW w:type="dxa" w:w="13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416"/>
                  <w:vMerge/>
                  <w:tcBorders>
                    <w:top w:val="none" w:color="000000" w:sz="4"/>
                    <w:left w:val="none" w:color="000000" w:sz="4"/>
                    <w:bottom w:val="single" w:color="000000" w:sz="4"/>
                    <w:right w:val="single" w:color="000000" w:sz="4"/>
                  </w:tcBorders>
                </w:tc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通信网关：</w:t>
                  </w:r>
                  <w:r>
                    <w:rPr>
                      <w:rFonts w:ascii="仿宋_GB2312" w:hAnsi="仿宋_GB2312" w:cs="仿宋_GB2312" w:eastAsia="仿宋_GB2312"/>
                      <w:sz w:val="24"/>
                      <w:color w:val="000000"/>
                    </w:rPr>
                    <w:t>2台，规格要求：多协议转换</w:t>
                  </w:r>
                </w:p>
              </w:tc>
              <w:tc>
                <w:tcPr>
                  <w:tcW w:type="dxa" w:w="241"/>
                  <w:vMerge/>
                  <w:tcBorders>
                    <w:top w:val="none" w:color="000000" w:sz="4"/>
                    <w:left w:val="none" w:color="000000" w:sz="4"/>
                    <w:bottom w:val="single" w:color="000000" w:sz="4"/>
                    <w:right w:val="single" w:color="000000" w:sz="4"/>
                  </w:tcBorders>
                </w:tcPr>
                <w:p/>
              </w:tc>
              <w:tc>
                <w:tcPr>
                  <w:tcW w:type="dxa" w:w="195"/>
                  <w:vMerge/>
                  <w:tcBorders>
                    <w:top w:val="none" w:color="000000" w:sz="4"/>
                    <w:left w:val="none" w:color="000000" w:sz="4"/>
                    <w:bottom w:val="single" w:color="000000" w:sz="4"/>
                    <w:right w:val="single" w:color="000000" w:sz="4"/>
                  </w:tcBorders>
                </w:tcPr>
                <w:p/>
              </w:tc>
            </w:tr>
            <w:tr>
              <w:tc>
                <w:tcPr>
                  <w:tcW w:type="dxa" w:w="13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416"/>
                  <w:vMerge/>
                  <w:tcBorders>
                    <w:top w:val="none" w:color="000000" w:sz="4"/>
                    <w:left w:val="none" w:color="000000" w:sz="4"/>
                    <w:bottom w:val="single" w:color="000000" w:sz="4"/>
                    <w:right w:val="single" w:color="000000" w:sz="4"/>
                  </w:tcBorders>
                </w:tc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熔断器：</w:t>
                  </w:r>
                  <w:r>
                    <w:rPr>
                      <w:rFonts w:ascii="仿宋_GB2312" w:hAnsi="仿宋_GB2312" w:cs="仿宋_GB2312" w:eastAsia="仿宋_GB2312"/>
                      <w:sz w:val="24"/>
                      <w:color w:val="000000"/>
                    </w:rPr>
                    <w:t>15只，规格要求：NH00级</w:t>
                  </w:r>
                </w:p>
              </w:tc>
              <w:tc>
                <w:tcPr>
                  <w:tcW w:type="dxa" w:w="241"/>
                  <w:vMerge/>
                  <w:tcBorders>
                    <w:top w:val="none" w:color="000000" w:sz="4"/>
                    <w:left w:val="none" w:color="000000" w:sz="4"/>
                    <w:bottom w:val="single" w:color="000000" w:sz="4"/>
                    <w:right w:val="single" w:color="000000" w:sz="4"/>
                  </w:tcBorders>
                </w:tcPr>
                <w:p/>
              </w:tc>
              <w:tc>
                <w:tcPr>
                  <w:tcW w:type="dxa" w:w="195"/>
                  <w:vMerge/>
                  <w:tcBorders>
                    <w:top w:val="none" w:color="000000" w:sz="4"/>
                    <w:left w:val="none" w:color="000000" w:sz="4"/>
                    <w:bottom w:val="single" w:color="000000" w:sz="4"/>
                    <w:right w:val="single" w:color="000000" w:sz="4"/>
                  </w:tcBorders>
                </w:tcPr>
                <w:p/>
              </w:tc>
            </w:tr>
            <w:tr>
              <w:tc>
                <w:tcPr>
                  <w:tcW w:type="dxa" w:w="13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4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UPS系统</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IGBT功率模块：3套，规格要求：同UPS厂商型号</w:t>
                  </w:r>
                </w:p>
              </w:tc>
              <w:tc>
                <w:tcPr>
                  <w:tcW w:type="dxa" w:w="241"/>
                  <w:vMerge/>
                  <w:tcBorders>
                    <w:top w:val="none" w:color="000000" w:sz="4"/>
                    <w:left w:val="none" w:color="000000" w:sz="4"/>
                    <w:bottom w:val="single" w:color="000000" w:sz="4"/>
                    <w:right w:val="single" w:color="000000" w:sz="4"/>
                  </w:tcBorders>
                </w:tcPr>
                <w:p/>
              </w:tc>
              <w:tc>
                <w:tcPr>
                  <w:tcW w:type="dxa" w:w="195"/>
                  <w:vMerge/>
                  <w:tcBorders>
                    <w:top w:val="none" w:color="000000" w:sz="4"/>
                    <w:left w:val="none" w:color="000000" w:sz="4"/>
                    <w:bottom w:val="single" w:color="000000" w:sz="4"/>
                    <w:right w:val="single" w:color="000000" w:sz="4"/>
                  </w:tcBorders>
                </w:tcPr>
                <w:p/>
              </w:tc>
            </w:tr>
            <w:tr>
              <w:tc>
                <w:tcPr>
                  <w:tcW w:type="dxa" w:w="13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416"/>
                  <w:vMerge/>
                  <w:tcBorders>
                    <w:top w:val="none" w:color="000000" w:sz="4"/>
                    <w:left w:val="none" w:color="000000" w:sz="4"/>
                    <w:bottom w:val="single" w:color="000000" w:sz="4"/>
                    <w:right w:val="single" w:color="000000" w:sz="4"/>
                  </w:tcBorders>
                </w:tc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滤波电容：</w:t>
                  </w:r>
                  <w:r>
                    <w:rPr>
                      <w:rFonts w:ascii="仿宋_GB2312" w:hAnsi="仿宋_GB2312" w:cs="仿宋_GB2312" w:eastAsia="仿宋_GB2312"/>
                      <w:sz w:val="24"/>
                      <w:color w:val="000000"/>
                    </w:rPr>
                    <w:t>10只，规格要求：450VDC/2200μF</w:t>
                  </w:r>
                </w:p>
              </w:tc>
              <w:tc>
                <w:tcPr>
                  <w:tcW w:type="dxa" w:w="241"/>
                  <w:vMerge/>
                  <w:tcBorders>
                    <w:top w:val="none" w:color="000000" w:sz="4"/>
                    <w:left w:val="none" w:color="000000" w:sz="4"/>
                    <w:bottom w:val="single" w:color="000000" w:sz="4"/>
                    <w:right w:val="single" w:color="000000" w:sz="4"/>
                  </w:tcBorders>
                </w:tcPr>
                <w:p/>
              </w:tc>
              <w:tc>
                <w:tcPr>
                  <w:tcW w:type="dxa" w:w="195"/>
                  <w:vMerge/>
                  <w:tcBorders>
                    <w:top w:val="none" w:color="000000" w:sz="4"/>
                    <w:left w:val="none" w:color="000000" w:sz="4"/>
                    <w:bottom w:val="single" w:color="000000" w:sz="4"/>
                    <w:right w:val="single" w:color="000000" w:sz="4"/>
                  </w:tcBorders>
                </w:tcPr>
                <w:p/>
              </w:tc>
            </w:tr>
            <w:tr>
              <w:tc>
                <w:tcPr>
                  <w:tcW w:type="dxa" w:w="13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416"/>
                  <w:vMerge/>
                  <w:tcBorders>
                    <w:top w:val="none" w:color="000000" w:sz="4"/>
                    <w:left w:val="none" w:color="000000" w:sz="4"/>
                    <w:bottom w:val="single" w:color="000000" w:sz="4"/>
                    <w:right w:val="single" w:color="000000" w:sz="4"/>
                  </w:tcBorders>
                </w:tc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风扇组：</w:t>
                  </w:r>
                  <w:r>
                    <w:rPr>
                      <w:rFonts w:ascii="仿宋_GB2312" w:hAnsi="仿宋_GB2312" w:cs="仿宋_GB2312" w:eastAsia="仿宋_GB2312"/>
                      <w:sz w:val="24"/>
                      <w:color w:val="000000"/>
                    </w:rPr>
                    <w:t>6套，规格要求：轴流式</w:t>
                  </w:r>
                </w:p>
              </w:tc>
              <w:tc>
                <w:tcPr>
                  <w:tcW w:type="dxa" w:w="241"/>
                  <w:vMerge/>
                  <w:tcBorders>
                    <w:top w:val="none" w:color="000000" w:sz="4"/>
                    <w:left w:val="none" w:color="000000" w:sz="4"/>
                    <w:bottom w:val="single" w:color="000000" w:sz="4"/>
                    <w:right w:val="single" w:color="000000" w:sz="4"/>
                  </w:tcBorders>
                </w:tcPr>
                <w:p/>
              </w:tc>
              <w:tc>
                <w:tcPr>
                  <w:tcW w:type="dxa" w:w="195"/>
                  <w:vMerge/>
                  <w:tcBorders>
                    <w:top w:val="none" w:color="000000" w:sz="4"/>
                    <w:left w:val="none" w:color="000000" w:sz="4"/>
                    <w:bottom w:val="single" w:color="000000" w:sz="4"/>
                    <w:right w:val="single" w:color="000000" w:sz="4"/>
                  </w:tcBorders>
                </w:tcPr>
                <w:p/>
              </w:tc>
            </w:tr>
            <w:tr>
              <w:tc>
                <w:tcPr>
                  <w:tcW w:type="dxa" w:w="13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4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线缆及连接件</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阻燃电缆：</w:t>
                  </w:r>
                  <w:r>
                    <w:rPr>
                      <w:rFonts w:ascii="仿宋_GB2312" w:hAnsi="仿宋_GB2312" w:cs="仿宋_GB2312" w:eastAsia="仿宋_GB2312"/>
                      <w:sz w:val="24"/>
                      <w:color w:val="000000"/>
                    </w:rPr>
                    <w:t>50米，规格要求：ZR-YJV-0.6/1kV 4×120mm²</w:t>
                  </w:r>
                </w:p>
              </w:tc>
              <w:tc>
                <w:tcPr>
                  <w:tcW w:type="dxa" w:w="241"/>
                  <w:vMerge/>
                  <w:tcBorders>
                    <w:top w:val="none" w:color="000000" w:sz="4"/>
                    <w:left w:val="none" w:color="000000" w:sz="4"/>
                    <w:bottom w:val="single" w:color="000000" w:sz="4"/>
                    <w:right w:val="single" w:color="000000" w:sz="4"/>
                  </w:tcBorders>
                </w:tcPr>
                <w:p/>
              </w:tc>
              <w:tc>
                <w:tcPr>
                  <w:tcW w:type="dxa" w:w="195"/>
                  <w:vMerge/>
                  <w:tcBorders>
                    <w:top w:val="none" w:color="000000" w:sz="4"/>
                    <w:left w:val="none" w:color="000000" w:sz="4"/>
                    <w:bottom w:val="single" w:color="000000" w:sz="4"/>
                    <w:right w:val="single" w:color="000000" w:sz="4"/>
                  </w:tcBorders>
                </w:tcPr>
                <w:p/>
              </w:tc>
            </w:tr>
            <w:tr>
              <w:tc>
                <w:tcPr>
                  <w:tcW w:type="dxa" w:w="13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416"/>
                  <w:vMerge/>
                  <w:tcBorders>
                    <w:top w:val="none" w:color="000000" w:sz="4"/>
                    <w:left w:val="none" w:color="000000" w:sz="4"/>
                    <w:bottom w:val="single" w:color="000000" w:sz="4"/>
                    <w:right w:val="single" w:color="000000" w:sz="4"/>
                  </w:tcBorders>
                </w:tc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铜鼻子：</w:t>
                  </w:r>
                  <w:r>
                    <w:rPr>
                      <w:rFonts w:ascii="仿宋_GB2312" w:hAnsi="仿宋_GB2312" w:cs="仿宋_GB2312" w:eastAsia="仿宋_GB2312"/>
                      <w:sz w:val="24"/>
                      <w:color w:val="000000"/>
                    </w:rPr>
                    <w:t>30个，规格要求：DT-120mm²（镀锡处理）</w:t>
                  </w:r>
                </w:p>
              </w:tc>
              <w:tc>
                <w:tcPr>
                  <w:tcW w:type="dxa" w:w="241"/>
                  <w:vMerge/>
                  <w:tcBorders>
                    <w:top w:val="none" w:color="000000" w:sz="4"/>
                    <w:left w:val="none" w:color="000000" w:sz="4"/>
                    <w:bottom w:val="single" w:color="000000" w:sz="4"/>
                    <w:right w:val="single" w:color="000000" w:sz="4"/>
                  </w:tcBorders>
                </w:tcPr>
                <w:p/>
              </w:tc>
              <w:tc>
                <w:tcPr>
                  <w:tcW w:type="dxa" w:w="195"/>
                  <w:vMerge/>
                  <w:tcBorders>
                    <w:top w:val="none" w:color="000000" w:sz="4"/>
                    <w:left w:val="none" w:color="000000" w:sz="4"/>
                    <w:bottom w:val="single" w:color="000000" w:sz="4"/>
                    <w:right w:val="single" w:color="000000" w:sz="4"/>
                  </w:tcBorders>
                </w:tcPr>
                <w:p/>
              </w:tc>
            </w:tr>
            <w:tr>
              <w:tc>
                <w:tcPr>
                  <w:tcW w:type="dxa" w:w="133"/>
                  <w:vMerge/>
                  <w:tcBorders>
                    <w:top w:val="none" w:color="000000" w:sz="4"/>
                    <w:left w:val="singl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416"/>
                  <w:vMerge/>
                  <w:tcBorders>
                    <w:top w:val="none" w:color="000000" w:sz="4"/>
                    <w:left w:val="none" w:color="000000" w:sz="4"/>
                    <w:bottom w:val="single" w:color="000000" w:sz="4"/>
                    <w:right w:val="single" w:color="000000" w:sz="4"/>
                  </w:tcBorders>
                </w:tcP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光纤跳线：</w:t>
                  </w:r>
                  <w:r>
                    <w:rPr>
                      <w:rFonts w:ascii="仿宋_GB2312" w:hAnsi="仿宋_GB2312" w:cs="仿宋_GB2312" w:eastAsia="仿宋_GB2312"/>
                      <w:sz w:val="24"/>
                      <w:color w:val="000000"/>
                    </w:rPr>
                    <w:t>10条，规格要求：LC-LC多模OM4（3米）</w:t>
                  </w:r>
                </w:p>
              </w:tc>
              <w:tc>
                <w:tcPr>
                  <w:tcW w:type="dxa" w:w="241"/>
                  <w:vMerge/>
                  <w:tcBorders>
                    <w:top w:val="none" w:color="000000" w:sz="4"/>
                    <w:left w:val="none" w:color="000000" w:sz="4"/>
                    <w:bottom w:val="single" w:color="000000" w:sz="4"/>
                    <w:right w:val="single" w:color="000000" w:sz="4"/>
                  </w:tcBorders>
                </w:tcPr>
                <w:p/>
              </w:tc>
              <w:tc>
                <w:tcPr>
                  <w:tcW w:type="dxa" w:w="195"/>
                  <w:vMerge/>
                  <w:tcBorders>
                    <w:top w:val="none" w:color="000000" w:sz="4"/>
                    <w:left w:val="none" w:color="000000" w:sz="4"/>
                    <w:bottom w:val="single" w:color="000000" w:sz="4"/>
                    <w:right w:val="single" w:color="000000" w:sz="4"/>
                  </w:tcBorders>
                </w:tcPr>
                <w:p/>
              </w:tc>
            </w:tr>
          </w:tbl>
          <w:p>
            <w:pPr>
              <w:pStyle w:val="null3"/>
              <w:numPr>
                <w:ilvl w:val="0"/>
                <w:numId w:val="2"/>
              </w:numPr>
              <w:jc w:val="both"/>
            </w:pPr>
            <w:r>
              <w:rPr>
                <w:rFonts w:ascii="仿宋_GB2312" w:hAnsi="仿宋_GB2312" w:cs="仿宋_GB2312" w:eastAsia="仿宋_GB2312"/>
                <w:sz w:val="24"/>
              </w:rPr>
              <w:t>租赁服务清单</w:t>
            </w:r>
          </w:p>
          <w:tbl>
            <w:tblPr>
              <w:tblBorders>
                <w:top w:val="none" w:color="000000" w:sz="4"/>
                <w:left w:val="none" w:color="000000" w:sz="4"/>
                <w:bottom w:val="none" w:color="000000" w:sz="4"/>
                <w:right w:val="none" w:color="000000" w:sz="4"/>
                <w:insideH w:val="none"/>
                <w:insideV w:val="none"/>
              </w:tblBorders>
            </w:tblPr>
            <w:tblGrid>
              <w:gridCol w:w="188"/>
              <w:gridCol w:w="488"/>
              <w:gridCol w:w="405"/>
              <w:gridCol w:w="1112"/>
              <w:gridCol w:w="169"/>
              <w:gridCol w:w="189"/>
            </w:tblGrid>
            <w:tr>
              <w:tc>
                <w:tcPr>
                  <w:tcW w:type="dxa" w:w="188"/>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488"/>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资产类型</w:t>
                  </w:r>
                </w:p>
              </w:tc>
              <w:tc>
                <w:tcPr>
                  <w:tcW w:type="dxa" w:w="405"/>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产品名称</w:t>
                  </w:r>
                </w:p>
              </w:tc>
              <w:tc>
                <w:tcPr>
                  <w:tcW w:type="dxa" w:w="1112"/>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技术参数</w:t>
                  </w:r>
                </w:p>
              </w:tc>
              <w:tc>
                <w:tcPr>
                  <w:tcW w:type="dxa" w:w="169"/>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189"/>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蓄电池组</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A1</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150Ah：160节</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蓄电池组</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A2</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150Ah：160节</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蓄电池组</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A3</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150Ah：160节</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蓄电池组</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B1</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150Ah：160节</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蓄电池组</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B2</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150Ah：160节</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蓄电池组</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B3</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150Ah：160节</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UPS</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UPS B1</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不低于以下配置</w:t>
                  </w:r>
                  <w:r>
                    <w:br/>
                  </w:r>
                  <w:r>
                    <w:rPr>
                      <w:rFonts w:ascii="仿宋_GB2312" w:hAnsi="仿宋_GB2312" w:cs="仿宋_GB2312" w:eastAsia="仿宋_GB2312"/>
                      <w:sz w:val="24"/>
                    </w:rPr>
                    <w:t>总功率：</w:t>
                  </w:r>
                  <w:r>
                    <w:rPr>
                      <w:rFonts w:ascii="仿宋_GB2312" w:hAnsi="仿宋_GB2312" w:cs="仿宋_GB2312" w:eastAsia="仿宋_GB2312"/>
                      <w:sz w:val="24"/>
                    </w:rPr>
                    <w:t>≥500KVA</w:t>
                  </w:r>
                  <w:r>
                    <w:br/>
                  </w:r>
                  <w:r>
                    <w:rPr>
                      <w:rFonts w:ascii="仿宋_GB2312" w:hAnsi="仿宋_GB2312" w:cs="仿宋_GB2312" w:eastAsia="仿宋_GB2312"/>
                      <w:sz w:val="24"/>
                    </w:rPr>
                    <w:t>额定输入电压：</w:t>
                  </w:r>
                  <w:r>
                    <w:rPr>
                      <w:rFonts w:ascii="仿宋_GB2312" w:hAnsi="仿宋_GB2312" w:cs="仿宋_GB2312" w:eastAsia="仿宋_GB2312"/>
                      <w:sz w:val="24"/>
                    </w:rPr>
                    <w:t>380/400/415VAC三相三线；</w:t>
                  </w:r>
                  <w:r>
                    <w:br/>
                  </w:r>
                  <w:r>
                    <w:rPr>
                      <w:rFonts w:ascii="仿宋_GB2312" w:hAnsi="仿宋_GB2312" w:cs="仿宋_GB2312" w:eastAsia="仿宋_GB2312"/>
                      <w:sz w:val="24"/>
                    </w:rPr>
                    <w:t>额定工作频率：</w:t>
                  </w:r>
                  <w:r>
                    <w:rPr>
                      <w:rFonts w:ascii="仿宋_GB2312" w:hAnsi="仿宋_GB2312" w:cs="仿宋_GB2312" w:eastAsia="仿宋_GB2312"/>
                      <w:sz w:val="24"/>
                    </w:rPr>
                    <w:t>50/65Hz</w:t>
                  </w:r>
                  <w:r>
                    <w:br/>
                  </w:r>
                  <w:r>
                    <w:rPr>
                      <w:rFonts w:ascii="仿宋_GB2312" w:hAnsi="仿宋_GB2312" w:cs="仿宋_GB2312" w:eastAsia="仿宋_GB2312"/>
                      <w:sz w:val="24"/>
                    </w:rPr>
                    <w:t>输入电压范围：</w:t>
                  </w:r>
                  <w:r>
                    <w:rPr>
                      <w:rFonts w:ascii="仿宋_GB2312" w:hAnsi="仿宋_GB2312" w:cs="仿宋_GB2312" w:eastAsia="仿宋_GB2312"/>
                      <w:sz w:val="24"/>
                    </w:rPr>
                    <w:t>Hz士15%(25%可调)</w:t>
                  </w:r>
                  <w:r>
                    <w:br/>
                  </w:r>
                  <w:r>
                    <w:rPr>
                      <w:rFonts w:ascii="仿宋_GB2312" w:hAnsi="仿宋_GB2312" w:cs="仿宋_GB2312" w:eastAsia="仿宋_GB2312"/>
                      <w:sz w:val="24"/>
                    </w:rPr>
                    <w:t>输入频率范围：</w:t>
                  </w:r>
                  <w:r>
                    <w:rPr>
                      <w:rFonts w:ascii="仿宋_GB2312" w:hAnsi="仿宋_GB2312" w:cs="仿宋_GB2312" w:eastAsia="仿宋_GB2312"/>
                      <w:sz w:val="24"/>
                    </w:rPr>
                    <w:t>45Hz~65Hz</w:t>
                  </w:r>
                  <w:r>
                    <w:br/>
                  </w:r>
                  <w:r>
                    <w:rPr>
                      <w:rFonts w:ascii="仿宋_GB2312" w:hAnsi="仿宋_GB2312" w:cs="仿宋_GB2312" w:eastAsia="仿宋_GB2312"/>
                      <w:sz w:val="24"/>
                    </w:rPr>
                    <w:t>输入功率因数：可达</w:t>
                  </w:r>
                  <w:r>
                    <w:rPr>
                      <w:rFonts w:ascii="仿宋_GB2312" w:hAnsi="仿宋_GB2312" w:cs="仿宋_GB2312" w:eastAsia="仿宋_GB2312"/>
                      <w:sz w:val="24"/>
                    </w:rPr>
                    <w:t>099(加谐波滤波器时)</w:t>
                  </w:r>
                  <w:r>
                    <w:br/>
                  </w:r>
                  <w:r>
                    <w:rPr>
                      <w:rFonts w:ascii="仿宋_GB2312" w:hAnsi="仿宋_GB2312" w:cs="仿宋_GB2312" w:eastAsia="仿宋_GB2312"/>
                      <w:sz w:val="24"/>
                    </w:rPr>
                    <w:t>输入电流谐波</w:t>
                  </w:r>
                  <w:r>
                    <w:rPr>
                      <w:rFonts w:ascii="仿宋_GB2312" w:hAnsi="仿宋_GB2312" w:cs="仿宋_GB2312" w:eastAsia="仿宋_GB2312"/>
                      <w:sz w:val="24"/>
                    </w:rPr>
                    <w:t>(THDi)：&lt;4.5%(加谐波滤波器时)</w:t>
                  </w:r>
                  <w:r>
                    <w:br/>
                  </w:r>
                  <w:r>
                    <w:rPr>
                      <w:rFonts w:ascii="仿宋_GB2312" w:hAnsi="仿宋_GB2312" w:cs="仿宋_GB2312" w:eastAsia="仿宋_GB2312"/>
                      <w:sz w:val="24"/>
                    </w:rPr>
                    <w:t>输入功率缓启动功能：</w:t>
                  </w:r>
                  <w:r>
                    <w:rPr>
                      <w:rFonts w:ascii="仿宋_GB2312" w:hAnsi="仿宋_GB2312" w:cs="仿宋_GB2312" w:eastAsia="仿宋_GB2312"/>
                      <w:sz w:val="24"/>
                    </w:rPr>
                    <w:t>5-300秒可设置</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UPS</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UPS B2</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不低于以下配置</w:t>
                  </w:r>
                  <w:r>
                    <w:br/>
                  </w:r>
                  <w:r>
                    <w:rPr>
                      <w:rFonts w:ascii="仿宋_GB2312" w:hAnsi="仿宋_GB2312" w:cs="仿宋_GB2312" w:eastAsia="仿宋_GB2312"/>
                      <w:sz w:val="24"/>
                    </w:rPr>
                    <w:t>总功率：</w:t>
                  </w:r>
                  <w:r>
                    <w:rPr>
                      <w:rFonts w:ascii="仿宋_GB2312" w:hAnsi="仿宋_GB2312" w:cs="仿宋_GB2312" w:eastAsia="仿宋_GB2312"/>
                      <w:sz w:val="24"/>
                    </w:rPr>
                    <w:t>≥500KVA</w:t>
                  </w:r>
                  <w:r>
                    <w:br/>
                  </w:r>
                  <w:r>
                    <w:rPr>
                      <w:rFonts w:ascii="仿宋_GB2312" w:hAnsi="仿宋_GB2312" w:cs="仿宋_GB2312" w:eastAsia="仿宋_GB2312"/>
                      <w:sz w:val="24"/>
                    </w:rPr>
                    <w:t>额定输入电压：</w:t>
                  </w:r>
                  <w:r>
                    <w:rPr>
                      <w:rFonts w:ascii="仿宋_GB2312" w:hAnsi="仿宋_GB2312" w:cs="仿宋_GB2312" w:eastAsia="仿宋_GB2312"/>
                      <w:sz w:val="24"/>
                    </w:rPr>
                    <w:t>380/400/415VAC三相三线；</w:t>
                  </w:r>
                  <w:r>
                    <w:br/>
                  </w:r>
                  <w:r>
                    <w:rPr>
                      <w:rFonts w:ascii="仿宋_GB2312" w:hAnsi="仿宋_GB2312" w:cs="仿宋_GB2312" w:eastAsia="仿宋_GB2312"/>
                      <w:sz w:val="24"/>
                    </w:rPr>
                    <w:t>额定工作频率：</w:t>
                  </w:r>
                  <w:r>
                    <w:rPr>
                      <w:rFonts w:ascii="仿宋_GB2312" w:hAnsi="仿宋_GB2312" w:cs="仿宋_GB2312" w:eastAsia="仿宋_GB2312"/>
                      <w:sz w:val="24"/>
                    </w:rPr>
                    <w:t>50/65Hz</w:t>
                  </w:r>
                  <w:r>
                    <w:br/>
                  </w:r>
                  <w:r>
                    <w:rPr>
                      <w:rFonts w:ascii="仿宋_GB2312" w:hAnsi="仿宋_GB2312" w:cs="仿宋_GB2312" w:eastAsia="仿宋_GB2312"/>
                      <w:sz w:val="24"/>
                    </w:rPr>
                    <w:t>输入电压范围：</w:t>
                  </w:r>
                  <w:r>
                    <w:rPr>
                      <w:rFonts w:ascii="仿宋_GB2312" w:hAnsi="仿宋_GB2312" w:cs="仿宋_GB2312" w:eastAsia="仿宋_GB2312"/>
                      <w:sz w:val="24"/>
                    </w:rPr>
                    <w:t>Hz士15%(25%可调)</w:t>
                  </w:r>
                  <w:r>
                    <w:br/>
                  </w:r>
                  <w:r>
                    <w:rPr>
                      <w:rFonts w:ascii="仿宋_GB2312" w:hAnsi="仿宋_GB2312" w:cs="仿宋_GB2312" w:eastAsia="仿宋_GB2312"/>
                      <w:sz w:val="24"/>
                    </w:rPr>
                    <w:t>输入频率范围：</w:t>
                  </w:r>
                  <w:r>
                    <w:rPr>
                      <w:rFonts w:ascii="仿宋_GB2312" w:hAnsi="仿宋_GB2312" w:cs="仿宋_GB2312" w:eastAsia="仿宋_GB2312"/>
                      <w:sz w:val="24"/>
                    </w:rPr>
                    <w:t>45Hz~65Hz</w:t>
                  </w:r>
                  <w:r>
                    <w:br/>
                  </w:r>
                  <w:r>
                    <w:rPr>
                      <w:rFonts w:ascii="仿宋_GB2312" w:hAnsi="仿宋_GB2312" w:cs="仿宋_GB2312" w:eastAsia="仿宋_GB2312"/>
                      <w:sz w:val="24"/>
                    </w:rPr>
                    <w:t>输入功率因数：可达</w:t>
                  </w:r>
                  <w:r>
                    <w:rPr>
                      <w:rFonts w:ascii="仿宋_GB2312" w:hAnsi="仿宋_GB2312" w:cs="仿宋_GB2312" w:eastAsia="仿宋_GB2312"/>
                      <w:sz w:val="24"/>
                    </w:rPr>
                    <w:t>099(加谐波滤波器时)</w:t>
                  </w:r>
                  <w:r>
                    <w:br/>
                  </w:r>
                  <w:r>
                    <w:rPr>
                      <w:rFonts w:ascii="仿宋_GB2312" w:hAnsi="仿宋_GB2312" w:cs="仿宋_GB2312" w:eastAsia="仿宋_GB2312"/>
                      <w:sz w:val="24"/>
                    </w:rPr>
                    <w:t>输入电流谐波</w:t>
                  </w:r>
                  <w:r>
                    <w:rPr>
                      <w:rFonts w:ascii="仿宋_GB2312" w:hAnsi="仿宋_GB2312" w:cs="仿宋_GB2312" w:eastAsia="仿宋_GB2312"/>
                      <w:sz w:val="24"/>
                    </w:rPr>
                    <w:t>(THDi)：&lt;4.5%(加谐波滤波器时)</w:t>
                  </w:r>
                  <w:r>
                    <w:br/>
                  </w:r>
                  <w:r>
                    <w:rPr>
                      <w:rFonts w:ascii="仿宋_GB2312" w:hAnsi="仿宋_GB2312" w:cs="仿宋_GB2312" w:eastAsia="仿宋_GB2312"/>
                      <w:sz w:val="24"/>
                    </w:rPr>
                    <w:t>输入功率缓启动功能：</w:t>
                  </w:r>
                  <w:r>
                    <w:rPr>
                      <w:rFonts w:ascii="仿宋_GB2312" w:hAnsi="仿宋_GB2312" w:cs="仿宋_GB2312" w:eastAsia="仿宋_GB2312"/>
                      <w:sz w:val="24"/>
                    </w:rPr>
                    <w:t>5-300秒可设置</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UPS</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UPS B3</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不低于以下配置</w:t>
                  </w:r>
                  <w:r>
                    <w:br/>
                  </w:r>
                  <w:r>
                    <w:rPr>
                      <w:rFonts w:ascii="仿宋_GB2312" w:hAnsi="仿宋_GB2312" w:cs="仿宋_GB2312" w:eastAsia="仿宋_GB2312"/>
                      <w:sz w:val="24"/>
                    </w:rPr>
                    <w:t>总功率：</w:t>
                  </w:r>
                  <w:r>
                    <w:rPr>
                      <w:rFonts w:ascii="仿宋_GB2312" w:hAnsi="仿宋_GB2312" w:cs="仿宋_GB2312" w:eastAsia="仿宋_GB2312"/>
                      <w:sz w:val="24"/>
                    </w:rPr>
                    <w:t>≥500KVA</w:t>
                  </w:r>
                  <w:r>
                    <w:br/>
                  </w:r>
                  <w:r>
                    <w:rPr>
                      <w:rFonts w:ascii="仿宋_GB2312" w:hAnsi="仿宋_GB2312" w:cs="仿宋_GB2312" w:eastAsia="仿宋_GB2312"/>
                      <w:sz w:val="24"/>
                    </w:rPr>
                    <w:t>额定输入电压：</w:t>
                  </w:r>
                  <w:r>
                    <w:rPr>
                      <w:rFonts w:ascii="仿宋_GB2312" w:hAnsi="仿宋_GB2312" w:cs="仿宋_GB2312" w:eastAsia="仿宋_GB2312"/>
                      <w:sz w:val="24"/>
                    </w:rPr>
                    <w:t>380/400/415VAC三相三线；</w:t>
                  </w:r>
                  <w:r>
                    <w:br/>
                  </w:r>
                  <w:r>
                    <w:rPr>
                      <w:rFonts w:ascii="仿宋_GB2312" w:hAnsi="仿宋_GB2312" w:cs="仿宋_GB2312" w:eastAsia="仿宋_GB2312"/>
                      <w:sz w:val="24"/>
                    </w:rPr>
                    <w:t>额定工作频率：</w:t>
                  </w:r>
                  <w:r>
                    <w:rPr>
                      <w:rFonts w:ascii="仿宋_GB2312" w:hAnsi="仿宋_GB2312" w:cs="仿宋_GB2312" w:eastAsia="仿宋_GB2312"/>
                      <w:sz w:val="24"/>
                    </w:rPr>
                    <w:t>50/65Hz</w:t>
                  </w:r>
                  <w:r>
                    <w:br/>
                  </w:r>
                  <w:r>
                    <w:rPr>
                      <w:rFonts w:ascii="仿宋_GB2312" w:hAnsi="仿宋_GB2312" w:cs="仿宋_GB2312" w:eastAsia="仿宋_GB2312"/>
                      <w:sz w:val="24"/>
                    </w:rPr>
                    <w:t>输入电压范围：</w:t>
                  </w:r>
                  <w:r>
                    <w:rPr>
                      <w:rFonts w:ascii="仿宋_GB2312" w:hAnsi="仿宋_GB2312" w:cs="仿宋_GB2312" w:eastAsia="仿宋_GB2312"/>
                      <w:sz w:val="24"/>
                    </w:rPr>
                    <w:t>Hz士15%(25%可调)</w:t>
                  </w:r>
                  <w:r>
                    <w:br/>
                  </w:r>
                  <w:r>
                    <w:rPr>
                      <w:rFonts w:ascii="仿宋_GB2312" w:hAnsi="仿宋_GB2312" w:cs="仿宋_GB2312" w:eastAsia="仿宋_GB2312"/>
                      <w:sz w:val="24"/>
                    </w:rPr>
                    <w:t>输入频率范围：</w:t>
                  </w:r>
                  <w:r>
                    <w:rPr>
                      <w:rFonts w:ascii="仿宋_GB2312" w:hAnsi="仿宋_GB2312" w:cs="仿宋_GB2312" w:eastAsia="仿宋_GB2312"/>
                      <w:sz w:val="24"/>
                    </w:rPr>
                    <w:t>45Hz~65Hz</w:t>
                  </w:r>
                  <w:r>
                    <w:br/>
                  </w:r>
                  <w:r>
                    <w:rPr>
                      <w:rFonts w:ascii="仿宋_GB2312" w:hAnsi="仿宋_GB2312" w:cs="仿宋_GB2312" w:eastAsia="仿宋_GB2312"/>
                      <w:sz w:val="24"/>
                    </w:rPr>
                    <w:t>输入功率因数：可达</w:t>
                  </w:r>
                  <w:r>
                    <w:rPr>
                      <w:rFonts w:ascii="仿宋_GB2312" w:hAnsi="仿宋_GB2312" w:cs="仿宋_GB2312" w:eastAsia="仿宋_GB2312"/>
                      <w:sz w:val="24"/>
                    </w:rPr>
                    <w:t>099(加谐波滤波器时)</w:t>
                  </w:r>
                  <w:r>
                    <w:br/>
                  </w:r>
                  <w:r>
                    <w:rPr>
                      <w:rFonts w:ascii="仿宋_GB2312" w:hAnsi="仿宋_GB2312" w:cs="仿宋_GB2312" w:eastAsia="仿宋_GB2312"/>
                      <w:sz w:val="24"/>
                    </w:rPr>
                    <w:t>输入电流谐波</w:t>
                  </w:r>
                  <w:r>
                    <w:rPr>
                      <w:rFonts w:ascii="仿宋_GB2312" w:hAnsi="仿宋_GB2312" w:cs="仿宋_GB2312" w:eastAsia="仿宋_GB2312"/>
                      <w:sz w:val="24"/>
                    </w:rPr>
                    <w:t>(THDi)：&lt;4.5%(加谐波滤波器时)</w:t>
                  </w:r>
                  <w:r>
                    <w:br/>
                  </w:r>
                  <w:r>
                    <w:rPr>
                      <w:rFonts w:ascii="仿宋_GB2312" w:hAnsi="仿宋_GB2312" w:cs="仿宋_GB2312" w:eastAsia="仿宋_GB2312"/>
                      <w:sz w:val="24"/>
                    </w:rPr>
                    <w:t>输入功率缓启动功能：</w:t>
                  </w:r>
                  <w:r>
                    <w:rPr>
                      <w:rFonts w:ascii="仿宋_GB2312" w:hAnsi="仿宋_GB2312" w:cs="仿宋_GB2312" w:eastAsia="仿宋_GB2312"/>
                      <w:sz w:val="24"/>
                    </w:rPr>
                    <w:t>5-300秒可设置</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bl>
          <w:p>
            <w:pPr>
              <w:pStyle w:val="null3"/>
              <w:jc w:val="both"/>
            </w:pPr>
            <w:r>
              <w:rPr>
                <w:rFonts w:ascii="仿宋_GB2312" w:hAnsi="仿宋_GB2312" w:cs="仿宋_GB2312" w:eastAsia="仿宋_GB2312"/>
                <w:sz w:val="24"/>
              </w:rPr>
              <w:t>3、配电系统要求</w:t>
            </w:r>
          </w:p>
          <w:p>
            <w:pPr>
              <w:pStyle w:val="null3"/>
              <w:ind w:firstLine="480"/>
              <w:jc w:val="both"/>
            </w:pPr>
            <w:r>
              <w:rPr>
                <w:rFonts w:ascii="仿宋_GB2312" w:hAnsi="仿宋_GB2312" w:cs="仿宋_GB2312" w:eastAsia="仿宋_GB2312"/>
                <w:sz w:val="24"/>
              </w:rPr>
              <w:t>逐步对系统运行慢、产品老旧</w:t>
            </w:r>
            <w:r>
              <w:rPr>
                <w:rFonts w:ascii="仿宋_GB2312" w:hAnsi="仿宋_GB2312" w:cs="仿宋_GB2312" w:eastAsia="仿宋_GB2312"/>
                <w:sz w:val="24"/>
              </w:rPr>
              <w:t>、</w:t>
            </w:r>
            <w:r>
              <w:rPr>
                <w:rFonts w:ascii="仿宋_GB2312" w:hAnsi="仿宋_GB2312" w:cs="仿宋_GB2312" w:eastAsia="仿宋_GB2312"/>
                <w:sz w:val="24"/>
              </w:rPr>
              <w:t>产品已停产</w:t>
            </w:r>
            <w:r>
              <w:rPr>
                <w:rFonts w:ascii="仿宋_GB2312" w:hAnsi="仿宋_GB2312" w:cs="仿宋_GB2312" w:eastAsia="仿宋_GB2312"/>
                <w:sz w:val="24"/>
              </w:rPr>
              <w:t>、</w:t>
            </w:r>
            <w:r>
              <w:rPr>
                <w:rFonts w:ascii="仿宋_GB2312" w:hAnsi="仿宋_GB2312" w:cs="仿宋_GB2312" w:eastAsia="仿宋_GB2312"/>
                <w:sz w:val="24"/>
                <w:color w:val="000000"/>
              </w:rPr>
              <w:t>故障率高</w:t>
            </w:r>
            <w:r>
              <w:rPr>
                <w:rFonts w:ascii="仿宋_GB2312" w:hAnsi="仿宋_GB2312" w:cs="仿宋_GB2312" w:eastAsia="仿宋_GB2312"/>
                <w:sz w:val="24"/>
                <w:color w:val="000000"/>
              </w:rPr>
              <w:t>且无法使用的</w:t>
            </w:r>
            <w:r>
              <w:rPr>
                <w:rFonts w:ascii="仿宋_GB2312" w:hAnsi="仿宋_GB2312" w:cs="仿宋_GB2312" w:eastAsia="仿宋_GB2312"/>
                <w:sz w:val="24"/>
                <w:color w:val="000000"/>
              </w:rPr>
              <w:t>相关</w:t>
            </w:r>
            <w:r>
              <w:rPr>
                <w:rFonts w:ascii="仿宋_GB2312" w:hAnsi="仿宋_GB2312" w:cs="仿宋_GB2312" w:eastAsia="仿宋_GB2312"/>
                <w:sz w:val="24"/>
                <w:color w:val="000000"/>
              </w:rPr>
              <w:t>配电主要设备</w:t>
            </w:r>
            <w:r>
              <w:rPr>
                <w:rFonts w:ascii="仿宋_GB2312" w:hAnsi="仿宋_GB2312" w:cs="仿宋_GB2312" w:eastAsia="仿宋_GB2312"/>
                <w:sz w:val="24"/>
                <w:color w:val="000000"/>
              </w:rPr>
              <w:t>负责进行更换。</w:t>
            </w:r>
          </w:p>
          <w:p>
            <w:pPr>
              <w:pStyle w:val="null3"/>
              <w:ind w:firstLine="480"/>
              <w:jc w:val="both"/>
            </w:pPr>
            <w:r>
              <w:rPr>
                <w:rFonts w:ascii="仿宋_GB2312" w:hAnsi="仿宋_GB2312" w:cs="仿宋_GB2312" w:eastAsia="仿宋_GB2312"/>
                <w:sz w:val="24"/>
                <w:color w:val="000000"/>
              </w:rPr>
              <w:t>1.UPS系统</w:t>
            </w:r>
          </w:p>
          <w:p>
            <w:pPr>
              <w:pStyle w:val="null3"/>
              <w:ind w:firstLine="480"/>
              <w:jc w:val="both"/>
            </w:pPr>
            <w:r>
              <w:rPr>
                <w:rFonts w:ascii="仿宋_GB2312" w:hAnsi="仿宋_GB2312" w:cs="仿宋_GB2312" w:eastAsia="仿宋_GB2312"/>
                <w:sz w:val="24"/>
                <w:color w:val="000000"/>
              </w:rPr>
              <w:t>a.冗余配置：</w:t>
            </w:r>
          </w:p>
          <w:p>
            <w:pPr>
              <w:pStyle w:val="null3"/>
              <w:ind w:firstLine="480"/>
              <w:jc w:val="both"/>
            </w:pPr>
            <w:r>
              <w:rPr>
                <w:rFonts w:ascii="仿宋_GB2312" w:hAnsi="仿宋_GB2312" w:cs="仿宋_GB2312" w:eastAsia="仿宋_GB2312"/>
                <w:sz w:val="24"/>
                <w:color w:val="000000"/>
              </w:rPr>
              <w:t>必须采用</w:t>
            </w:r>
            <w:r>
              <w:rPr>
                <w:rFonts w:ascii="仿宋_GB2312" w:hAnsi="仿宋_GB2312" w:cs="仿宋_GB2312" w:eastAsia="仿宋_GB2312"/>
                <w:sz w:val="24"/>
                <w:color w:val="000000"/>
              </w:rPr>
              <w:t>N+1或2N架构，单机故障不影响负载运行。</w:t>
            </w:r>
          </w:p>
          <w:p>
            <w:pPr>
              <w:pStyle w:val="null3"/>
              <w:ind w:firstLine="480"/>
              <w:jc w:val="both"/>
            </w:pPr>
            <w:r>
              <w:rPr>
                <w:rFonts w:ascii="仿宋_GB2312" w:hAnsi="仿宋_GB2312" w:cs="仿宋_GB2312" w:eastAsia="仿宋_GB2312"/>
                <w:sz w:val="24"/>
                <w:color w:val="000000"/>
              </w:rPr>
              <w:t>模块化</w:t>
            </w:r>
            <w:r>
              <w:rPr>
                <w:rFonts w:ascii="仿宋_GB2312" w:hAnsi="仿宋_GB2312" w:cs="仿宋_GB2312" w:eastAsia="仿宋_GB2312"/>
                <w:sz w:val="24"/>
                <w:color w:val="000000"/>
              </w:rPr>
              <w:t>UPS需</w:t>
            </w:r>
            <w:r>
              <w:rPr>
                <w:rFonts w:ascii="仿宋_GB2312" w:hAnsi="仿宋_GB2312" w:cs="仿宋_GB2312" w:eastAsia="仿宋_GB2312"/>
                <w:sz w:val="24"/>
                <w:color w:val="000000"/>
              </w:rPr>
              <w:t>具有</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在线热插拔更换，</w:t>
            </w:r>
            <w:r>
              <w:rPr>
                <w:rFonts w:ascii="仿宋_GB2312" w:hAnsi="仿宋_GB2312" w:cs="仿宋_GB2312" w:eastAsia="仿宋_GB2312"/>
                <w:sz w:val="24"/>
                <w:color w:val="000000"/>
              </w:rPr>
              <w:t>MTTR（平均修复时间）≤30分钟。</w:t>
            </w:r>
          </w:p>
          <w:p>
            <w:pPr>
              <w:pStyle w:val="null3"/>
              <w:ind w:firstLine="480"/>
              <w:jc w:val="both"/>
            </w:pPr>
            <w:r>
              <w:rPr>
                <w:rFonts w:ascii="仿宋_GB2312" w:hAnsi="仿宋_GB2312" w:cs="仿宋_GB2312" w:eastAsia="仿宋_GB2312"/>
                <w:sz w:val="24"/>
                <w:color w:val="000000"/>
              </w:rPr>
              <w:t>b.能效指标：</w:t>
            </w:r>
          </w:p>
          <w:p>
            <w:pPr>
              <w:pStyle w:val="null3"/>
              <w:ind w:firstLine="480"/>
              <w:jc w:val="both"/>
            </w:pPr>
            <w:r>
              <w:rPr>
                <w:rFonts w:ascii="仿宋_GB2312" w:hAnsi="仿宋_GB2312" w:cs="仿宋_GB2312" w:eastAsia="仿宋_GB2312"/>
                <w:sz w:val="24"/>
                <w:color w:val="000000"/>
              </w:rPr>
              <w:t>运行效率</w:t>
            </w:r>
            <w:r>
              <w:rPr>
                <w:rFonts w:ascii="仿宋_GB2312" w:hAnsi="仿宋_GB2312" w:cs="仿宋_GB2312" w:eastAsia="仿宋_GB2312"/>
                <w:sz w:val="24"/>
                <w:color w:val="000000"/>
              </w:rPr>
              <w:t>≥96%（双变换模式），ECO模式效率≥99%。</w:t>
            </w:r>
          </w:p>
          <w:p>
            <w:pPr>
              <w:pStyle w:val="null3"/>
              <w:ind w:firstLine="480"/>
              <w:jc w:val="both"/>
            </w:pPr>
            <w:r>
              <w:rPr>
                <w:rFonts w:ascii="仿宋_GB2312" w:hAnsi="仿宋_GB2312" w:cs="仿宋_GB2312" w:eastAsia="仿宋_GB2312"/>
                <w:sz w:val="24"/>
                <w:color w:val="000000"/>
              </w:rPr>
              <w:t>输入</w:t>
            </w:r>
            <w:r>
              <w:rPr>
                <w:rFonts w:ascii="仿宋_GB2312" w:hAnsi="仿宋_GB2312" w:cs="仿宋_GB2312" w:eastAsia="仿宋_GB2312"/>
                <w:sz w:val="24"/>
                <w:color w:val="000000"/>
              </w:rPr>
              <w:t>THDi（谐波失真）≤3%，输出电压稳压精度±1%。</w:t>
            </w:r>
          </w:p>
          <w:p>
            <w:pPr>
              <w:pStyle w:val="null3"/>
              <w:ind w:firstLine="480"/>
              <w:jc w:val="both"/>
            </w:pPr>
            <w:r>
              <w:rPr>
                <w:rFonts w:ascii="仿宋_GB2312" w:hAnsi="仿宋_GB2312" w:cs="仿宋_GB2312" w:eastAsia="仿宋_GB2312"/>
                <w:sz w:val="24"/>
                <w:color w:val="000000"/>
              </w:rPr>
              <w:t>c.电池联动：</w:t>
            </w:r>
          </w:p>
          <w:p>
            <w:pPr>
              <w:pStyle w:val="null3"/>
              <w:ind w:firstLine="480"/>
              <w:jc w:val="both"/>
            </w:pPr>
            <w:r>
              <w:rPr>
                <w:rFonts w:ascii="仿宋_GB2312" w:hAnsi="仿宋_GB2312" w:cs="仿宋_GB2312" w:eastAsia="仿宋_GB2312"/>
                <w:sz w:val="24"/>
                <w:color w:val="000000"/>
              </w:rPr>
              <w:t>需配置</w:t>
            </w:r>
            <w:r>
              <w:rPr>
                <w:rFonts w:ascii="仿宋_GB2312" w:hAnsi="仿宋_GB2312" w:cs="仿宋_GB2312" w:eastAsia="仿宋_GB2312"/>
                <w:sz w:val="24"/>
                <w:color w:val="000000"/>
              </w:rPr>
              <w:t>电池管理系统（</w:t>
            </w:r>
            <w:r>
              <w:rPr>
                <w:rFonts w:ascii="仿宋_GB2312" w:hAnsi="仿宋_GB2312" w:cs="仿宋_GB2312" w:eastAsia="仿宋_GB2312"/>
                <w:sz w:val="24"/>
                <w:color w:val="000000"/>
              </w:rPr>
              <w:t>BMS），实时监测单体电压（精度±0.5%）、内阻、温度。</w:t>
            </w:r>
          </w:p>
          <w:p>
            <w:pPr>
              <w:pStyle w:val="null3"/>
              <w:ind w:firstLine="480"/>
              <w:jc w:val="both"/>
            </w:pPr>
            <w:r>
              <w:rPr>
                <w:rFonts w:ascii="仿宋_GB2312" w:hAnsi="仿宋_GB2312" w:cs="仿宋_GB2312" w:eastAsia="仿宋_GB2312"/>
                <w:sz w:val="24"/>
                <w:color w:val="000000"/>
              </w:rPr>
              <w:t>2.电池组（铅酸/锂电）</w:t>
            </w:r>
          </w:p>
          <w:p>
            <w:pPr>
              <w:pStyle w:val="null3"/>
              <w:ind w:firstLine="480"/>
              <w:jc w:val="both"/>
            </w:pPr>
            <w:r>
              <w:rPr>
                <w:rFonts w:ascii="仿宋_GB2312" w:hAnsi="仿宋_GB2312" w:cs="仿宋_GB2312" w:eastAsia="仿宋_GB2312"/>
                <w:sz w:val="24"/>
                <w:color w:val="000000"/>
              </w:rPr>
              <w:t>a.容量保障：</w:t>
            </w:r>
          </w:p>
          <w:p>
            <w:pPr>
              <w:pStyle w:val="null3"/>
              <w:ind w:firstLine="480"/>
              <w:jc w:val="both"/>
            </w:pPr>
            <w:r>
              <w:rPr>
                <w:rFonts w:ascii="仿宋_GB2312" w:hAnsi="仿宋_GB2312" w:cs="仿宋_GB2312" w:eastAsia="仿宋_GB2312"/>
                <w:sz w:val="24"/>
                <w:color w:val="000000"/>
              </w:rPr>
              <w:t>满负载情况下，铅酸电池需保证</w:t>
            </w:r>
            <w:r>
              <w:rPr>
                <w:rFonts w:ascii="仿宋_GB2312" w:hAnsi="仿宋_GB2312" w:cs="仿宋_GB2312" w:eastAsia="仿宋_GB2312"/>
                <w:sz w:val="24"/>
                <w:color w:val="000000"/>
              </w:rPr>
              <w:t>≥15分钟后备时间，锂电池≥10分钟。</w:t>
            </w:r>
          </w:p>
          <w:p>
            <w:pPr>
              <w:pStyle w:val="null3"/>
              <w:ind w:firstLine="480"/>
              <w:jc w:val="both"/>
            </w:pPr>
            <w:r>
              <w:rPr>
                <w:rFonts w:ascii="仿宋_GB2312" w:hAnsi="仿宋_GB2312" w:cs="仿宋_GB2312" w:eastAsia="仿宋_GB2312"/>
                <w:sz w:val="24"/>
                <w:color w:val="000000"/>
              </w:rPr>
              <w:t>容量衰减至</w:t>
            </w:r>
            <w:r>
              <w:rPr>
                <w:rFonts w:ascii="仿宋_GB2312" w:hAnsi="仿宋_GB2312" w:cs="仿宋_GB2312" w:eastAsia="仿宋_GB2312"/>
                <w:sz w:val="24"/>
                <w:color w:val="000000"/>
              </w:rPr>
              <w:t>80%时需强制更换（铅酸电池通常3-5年，锂电8-10年）。</w:t>
            </w:r>
          </w:p>
          <w:p>
            <w:pPr>
              <w:pStyle w:val="null3"/>
              <w:ind w:firstLine="480"/>
              <w:jc w:val="both"/>
            </w:pPr>
            <w:r>
              <w:rPr>
                <w:rFonts w:ascii="仿宋_GB2312" w:hAnsi="仿宋_GB2312" w:cs="仿宋_GB2312" w:eastAsia="仿宋_GB2312"/>
                <w:sz w:val="24"/>
                <w:color w:val="000000"/>
              </w:rPr>
              <w:t>b.环境控制：</w:t>
            </w:r>
          </w:p>
          <w:p>
            <w:pPr>
              <w:pStyle w:val="null3"/>
              <w:ind w:firstLine="480"/>
              <w:jc w:val="both"/>
            </w:pPr>
            <w:r>
              <w:rPr>
                <w:rFonts w:ascii="仿宋_GB2312" w:hAnsi="仿宋_GB2312" w:cs="仿宋_GB2312" w:eastAsia="仿宋_GB2312"/>
                <w:sz w:val="24"/>
                <w:color w:val="000000"/>
              </w:rPr>
              <w:t>电池室温度需维持</w:t>
            </w:r>
            <w:r>
              <w:rPr>
                <w:rFonts w:ascii="仿宋_GB2312" w:hAnsi="仿宋_GB2312" w:cs="仿宋_GB2312" w:eastAsia="仿宋_GB2312"/>
                <w:sz w:val="24"/>
                <w:color w:val="000000"/>
              </w:rPr>
              <w:t>20-25℃，配备独立空调+烟雾报警。</w:t>
            </w:r>
          </w:p>
          <w:p>
            <w:pPr>
              <w:pStyle w:val="null3"/>
              <w:ind w:firstLine="480"/>
              <w:jc w:val="both"/>
            </w:pPr>
            <w:r>
              <w:rPr>
                <w:rFonts w:ascii="仿宋_GB2312" w:hAnsi="仿宋_GB2312" w:cs="仿宋_GB2312" w:eastAsia="仿宋_GB2312"/>
                <w:sz w:val="24"/>
                <w:color w:val="000000"/>
              </w:rPr>
              <w:t>铅酸电池需安装</w:t>
            </w:r>
            <w:r>
              <w:rPr>
                <w:rFonts w:ascii="仿宋_GB2312" w:hAnsi="仿宋_GB2312" w:cs="仿宋_GB2312" w:eastAsia="仿宋_GB2312"/>
                <w:sz w:val="24"/>
                <w:color w:val="000000"/>
              </w:rPr>
              <w:t>氢气探测器（浓度</w:t>
            </w:r>
            <w:r>
              <w:rPr>
                <w:rFonts w:ascii="仿宋_GB2312" w:hAnsi="仿宋_GB2312" w:cs="仿宋_GB2312" w:eastAsia="仿宋_GB2312"/>
                <w:sz w:val="24"/>
                <w:color w:val="000000"/>
              </w:rPr>
              <w:t>≥1%时触发排风）。</w:t>
            </w:r>
          </w:p>
          <w:p>
            <w:pPr>
              <w:pStyle w:val="null3"/>
              <w:ind w:firstLine="480"/>
              <w:jc w:val="both"/>
            </w:pPr>
            <w:r>
              <w:rPr>
                <w:rFonts w:ascii="仿宋_GB2312" w:hAnsi="仿宋_GB2312" w:cs="仿宋_GB2312" w:eastAsia="仿宋_GB2312"/>
                <w:sz w:val="24"/>
                <w:color w:val="000000"/>
              </w:rPr>
              <w:t>3.配电监控</w:t>
            </w:r>
          </w:p>
          <w:p>
            <w:pPr>
              <w:pStyle w:val="null3"/>
              <w:ind w:firstLine="480"/>
              <w:jc w:val="both"/>
            </w:pPr>
            <w:r>
              <w:rPr>
                <w:rFonts w:ascii="仿宋_GB2312" w:hAnsi="仿宋_GB2312" w:cs="仿宋_GB2312" w:eastAsia="仿宋_GB2312"/>
                <w:sz w:val="24"/>
                <w:color w:val="000000"/>
              </w:rPr>
              <w:t>a.实时数据：</w:t>
            </w:r>
          </w:p>
          <w:p>
            <w:pPr>
              <w:pStyle w:val="null3"/>
              <w:ind w:firstLine="480"/>
              <w:jc w:val="both"/>
            </w:pPr>
            <w:r>
              <w:rPr>
                <w:rFonts w:ascii="仿宋_GB2312" w:hAnsi="仿宋_GB2312" w:cs="仿宋_GB2312" w:eastAsia="仿宋_GB2312"/>
                <w:sz w:val="24"/>
                <w:color w:val="000000"/>
              </w:rPr>
              <w:t>需提供</w:t>
            </w:r>
            <w:r>
              <w:rPr>
                <w:rFonts w:ascii="仿宋_GB2312" w:hAnsi="仿宋_GB2312" w:cs="仿宋_GB2312" w:eastAsia="仿宋_GB2312"/>
                <w:sz w:val="24"/>
                <w:color w:val="000000"/>
              </w:rPr>
              <w:t>UPS输入/输出电压/电流、电池SOC/SOH、配电柜负载率等数据，采样间隔≤5秒。</w:t>
            </w:r>
          </w:p>
          <w:p>
            <w:pPr>
              <w:pStyle w:val="null3"/>
              <w:ind w:firstLine="480"/>
              <w:jc w:val="both"/>
            </w:pPr>
            <w:r>
              <w:rPr>
                <w:rFonts w:ascii="仿宋_GB2312" w:hAnsi="仿宋_GB2312" w:cs="仿宋_GB2312" w:eastAsia="仿宋_GB2312"/>
                <w:sz w:val="24"/>
                <w:color w:val="000000"/>
              </w:rPr>
              <w:t>具有</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SNMP/IPMI 协议接入第三方监控平台。</w:t>
            </w:r>
          </w:p>
          <w:p>
            <w:pPr>
              <w:pStyle w:val="null3"/>
              <w:ind w:firstLine="480"/>
              <w:jc w:val="both"/>
            </w:pPr>
            <w:r>
              <w:rPr>
                <w:rFonts w:ascii="仿宋_GB2312" w:hAnsi="仿宋_GB2312" w:cs="仿宋_GB2312" w:eastAsia="仿宋_GB2312"/>
                <w:sz w:val="24"/>
                <w:color w:val="000000"/>
              </w:rPr>
              <w:t>b.报警阈值：</w:t>
            </w:r>
          </w:p>
          <w:p>
            <w:pPr>
              <w:pStyle w:val="null3"/>
              <w:ind w:firstLine="480"/>
              <w:jc w:val="both"/>
            </w:pPr>
            <w:r>
              <w:rPr>
                <w:rFonts w:ascii="仿宋_GB2312" w:hAnsi="仿宋_GB2312" w:cs="仿宋_GB2312" w:eastAsia="仿宋_GB2312"/>
                <w:sz w:val="24"/>
                <w:color w:val="000000"/>
              </w:rPr>
              <w:t>电压波动超</w:t>
            </w:r>
            <w:r>
              <w:rPr>
                <w:rFonts w:ascii="仿宋_GB2312" w:hAnsi="仿宋_GB2312" w:cs="仿宋_GB2312" w:eastAsia="仿宋_GB2312"/>
                <w:sz w:val="24"/>
                <w:color w:val="000000"/>
              </w:rPr>
              <w:t>±10%、温度超35℃、电池单体电压差≥0.2V时，需触发多级告警（短信/邮件/声光）。</w:t>
            </w:r>
          </w:p>
          <w:p>
            <w:pPr>
              <w:pStyle w:val="null3"/>
              <w:numPr>
                <w:ilvl w:val="2"/>
                <w:numId w:val="2"/>
              </w:numPr>
            </w:pPr>
            <w:r>
              <w:rPr>
                <w:rFonts w:ascii="仿宋_GB2312" w:hAnsi="仿宋_GB2312" w:cs="仿宋_GB2312" w:eastAsia="仿宋_GB2312"/>
                <w:sz w:val="24"/>
              </w:rPr>
              <w:t>网络设施统一支撑服务</w:t>
            </w:r>
          </w:p>
          <w:p>
            <w:pPr>
              <w:pStyle w:val="null3"/>
              <w:numPr>
                <w:ilvl w:val="3"/>
                <w:numId w:val="2"/>
              </w:numPr>
              <w:spacing w:before="120" w:after="120"/>
              <w:jc w:val="left"/>
            </w:pPr>
            <w:r>
              <w:rPr>
                <w:rFonts w:ascii="仿宋_GB2312" w:hAnsi="仿宋_GB2312" w:cs="仿宋_GB2312" w:eastAsia="仿宋_GB2312"/>
                <w:sz w:val="24"/>
                <w:b/>
              </w:rPr>
              <w:t>政务外网网络设备统一支撑服务</w:t>
            </w:r>
          </w:p>
          <w:p>
            <w:pPr>
              <w:pStyle w:val="null3"/>
              <w:ind w:firstLine="480"/>
              <w:jc w:val="both"/>
            </w:pPr>
            <w:r>
              <w:rPr>
                <w:rFonts w:ascii="仿宋_GB2312" w:hAnsi="仿宋_GB2312" w:cs="仿宋_GB2312" w:eastAsia="仿宋_GB2312"/>
                <w:sz w:val="24"/>
              </w:rPr>
              <w:t>对西安市电子政务外网</w:t>
            </w:r>
            <w:r>
              <w:rPr>
                <w:rFonts w:ascii="仿宋_GB2312" w:hAnsi="仿宋_GB2312" w:cs="仿宋_GB2312" w:eastAsia="仿宋_GB2312"/>
                <w:sz w:val="24"/>
              </w:rPr>
              <w:t>网络提供不低于以下型号或参数的设备维保及设备租赁服务，</w:t>
            </w:r>
            <w:r>
              <w:rPr>
                <w:rFonts w:ascii="仿宋_GB2312" w:hAnsi="仿宋_GB2312" w:cs="仿宋_GB2312" w:eastAsia="仿宋_GB2312"/>
                <w:sz w:val="24"/>
              </w:rPr>
              <w:t>设备范围包括数据中心机房核心设备、汇聚设备、接入设备；园区机房核心设备、楼宇汇聚设备、楼层接入设备及管理系统软件</w:t>
            </w:r>
            <w:r>
              <w:rPr>
                <w:rFonts w:ascii="仿宋_GB2312" w:hAnsi="仿宋_GB2312" w:cs="仿宋_GB2312" w:eastAsia="仿宋_GB2312"/>
                <w:sz w:val="24"/>
              </w:rPr>
              <w:t>；</w:t>
            </w:r>
            <w:r>
              <w:rPr>
                <w:rFonts w:ascii="仿宋_GB2312" w:hAnsi="仿宋_GB2312" w:cs="仿宋_GB2312" w:eastAsia="仿宋_GB2312"/>
                <w:sz w:val="24"/>
              </w:rPr>
              <w:t>涉密销毁中心汇聚设备、接入设备</w:t>
            </w:r>
            <w:r>
              <w:rPr>
                <w:rFonts w:ascii="仿宋_GB2312" w:hAnsi="仿宋_GB2312" w:cs="仿宋_GB2312" w:eastAsia="仿宋_GB2312"/>
                <w:sz w:val="24"/>
              </w:rPr>
              <w:t>等。</w:t>
            </w:r>
            <w:r>
              <w:rPr>
                <w:rFonts w:ascii="仿宋_GB2312" w:hAnsi="仿宋_GB2312" w:cs="仿宋_GB2312" w:eastAsia="仿宋_GB2312"/>
                <w:sz w:val="24"/>
              </w:rPr>
              <w:t>（</w:t>
            </w:r>
            <w:r>
              <w:rPr>
                <w:rFonts w:ascii="仿宋_GB2312" w:hAnsi="仿宋_GB2312" w:cs="仿宋_GB2312" w:eastAsia="仿宋_GB2312"/>
                <w:sz w:val="24"/>
              </w:rPr>
              <w:t>详见数量清单</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1、维保服务清单</w:t>
            </w:r>
          </w:p>
          <w:tbl>
            <w:tblPr>
              <w:tblBorders>
                <w:top w:val="none" w:color="000000" w:sz="4"/>
                <w:left w:val="none" w:color="000000" w:sz="4"/>
                <w:bottom w:val="none" w:color="000000" w:sz="4"/>
                <w:right w:val="none" w:color="000000" w:sz="4"/>
                <w:insideH w:val="none"/>
                <w:insideV w:val="none"/>
              </w:tblBorders>
            </w:tblPr>
            <w:tblGrid>
              <w:gridCol w:w="176"/>
              <w:gridCol w:w="252"/>
              <w:gridCol w:w="754"/>
              <w:gridCol w:w="273"/>
              <w:gridCol w:w="474"/>
              <w:gridCol w:w="623"/>
            </w:tblGrid>
            <w:tr>
              <w:tc>
                <w:tcPr>
                  <w:tcW w:type="dxa" w:w="1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2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网络型号</w:t>
                  </w:r>
                </w:p>
              </w:tc>
              <w:tc>
                <w:tcPr>
                  <w:tcW w:type="dxa" w:w="7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类型</w:t>
                  </w:r>
                </w:p>
              </w:tc>
              <w:tc>
                <w:tcPr>
                  <w:tcW w:type="dxa" w:w="2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4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品牌</w:t>
                  </w:r>
                </w:p>
              </w:tc>
              <w:tc>
                <w:tcPr>
                  <w:tcW w:type="dxa" w:w="6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型号</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政务</w:t>
                  </w:r>
                </w:p>
                <w:p>
                  <w:pPr>
                    <w:pStyle w:val="null3"/>
                    <w:jc w:val="center"/>
                  </w:pPr>
                  <w:r>
                    <w:rPr>
                      <w:rFonts w:ascii="仿宋_GB2312" w:hAnsi="仿宋_GB2312" w:cs="仿宋_GB2312" w:eastAsia="仿宋_GB2312"/>
                      <w:sz w:val="24"/>
                      <w:color w:val="000000"/>
                    </w:rPr>
                    <w:t>外网</w:t>
                  </w:r>
                </w:p>
                <w:p>
                  <w:pPr>
                    <w:pStyle w:val="null3"/>
                    <w:jc w:val="center"/>
                  </w:pP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数据中心核心交换机</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H3C</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S10508X</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52"/>
                  <w:vMerge/>
                  <w:tcBorders>
                    <w:top w:val="none" w:color="000000" w:sz="4"/>
                    <w:left w:val="none" w:color="000000" w:sz="4"/>
                    <w:bottom w:val="none" w:color="000000" w:sz="4"/>
                    <w:right w:val="single" w:color="000000" w:sz="4"/>
                  </w:tcBorders>
                </w:tcP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出口路由器</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H3C</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CR16010-F</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52"/>
                  <w:vMerge/>
                  <w:tcBorders>
                    <w:top w:val="none" w:color="000000" w:sz="4"/>
                    <w:left w:val="none" w:color="000000" w:sz="4"/>
                    <w:bottom w:val="none" w:color="000000" w:sz="4"/>
                    <w:right w:val="single" w:color="000000" w:sz="4"/>
                  </w:tcBorders>
                </w:tcP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园区核心交换机</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H3C</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S7510X</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52"/>
                  <w:vMerge/>
                  <w:tcBorders>
                    <w:top w:val="none" w:color="000000" w:sz="4"/>
                    <w:left w:val="none" w:color="000000" w:sz="4"/>
                    <w:bottom w:val="none" w:color="000000" w:sz="4"/>
                    <w:right w:val="single" w:color="000000" w:sz="4"/>
                  </w:tcBorders>
                </w:tcP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总核心交换机</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H3C</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12508G</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52"/>
                  <w:vMerge/>
                  <w:tcBorders>
                    <w:top w:val="none" w:color="000000" w:sz="4"/>
                    <w:left w:val="none" w:color="000000" w:sz="4"/>
                    <w:bottom w:val="none" w:color="000000" w:sz="4"/>
                    <w:right w:val="single" w:color="000000" w:sz="4"/>
                  </w:tcBorders>
                </w:tcP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园区汇聚交换机</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H3C</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S6520X-30QC-EI</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52"/>
                  <w:vMerge/>
                  <w:tcBorders>
                    <w:top w:val="none" w:color="000000" w:sz="4"/>
                    <w:left w:val="none" w:color="000000" w:sz="4"/>
                    <w:bottom w:val="none" w:color="000000" w:sz="4"/>
                    <w:right w:val="single" w:color="000000" w:sz="4"/>
                  </w:tcBorders>
                </w:tcP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园区接入交换机</w:t>
                  </w:r>
                  <w:r>
                    <w:rPr>
                      <w:rFonts w:ascii="仿宋_GB2312" w:hAnsi="仿宋_GB2312" w:cs="仿宋_GB2312" w:eastAsia="仿宋_GB2312"/>
                      <w:sz w:val="24"/>
                      <w:color w:val="000000"/>
                    </w:rPr>
                    <w:t>-24口</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H3C</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S5130S-52S-EI</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52"/>
                  <w:vMerge/>
                  <w:tcBorders>
                    <w:top w:val="none" w:color="000000" w:sz="4"/>
                    <w:left w:val="none" w:color="000000" w:sz="4"/>
                    <w:bottom w:val="none" w:color="000000" w:sz="4"/>
                    <w:right w:val="single" w:color="000000" w:sz="4"/>
                  </w:tcBorders>
                </w:tcP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园区接入交换机</w:t>
                  </w:r>
                  <w:r>
                    <w:rPr>
                      <w:rFonts w:ascii="仿宋_GB2312" w:hAnsi="仿宋_GB2312" w:cs="仿宋_GB2312" w:eastAsia="仿宋_GB2312"/>
                      <w:sz w:val="24"/>
                      <w:color w:val="000000"/>
                    </w:rPr>
                    <w:t>-48口</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H3C</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S5130S-52S-EI</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252"/>
                  <w:vMerge/>
                  <w:tcBorders>
                    <w:top w:val="none" w:color="000000" w:sz="4"/>
                    <w:left w:val="none" w:color="000000" w:sz="4"/>
                    <w:bottom w:val="none" w:color="000000" w:sz="4"/>
                    <w:right w:val="single" w:color="000000" w:sz="4"/>
                  </w:tcBorders>
                </w:tcP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数据中心接入交换机</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H3C</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S5130S-52S-EI</w:t>
                  </w:r>
                </w:p>
              </w:tc>
            </w:tr>
          </w:tbl>
          <w:p>
            <w:pPr>
              <w:pStyle w:val="null3"/>
              <w:jc w:val="both"/>
            </w:pPr>
            <w:r>
              <w:rPr>
                <w:rFonts w:ascii="仿宋_GB2312" w:hAnsi="仿宋_GB2312" w:cs="仿宋_GB2312" w:eastAsia="仿宋_GB2312"/>
                <w:sz w:val="24"/>
              </w:rPr>
              <w:t>2、租赁服务清单</w:t>
            </w:r>
          </w:p>
          <w:tbl>
            <w:tblPr>
              <w:tblBorders>
                <w:top w:val="none" w:color="000000" w:sz="4"/>
                <w:left w:val="none" w:color="000000" w:sz="4"/>
                <w:bottom w:val="none" w:color="000000" w:sz="4"/>
                <w:right w:val="none" w:color="000000" w:sz="4"/>
                <w:insideH w:val="none"/>
                <w:insideV w:val="none"/>
              </w:tblBorders>
            </w:tblPr>
            <w:tblGrid>
              <w:gridCol w:w="173"/>
              <w:gridCol w:w="227"/>
              <w:gridCol w:w="703"/>
              <w:gridCol w:w="189"/>
              <w:gridCol w:w="1259"/>
            </w:tblGrid>
            <w:tr>
              <w:tc>
                <w:tcPr>
                  <w:tcW w:type="dxa" w:w="1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2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网络类型</w:t>
                  </w:r>
                </w:p>
              </w:tc>
              <w:tc>
                <w:tcPr>
                  <w:tcW w:type="dxa" w:w="7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类型</w:t>
                  </w:r>
                </w:p>
              </w:tc>
              <w:tc>
                <w:tcPr>
                  <w:tcW w:type="dxa" w:w="1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12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参数</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2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政务外网</w:t>
                  </w:r>
                </w:p>
              </w:tc>
              <w:tc>
                <w:tcPr>
                  <w:tcW w:type="dxa" w:w="70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园区汇聚交换机</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1、交换容量 ≥2.5Tbps，转发性能 ≥700Mpps。</w:t>
                  </w:r>
                </w:p>
                <w:p>
                  <w:pPr>
                    <w:pStyle w:val="null3"/>
                    <w:jc w:val="left"/>
                  </w:pPr>
                  <w:r>
                    <w:rPr>
                      <w:rFonts w:ascii="仿宋_GB2312" w:hAnsi="仿宋_GB2312" w:cs="仿宋_GB2312" w:eastAsia="仿宋_GB2312"/>
                      <w:sz w:val="24"/>
                    </w:rPr>
                    <w:t>2、24口万兆SFP+光接口，≥2个40G光口，万兆多模光模块20个，万兆单模光模块4个，40G堆叠线缆1根。</w:t>
                  </w:r>
                </w:p>
                <w:p>
                  <w:pPr>
                    <w:pStyle w:val="null3"/>
                    <w:jc w:val="left"/>
                  </w:pPr>
                  <w:r>
                    <w:rPr>
                      <w:rFonts w:ascii="仿宋_GB2312" w:hAnsi="仿宋_GB2312" w:cs="仿宋_GB2312" w:eastAsia="仿宋_GB2312"/>
                      <w:sz w:val="24"/>
                    </w:rPr>
                    <w:t>3、具有SDN功能的相关标准及协议。</w:t>
                  </w:r>
                </w:p>
                <w:p>
                  <w:pPr>
                    <w:pStyle w:val="null3"/>
                    <w:jc w:val="left"/>
                  </w:pPr>
                  <w:r>
                    <w:rPr>
                      <w:rFonts w:ascii="仿宋_GB2312" w:hAnsi="仿宋_GB2312" w:cs="仿宋_GB2312" w:eastAsia="仿宋_GB2312"/>
                      <w:sz w:val="24"/>
                    </w:rPr>
                    <w:t>4、具有≥2个接口扩展插槽。</w:t>
                  </w:r>
                </w:p>
                <w:p>
                  <w:pPr>
                    <w:pStyle w:val="null3"/>
                    <w:jc w:val="left"/>
                  </w:pPr>
                  <w:r>
                    <w:rPr>
                      <w:rFonts w:ascii="仿宋_GB2312" w:hAnsi="仿宋_GB2312" w:cs="仿宋_GB2312" w:eastAsia="仿宋_GB2312"/>
                      <w:sz w:val="24"/>
                    </w:rPr>
                    <w:t>5、配置模块化双电源，模块化双风扇。</w:t>
                  </w:r>
                </w:p>
                <w:p>
                  <w:pPr>
                    <w:pStyle w:val="null3"/>
                    <w:jc w:val="left"/>
                  </w:pPr>
                  <w:r>
                    <w:rPr>
                      <w:rFonts w:ascii="仿宋_GB2312" w:hAnsi="仿宋_GB2312" w:cs="仿宋_GB2312" w:eastAsia="仿宋_GB2312"/>
                      <w:sz w:val="24"/>
                    </w:rPr>
                    <w:t>6、设备具有防火墙插卡，保障网络信息安全。</w:t>
                  </w:r>
                </w:p>
                <w:p>
                  <w:pPr>
                    <w:pStyle w:val="null3"/>
                    <w:jc w:val="left"/>
                  </w:pPr>
                  <w:r>
                    <w:rPr>
                      <w:rFonts w:ascii="仿宋_GB2312" w:hAnsi="仿宋_GB2312" w:cs="仿宋_GB2312" w:eastAsia="仿宋_GB2312"/>
                      <w:sz w:val="24"/>
                    </w:rPr>
                    <w:t>7、设备具有CPU保护功能。</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27"/>
                  <w:vMerge/>
                  <w:tcBorders>
                    <w:top w:val="none" w:color="000000" w:sz="4"/>
                    <w:left w:val="none" w:color="000000" w:sz="4"/>
                    <w:bottom w:val="none" w:color="000000" w:sz="4"/>
                    <w:right w:val="single" w:color="000000" w:sz="4"/>
                  </w:tcBorders>
                </w:tcPr>
                <w:p/>
              </w:tc>
              <w:tc>
                <w:tcPr>
                  <w:tcW w:type="dxa" w:w="703"/>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园区接入交换机</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439</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1、交换容量≥750Gbps，包转发率≥252Mpps;</w:t>
                  </w:r>
                </w:p>
                <w:p>
                  <w:pPr>
                    <w:pStyle w:val="null3"/>
                    <w:jc w:val="left"/>
                  </w:pPr>
                  <w:r>
                    <w:rPr>
                      <w:rFonts w:ascii="仿宋_GB2312" w:hAnsi="仿宋_GB2312" w:cs="仿宋_GB2312" w:eastAsia="仿宋_GB2312"/>
                      <w:sz w:val="24"/>
                    </w:rPr>
                    <w:t>2、48口10/100/1000Base-T自适应以太网端口，≥4个万兆SFP+光接口；万兆多模光模块4个。</w:t>
                  </w:r>
                </w:p>
                <w:p>
                  <w:pPr>
                    <w:pStyle w:val="null3"/>
                    <w:jc w:val="left"/>
                  </w:pPr>
                  <w:r>
                    <w:rPr>
                      <w:rFonts w:ascii="仿宋_GB2312" w:hAnsi="仿宋_GB2312" w:cs="仿宋_GB2312" w:eastAsia="仿宋_GB2312"/>
                      <w:sz w:val="24"/>
                    </w:rPr>
                    <w:t>3、具有业务板卡扩展插槽≥1个。</w:t>
                  </w:r>
                </w:p>
                <w:p>
                  <w:pPr>
                    <w:pStyle w:val="null3"/>
                    <w:jc w:val="left"/>
                  </w:pPr>
                  <w:r>
                    <w:rPr>
                      <w:rFonts w:ascii="仿宋_GB2312" w:hAnsi="仿宋_GB2312" w:cs="仿宋_GB2312" w:eastAsia="仿宋_GB2312"/>
                      <w:sz w:val="24"/>
                    </w:rPr>
                    <w:t>4、具有IPv4静态路由、RIP、OSPF、ISIS、BGP。</w:t>
                  </w:r>
                </w:p>
                <w:p>
                  <w:pPr>
                    <w:pStyle w:val="null3"/>
                    <w:jc w:val="left"/>
                  </w:pPr>
                  <w:r>
                    <w:rPr>
                      <w:rFonts w:ascii="仿宋_GB2312" w:hAnsi="仿宋_GB2312" w:cs="仿宋_GB2312" w:eastAsia="仿宋_GB2312"/>
                      <w:sz w:val="24"/>
                    </w:rPr>
                    <w:t>5、具有IPv6静态路由、RIPng、OSPFv3、ISISv6、BGP4+。</w:t>
                  </w:r>
                </w:p>
                <w:p>
                  <w:pPr>
                    <w:pStyle w:val="null3"/>
                    <w:jc w:val="left"/>
                  </w:pPr>
                  <w:r>
                    <w:rPr>
                      <w:rFonts w:ascii="仿宋_GB2312" w:hAnsi="仿宋_GB2312" w:cs="仿宋_GB2312" w:eastAsia="仿宋_GB2312"/>
                      <w:sz w:val="24"/>
                    </w:rPr>
                    <w:t>6、具有防火墙插卡。</w:t>
                  </w:r>
                </w:p>
                <w:p>
                  <w:pPr>
                    <w:pStyle w:val="null3"/>
                    <w:jc w:val="left"/>
                  </w:pPr>
                  <w:r>
                    <w:rPr>
                      <w:rFonts w:ascii="仿宋_GB2312" w:hAnsi="仿宋_GB2312" w:cs="仿宋_GB2312" w:eastAsia="仿宋_GB2312"/>
                      <w:sz w:val="24"/>
                    </w:rPr>
                    <w:t>7、具有CPU保护功能。</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27"/>
                  <w:vMerge/>
                  <w:tcBorders>
                    <w:top w:val="none" w:color="000000" w:sz="4"/>
                    <w:left w:val="none" w:color="000000" w:sz="4"/>
                    <w:bottom w:val="none" w:color="000000" w:sz="4"/>
                    <w:right w:val="single" w:color="000000" w:sz="4"/>
                  </w:tcBorders>
                </w:tcPr>
                <w:p/>
              </w:tc>
              <w:tc>
                <w:tcPr>
                  <w:tcW w:type="dxa" w:w="703"/>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园区核心交换机</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▲1、交换容量≥200Tbps，转发性能≥115200Mpps，</w:t>
                  </w:r>
                </w:p>
                <w:p>
                  <w:pPr>
                    <w:pStyle w:val="null3"/>
                    <w:jc w:val="left"/>
                  </w:pPr>
                  <w:r>
                    <w:rPr>
                      <w:rFonts w:ascii="仿宋_GB2312" w:hAnsi="仿宋_GB2312" w:cs="仿宋_GB2312" w:eastAsia="仿宋_GB2312"/>
                      <w:sz w:val="24"/>
                    </w:rPr>
                    <w:t>2、主控引擎≥2； 电源≥2；独立的交换网板≥10</w:t>
                  </w:r>
                </w:p>
                <w:p>
                  <w:pPr>
                    <w:pStyle w:val="null3"/>
                    <w:jc w:val="left"/>
                  </w:pPr>
                  <w:r>
                    <w:rPr>
                      <w:rFonts w:ascii="仿宋_GB2312" w:hAnsi="仿宋_GB2312" w:cs="仿宋_GB2312" w:eastAsia="仿宋_GB2312"/>
                      <w:sz w:val="24"/>
                    </w:rPr>
                    <w:t>3、具有 IPV4 静态路由、RIPv1/v2、OSPFv2、BGP、ISIS 、 路 由 策 略 ； 支 持 IPv6 静 态 路 由 、 RIPng 、OSPFv3、IS-ISv6、BGP4+</w:t>
                  </w:r>
                </w:p>
                <w:p>
                  <w:pPr>
                    <w:pStyle w:val="null3"/>
                    <w:jc w:val="left"/>
                  </w:pPr>
                  <w:r>
                    <w:rPr>
                      <w:rFonts w:ascii="仿宋_GB2312" w:hAnsi="仿宋_GB2312" w:cs="仿宋_GB2312" w:eastAsia="仿宋_GB2312"/>
                      <w:sz w:val="24"/>
                    </w:rPr>
                    <w:t>4、具有 MPLS L3 VPN，具有 MPLS L2 VPN，具有 MPLSVPLS，具有 MPLS TE，具有 MCE</w:t>
                  </w:r>
                </w:p>
                <w:p>
                  <w:pPr>
                    <w:pStyle w:val="null3"/>
                    <w:jc w:val="left"/>
                  </w:pPr>
                  <w:r>
                    <w:rPr>
                      <w:rFonts w:ascii="仿宋_GB2312" w:hAnsi="仿宋_GB2312" w:cs="仿宋_GB2312" w:eastAsia="仿宋_GB2312"/>
                      <w:sz w:val="24"/>
                    </w:rPr>
                    <w:t>5、 具有多虚一，一虚多功能</w:t>
                  </w:r>
                </w:p>
                <w:p>
                  <w:pPr>
                    <w:pStyle w:val="null3"/>
                    <w:jc w:val="left"/>
                  </w:pPr>
                  <w:r>
                    <w:rPr>
                      <w:rFonts w:ascii="仿宋_GB2312" w:hAnsi="仿宋_GB2312" w:cs="仿宋_GB2312" w:eastAsia="仿宋_GB2312"/>
                      <w:sz w:val="24"/>
                    </w:rPr>
                    <w:t>6、交换机具有 INT 流量可视化功能,可实时分析 INT 报文中携带的时间戳分析每台设备和链路的逐跳转发延迟，快速找到拥塞节点，增强对于网络的管理运维及故障定位回溯的能力</w:t>
                  </w:r>
                </w:p>
                <w:p>
                  <w:pPr>
                    <w:pStyle w:val="null3"/>
                    <w:jc w:val="left"/>
                  </w:pPr>
                  <w:r>
                    <w:rPr>
                      <w:rFonts w:ascii="仿宋_GB2312" w:hAnsi="仿宋_GB2312" w:cs="仿宋_GB2312" w:eastAsia="仿宋_GB2312"/>
                      <w:sz w:val="24"/>
                    </w:rPr>
                    <w:t>7、具有 SNMP v1/v2/v3，SSH</w:t>
                  </w:r>
                </w:p>
                <w:p>
                  <w:pPr>
                    <w:pStyle w:val="null3"/>
                    <w:jc w:val="left"/>
                  </w:pPr>
                  <w:r>
                    <w:rPr>
                      <w:rFonts w:ascii="仿宋_GB2312" w:hAnsi="仿宋_GB2312" w:cs="仿宋_GB2312" w:eastAsia="仿宋_GB2312"/>
                      <w:sz w:val="24"/>
                    </w:rPr>
                    <w:t>8、本次配置不低于：双主控，双电源，2个交换网板，168个万兆光口，2个 40G 光口，144个万兆单模模块，24 个万兆多模模块，1 根 40G 堆叠线缆带模块，1个下一代防火墙模块；</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27"/>
                  <w:vMerge/>
                  <w:tcBorders>
                    <w:top w:val="none" w:color="000000" w:sz="4"/>
                    <w:left w:val="none" w:color="000000" w:sz="4"/>
                    <w:bottom w:val="none" w:color="000000" w:sz="4"/>
                    <w:right w:val="single" w:color="000000" w:sz="4"/>
                  </w:tcBorders>
                </w:tcPr>
                <w:p/>
              </w:tc>
              <w:tc>
                <w:tcPr>
                  <w:tcW w:type="dxa" w:w="703"/>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总核心交换机</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25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4"/>
                    </w:rPr>
                    <w:t>▲1、交换容量≥1800Tbps，包转发率≥460000Mpps。</w:t>
                  </w:r>
                </w:p>
                <w:p>
                  <w:pPr>
                    <w:pStyle w:val="null3"/>
                    <w:jc w:val="left"/>
                  </w:pPr>
                  <w:r>
                    <w:rPr>
                      <w:rFonts w:ascii="仿宋_GB2312" w:hAnsi="仿宋_GB2312" w:cs="仿宋_GB2312" w:eastAsia="仿宋_GB2312"/>
                      <w:sz w:val="24"/>
                    </w:rPr>
                    <w:t>2、具有多级交换架构，能够配置独立的交换网板与独立的主控板，交换网板与主控板硬件槽位分离，独立交换网板槽位数≥6。</w:t>
                  </w:r>
                </w:p>
                <w:p>
                  <w:pPr>
                    <w:pStyle w:val="null3"/>
                    <w:jc w:val="left"/>
                  </w:pPr>
                  <w:r>
                    <w:rPr>
                      <w:rFonts w:ascii="仿宋_GB2312" w:hAnsi="仿宋_GB2312" w:cs="仿宋_GB2312" w:eastAsia="仿宋_GB2312"/>
                      <w:sz w:val="24"/>
                    </w:rPr>
                    <w:t>3、整机主控引擎插槽≥2个，业务插槽≥8个。</w:t>
                  </w:r>
                </w:p>
                <w:p>
                  <w:pPr>
                    <w:pStyle w:val="null3"/>
                    <w:jc w:val="left"/>
                  </w:pPr>
                  <w:r>
                    <w:rPr>
                      <w:rFonts w:ascii="仿宋_GB2312" w:hAnsi="仿宋_GB2312" w:cs="仿宋_GB2312" w:eastAsia="仿宋_GB2312"/>
                      <w:sz w:val="24"/>
                    </w:rPr>
                    <w:t>4、业务板卡与交换网板采用完全正交设计，跨线卡业务流量通过正交连接器直接上交换网板，需提供指明槽位物理位置（垂直）关系。</w:t>
                  </w:r>
                </w:p>
                <w:p>
                  <w:pPr>
                    <w:pStyle w:val="null3"/>
                    <w:jc w:val="left"/>
                  </w:pPr>
                  <w:r>
                    <w:rPr>
                      <w:rFonts w:ascii="仿宋_GB2312" w:hAnsi="仿宋_GB2312" w:cs="仿宋_GB2312" w:eastAsia="仿宋_GB2312"/>
                      <w:sz w:val="24"/>
                    </w:rPr>
                    <w:t>5、内置智能管理功能，具有通过图形化界面设备配置及命令一键下发和版本智能升级。</w:t>
                  </w:r>
                </w:p>
                <w:p>
                  <w:pPr>
                    <w:pStyle w:val="null3"/>
                    <w:jc w:val="left"/>
                  </w:pPr>
                  <w:r>
                    <w:rPr>
                      <w:rFonts w:ascii="仿宋_GB2312" w:hAnsi="仿宋_GB2312" w:cs="仿宋_GB2312" w:eastAsia="仿宋_GB2312"/>
                      <w:sz w:val="24"/>
                    </w:rPr>
                    <w:t>6、具有VxLAN 网关，具有基于IPv4/IPv6的VxLAN二三层互通；具有SDN功能的相关标准及协议。</w:t>
                  </w:r>
                </w:p>
                <w:p>
                  <w:pPr>
                    <w:pStyle w:val="null3"/>
                    <w:jc w:val="left"/>
                  </w:pPr>
                  <w:r>
                    <w:rPr>
                      <w:rFonts w:ascii="仿宋_GB2312" w:hAnsi="仿宋_GB2312" w:cs="仿宋_GB2312" w:eastAsia="仿宋_GB2312"/>
                      <w:sz w:val="24"/>
                    </w:rPr>
                    <w:t>7、本次实配：双主控、电源模块≥4、配置独立交换网板≥4、万兆SFP+光口≥144个（包含万兆多模光模块≥120个，千兆单模光模块24个）、QSFP+光口≥36个（包含40G光模块4个）。</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27"/>
                  <w:vMerge/>
                  <w:tcBorders>
                    <w:top w:val="none" w:color="000000" w:sz="4"/>
                    <w:left w:val="none" w:color="000000" w:sz="4"/>
                    <w:bottom w:val="none" w:color="000000" w:sz="4"/>
                    <w:right w:val="single" w:color="000000" w:sz="4"/>
                  </w:tcBorders>
                </w:tcPr>
                <w:p/>
              </w:tc>
              <w:tc>
                <w:tcPr>
                  <w:tcW w:type="dxa" w:w="703"/>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数据中心汇聚交换机</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▲1、交换容量 ≥2.5Tbps，转发性能 ≥700Mpps。</w:t>
                  </w:r>
                </w:p>
                <w:p>
                  <w:pPr>
                    <w:pStyle w:val="null3"/>
                    <w:jc w:val="left"/>
                  </w:pPr>
                  <w:r>
                    <w:rPr>
                      <w:rFonts w:ascii="仿宋_GB2312" w:hAnsi="仿宋_GB2312" w:cs="仿宋_GB2312" w:eastAsia="仿宋_GB2312"/>
                      <w:sz w:val="24"/>
                    </w:rPr>
                    <w:t>2、24口万兆SFP+光接口，≥2个40G光口，万兆多模光模块20个，万兆单模光模块4个，40G堆叠线缆1根。</w:t>
                  </w:r>
                </w:p>
                <w:p>
                  <w:pPr>
                    <w:pStyle w:val="null3"/>
                    <w:jc w:val="left"/>
                  </w:pPr>
                  <w:r>
                    <w:rPr>
                      <w:rFonts w:ascii="仿宋_GB2312" w:hAnsi="仿宋_GB2312" w:cs="仿宋_GB2312" w:eastAsia="仿宋_GB2312"/>
                      <w:sz w:val="24"/>
                    </w:rPr>
                    <w:t>3、具有SDN功能的相关标准及协议。</w:t>
                  </w:r>
                </w:p>
                <w:p>
                  <w:pPr>
                    <w:pStyle w:val="null3"/>
                    <w:jc w:val="left"/>
                  </w:pPr>
                  <w:r>
                    <w:rPr>
                      <w:rFonts w:ascii="仿宋_GB2312" w:hAnsi="仿宋_GB2312" w:cs="仿宋_GB2312" w:eastAsia="仿宋_GB2312"/>
                      <w:sz w:val="24"/>
                    </w:rPr>
                    <w:t>4、具有≥2个接口扩展插槽。</w:t>
                  </w:r>
                </w:p>
                <w:p>
                  <w:pPr>
                    <w:pStyle w:val="null3"/>
                    <w:jc w:val="left"/>
                  </w:pPr>
                  <w:r>
                    <w:rPr>
                      <w:rFonts w:ascii="仿宋_GB2312" w:hAnsi="仿宋_GB2312" w:cs="仿宋_GB2312" w:eastAsia="仿宋_GB2312"/>
                      <w:sz w:val="24"/>
                    </w:rPr>
                    <w:t>5、配置模块化双电源，模块化双风扇。</w:t>
                  </w:r>
                </w:p>
                <w:p>
                  <w:pPr>
                    <w:pStyle w:val="null3"/>
                    <w:jc w:val="left"/>
                  </w:pPr>
                  <w:r>
                    <w:rPr>
                      <w:rFonts w:ascii="仿宋_GB2312" w:hAnsi="仿宋_GB2312" w:cs="仿宋_GB2312" w:eastAsia="仿宋_GB2312"/>
                      <w:sz w:val="24"/>
                    </w:rPr>
                    <w:t>6、设备具有防火墙插卡，保障网络信息安全。</w:t>
                  </w:r>
                </w:p>
                <w:p>
                  <w:pPr>
                    <w:pStyle w:val="null3"/>
                    <w:jc w:val="left"/>
                  </w:pPr>
                  <w:r>
                    <w:rPr>
                      <w:rFonts w:ascii="仿宋_GB2312" w:hAnsi="仿宋_GB2312" w:cs="仿宋_GB2312" w:eastAsia="仿宋_GB2312"/>
                      <w:sz w:val="24"/>
                    </w:rPr>
                    <w:t>7、设备具有CPU保护功能。</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27"/>
                  <w:vMerge/>
                  <w:tcBorders>
                    <w:top w:val="none" w:color="000000" w:sz="4"/>
                    <w:left w:val="none" w:color="000000" w:sz="4"/>
                    <w:bottom w:val="none" w:color="000000" w:sz="4"/>
                    <w:right w:val="single" w:color="000000" w:sz="4"/>
                  </w:tcBorders>
                </w:tcPr>
                <w:p/>
              </w:tc>
              <w:tc>
                <w:tcPr>
                  <w:tcW w:type="dxa" w:w="703"/>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数据中心接入交换机</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1、交换容量≥430Gbps；转发性能≥160Mpps</w:t>
                  </w:r>
                </w:p>
                <w:p>
                  <w:pPr>
                    <w:pStyle w:val="null3"/>
                    <w:jc w:val="left"/>
                  </w:pPr>
                  <w:r>
                    <w:rPr>
                      <w:rFonts w:ascii="仿宋_GB2312" w:hAnsi="仿宋_GB2312" w:cs="仿宋_GB2312" w:eastAsia="仿宋_GB2312"/>
                      <w:sz w:val="24"/>
                    </w:rPr>
                    <w:t>2、千兆电口≥48个，万兆SFP+光口≥4个 。万兆多模光模块4个。</w:t>
                  </w:r>
                </w:p>
                <w:p>
                  <w:pPr>
                    <w:pStyle w:val="null3"/>
                    <w:jc w:val="left"/>
                  </w:pPr>
                  <w:r>
                    <w:rPr>
                      <w:rFonts w:ascii="仿宋_GB2312" w:hAnsi="仿宋_GB2312" w:cs="仿宋_GB2312" w:eastAsia="仿宋_GB2312"/>
                      <w:sz w:val="24"/>
                    </w:rPr>
                    <w:t>3、具有用千兆接口做横向虚拟化</w:t>
                  </w:r>
                </w:p>
                <w:p>
                  <w:pPr>
                    <w:pStyle w:val="null3"/>
                    <w:jc w:val="left"/>
                  </w:pPr>
                  <w:r>
                    <w:rPr>
                      <w:rFonts w:ascii="仿宋_GB2312" w:hAnsi="仿宋_GB2312" w:cs="仿宋_GB2312" w:eastAsia="仿宋_GB2312"/>
                      <w:sz w:val="24"/>
                    </w:rPr>
                    <w:t>4、具有≥4K个符合IEEE 802.1Q标准的VLAN;具有Protocol VLAN、Voice VLAN、VLAN VPN (QinQ)；具有SDN功能的相关标准及协议。</w:t>
                  </w:r>
                </w:p>
                <w:p>
                  <w:pPr>
                    <w:pStyle w:val="null3"/>
                    <w:jc w:val="left"/>
                  </w:pPr>
                  <w:r>
                    <w:rPr>
                      <w:rFonts w:ascii="仿宋_GB2312" w:hAnsi="仿宋_GB2312" w:cs="仿宋_GB2312" w:eastAsia="仿宋_GB2312"/>
                      <w:sz w:val="24"/>
                    </w:rPr>
                    <w:t>5、具有三层静态路由、RIP，OSPF；具有基于源MAC地址、目的MAC地址、源IP地址、目的IP地址、TCP/UDP端口号、协议类型、VLAN等ACL；：</w:t>
                  </w:r>
                </w:p>
                <w:p>
                  <w:pPr>
                    <w:pStyle w:val="null3"/>
                    <w:jc w:val="left"/>
                  </w:pPr>
                  <w:r>
                    <w:rPr>
                      <w:rFonts w:ascii="仿宋_GB2312" w:hAnsi="仿宋_GB2312" w:cs="仿宋_GB2312" w:eastAsia="仿宋_GB2312"/>
                      <w:sz w:val="24"/>
                    </w:rPr>
                    <w:t>6、具有SNMPv1/v2/v3，WEB网管。</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27"/>
                  <w:vMerge/>
                  <w:tcBorders>
                    <w:top w:val="none" w:color="000000" w:sz="4"/>
                    <w:left w:val="none" w:color="000000" w:sz="4"/>
                    <w:bottom w:val="none" w:color="000000" w:sz="4"/>
                    <w:right w:val="single" w:color="000000" w:sz="4"/>
                  </w:tcBorders>
                </w:tcPr>
                <w:p/>
              </w:tc>
              <w:tc>
                <w:tcPr>
                  <w:tcW w:type="dxa" w:w="703"/>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数据中心核心交换机</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▲1、交换容量 ≥1900Tbps，转发性能 ≥460000Mpps。</w:t>
                  </w:r>
                </w:p>
                <w:p>
                  <w:pPr>
                    <w:pStyle w:val="null3"/>
                    <w:jc w:val="left"/>
                  </w:pPr>
                  <w:r>
                    <w:rPr>
                      <w:rFonts w:ascii="仿宋_GB2312" w:hAnsi="仿宋_GB2312" w:cs="仿宋_GB2312" w:eastAsia="仿宋_GB2312"/>
                      <w:sz w:val="24"/>
                    </w:rPr>
                    <w:t>2、≥96个万兆SFP+光接口，万兆多模光模块80个，万兆单模光模块16个。</w:t>
                  </w:r>
                </w:p>
                <w:p>
                  <w:pPr>
                    <w:pStyle w:val="null3"/>
                    <w:jc w:val="left"/>
                  </w:pPr>
                  <w:r>
                    <w:rPr>
                      <w:rFonts w:ascii="仿宋_GB2312" w:hAnsi="仿宋_GB2312" w:cs="仿宋_GB2312" w:eastAsia="仿宋_GB2312"/>
                      <w:sz w:val="24"/>
                    </w:rPr>
                    <w:t>3、具有SDN功能的相关标准及协议。</w:t>
                  </w:r>
                </w:p>
                <w:p>
                  <w:pPr>
                    <w:pStyle w:val="null3"/>
                    <w:jc w:val="left"/>
                  </w:pPr>
                  <w:r>
                    <w:rPr>
                      <w:rFonts w:ascii="仿宋_GB2312" w:hAnsi="仿宋_GB2312" w:cs="仿宋_GB2312" w:eastAsia="仿宋_GB2312"/>
                      <w:sz w:val="24"/>
                    </w:rPr>
                    <w:t>4、具有≥2个主控，竖式业务槽位≥8个，交换网板槽位≥5个。</w:t>
                  </w:r>
                </w:p>
                <w:p>
                  <w:pPr>
                    <w:pStyle w:val="null3"/>
                    <w:jc w:val="left"/>
                  </w:pPr>
                  <w:r>
                    <w:rPr>
                      <w:rFonts w:ascii="仿宋_GB2312" w:hAnsi="仿宋_GB2312" w:cs="仿宋_GB2312" w:eastAsia="仿宋_GB2312"/>
                      <w:sz w:val="24"/>
                    </w:rPr>
                    <w:t>5、配置模块化双电源，模块化双风扇。</w:t>
                  </w:r>
                </w:p>
                <w:p>
                  <w:pPr>
                    <w:pStyle w:val="null3"/>
                    <w:jc w:val="left"/>
                  </w:pPr>
                  <w:r>
                    <w:rPr>
                      <w:rFonts w:ascii="仿宋_GB2312" w:hAnsi="仿宋_GB2312" w:cs="仿宋_GB2312" w:eastAsia="仿宋_GB2312"/>
                      <w:sz w:val="24"/>
                    </w:rPr>
                    <w:t>6、内置智能管理功能，通过图形化界面设备配置及命令一键下发和版本智能升级。</w:t>
                  </w:r>
                </w:p>
                <w:p>
                  <w:pPr>
                    <w:pStyle w:val="null3"/>
                    <w:jc w:val="left"/>
                  </w:pPr>
                  <w:r>
                    <w:rPr>
                      <w:rFonts w:ascii="仿宋_GB2312" w:hAnsi="仿宋_GB2312" w:cs="仿宋_GB2312" w:eastAsia="仿宋_GB2312"/>
                      <w:sz w:val="24"/>
                    </w:rPr>
                    <w:t>7、具有IPv6手动隧道、6to4隧道和ISATAP隧道。</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27"/>
                  <w:vMerge/>
                  <w:tcBorders>
                    <w:top w:val="none" w:color="000000" w:sz="4"/>
                    <w:left w:val="none" w:color="000000" w:sz="4"/>
                    <w:bottom w:val="none" w:color="000000" w:sz="4"/>
                    <w:right w:val="single" w:color="000000" w:sz="4"/>
                  </w:tcBorders>
                </w:tcPr>
                <w:p/>
              </w:tc>
              <w:tc>
                <w:tcPr>
                  <w:tcW w:type="dxa" w:w="7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数据中心流量监控服务</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1．实时掌握数据中心网络流量的动态变化，包括不同区域、不同业务系统的流量分布。</w:t>
                  </w:r>
                </w:p>
                <w:p>
                  <w:pPr>
                    <w:pStyle w:val="null3"/>
                    <w:jc w:val="left"/>
                  </w:pPr>
                  <w:r>
                    <w:rPr>
                      <w:rFonts w:ascii="仿宋_GB2312" w:hAnsi="仿宋_GB2312" w:cs="仿宋_GB2312" w:eastAsia="仿宋_GB2312"/>
                      <w:sz w:val="24"/>
                    </w:rPr>
                    <w:t>2．及时发现网络拥塞点，提前预警潜在的网络性能瓶颈，确保业务的连续性。</w:t>
                  </w:r>
                </w:p>
                <w:p>
                  <w:pPr>
                    <w:pStyle w:val="null3"/>
                    <w:jc w:val="left"/>
                  </w:pPr>
                  <w:r>
                    <w:rPr>
                      <w:rFonts w:ascii="仿宋_GB2312" w:hAnsi="仿宋_GB2312" w:cs="仿宋_GB2312" w:eastAsia="仿宋_GB2312"/>
                      <w:sz w:val="24"/>
                    </w:rPr>
                    <w:t>3．识别异常流量行为，如 DDoS 攻击、恶意扫描等，增强数据中心的网络安全防护能力。</w:t>
                  </w:r>
                </w:p>
                <w:p>
                  <w:pPr>
                    <w:pStyle w:val="null3"/>
                    <w:jc w:val="left"/>
                  </w:pPr>
                  <w:r>
                    <w:rPr>
                      <w:rFonts w:ascii="仿宋_GB2312" w:hAnsi="仿宋_GB2312" w:cs="仿宋_GB2312" w:eastAsia="仿宋_GB2312"/>
                      <w:sz w:val="24"/>
                    </w:rPr>
                    <w:t>4．基于流量数据分析，为网络资源的合理分配和优化提供决策依据。</w:t>
                  </w:r>
                </w:p>
                <w:p>
                  <w:pPr>
                    <w:pStyle w:val="null3"/>
                    <w:jc w:val="left"/>
                  </w:pPr>
                  <w:r>
                    <w:rPr>
                      <w:rFonts w:ascii="仿宋_GB2312" w:hAnsi="仿宋_GB2312" w:cs="仿宋_GB2312" w:eastAsia="仿宋_GB2312"/>
                      <w:sz w:val="24"/>
                    </w:rPr>
                    <w:t>5．以及400热线服务、一般问题现场具有服务、紧急故障现场具有服务、根因分析服务、问题管理服务、终端环境软件适配服务、主动式系统健康巡检服务、服务运维报告等。</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227"/>
                  <w:vMerge/>
                  <w:tcBorders>
                    <w:top w:val="none" w:color="000000" w:sz="4"/>
                    <w:left w:val="none" w:color="000000" w:sz="4"/>
                    <w:bottom w:val="none" w:color="000000" w:sz="4"/>
                    <w:right w:val="single" w:color="000000" w:sz="4"/>
                  </w:tcBorders>
                </w:tcP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全网统一</w:t>
                  </w:r>
                  <w:r>
                    <w:rPr>
                      <w:rFonts w:ascii="仿宋_GB2312" w:hAnsi="仿宋_GB2312" w:cs="仿宋_GB2312" w:eastAsia="仿宋_GB2312"/>
                      <w:sz w:val="24"/>
                    </w:rPr>
                    <w:t>DNS服务</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提供</w:t>
                  </w:r>
                  <w:r>
                    <w:rPr>
                      <w:rFonts w:ascii="仿宋_GB2312" w:hAnsi="仿宋_GB2312" w:cs="仿宋_GB2312" w:eastAsia="仿宋_GB2312"/>
                      <w:sz w:val="24"/>
                    </w:rPr>
                    <w:t>DDI核心网络设备两套，须满足数据中心IP管理及DNS域名解析系统安全服务。服务内容还需包括400热线服务、一般问题现场具有服务、紧急故障现场具有服务、根因分析服务、问题管理服务、主动式系统健康巡检服务、服务运维报告等。</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27"/>
                  <w:vMerge/>
                  <w:tcBorders>
                    <w:top w:val="none" w:color="000000" w:sz="4"/>
                    <w:left w:val="none" w:color="000000" w:sz="4"/>
                    <w:bottom w:val="none" w:color="000000" w:sz="4"/>
                    <w:right w:val="single" w:color="000000" w:sz="4"/>
                  </w:tcBorders>
                </w:tcP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涉密销毁中心汇聚交换机</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1、交换容量 ≥2.5Tbps，转发性能 ≥700Mpps。</w:t>
                  </w:r>
                </w:p>
                <w:p>
                  <w:pPr>
                    <w:pStyle w:val="null3"/>
                    <w:jc w:val="left"/>
                  </w:pPr>
                  <w:r>
                    <w:rPr>
                      <w:rFonts w:ascii="仿宋_GB2312" w:hAnsi="仿宋_GB2312" w:cs="仿宋_GB2312" w:eastAsia="仿宋_GB2312"/>
                      <w:sz w:val="24"/>
                    </w:rPr>
                    <w:t>2、≥24口万兆SFP+光接口，≥2个40G光口，万兆多模光模块20个，万兆单模光模块4个，40G堆叠线缆1根。</w:t>
                  </w:r>
                </w:p>
                <w:p>
                  <w:pPr>
                    <w:pStyle w:val="null3"/>
                    <w:jc w:val="left"/>
                  </w:pPr>
                  <w:r>
                    <w:rPr>
                      <w:rFonts w:ascii="仿宋_GB2312" w:hAnsi="仿宋_GB2312" w:cs="仿宋_GB2312" w:eastAsia="仿宋_GB2312"/>
                      <w:sz w:val="24"/>
                    </w:rPr>
                    <w:t>3、具有SDN功能的相关标准及协议。</w:t>
                  </w:r>
                </w:p>
                <w:p>
                  <w:pPr>
                    <w:pStyle w:val="null3"/>
                    <w:jc w:val="left"/>
                  </w:pPr>
                  <w:r>
                    <w:rPr>
                      <w:rFonts w:ascii="仿宋_GB2312" w:hAnsi="仿宋_GB2312" w:cs="仿宋_GB2312" w:eastAsia="仿宋_GB2312"/>
                      <w:sz w:val="24"/>
                    </w:rPr>
                    <w:t>4、具有≥2个接口扩展插槽。</w:t>
                  </w:r>
                </w:p>
                <w:p>
                  <w:pPr>
                    <w:pStyle w:val="null3"/>
                    <w:jc w:val="left"/>
                  </w:pPr>
                  <w:r>
                    <w:rPr>
                      <w:rFonts w:ascii="仿宋_GB2312" w:hAnsi="仿宋_GB2312" w:cs="仿宋_GB2312" w:eastAsia="仿宋_GB2312"/>
                      <w:sz w:val="24"/>
                    </w:rPr>
                    <w:t>5、配置模块化双电源，模块化双风扇。</w:t>
                  </w:r>
                </w:p>
                <w:p>
                  <w:pPr>
                    <w:pStyle w:val="null3"/>
                    <w:jc w:val="left"/>
                  </w:pPr>
                  <w:r>
                    <w:rPr>
                      <w:rFonts w:ascii="仿宋_GB2312" w:hAnsi="仿宋_GB2312" w:cs="仿宋_GB2312" w:eastAsia="仿宋_GB2312"/>
                      <w:sz w:val="24"/>
                    </w:rPr>
                    <w:t>6、设备具有防火墙插卡，保障网络信息安全。</w:t>
                  </w:r>
                </w:p>
                <w:p>
                  <w:pPr>
                    <w:pStyle w:val="null3"/>
                    <w:jc w:val="left"/>
                  </w:pPr>
                  <w:r>
                    <w:rPr>
                      <w:rFonts w:ascii="仿宋_GB2312" w:hAnsi="仿宋_GB2312" w:cs="仿宋_GB2312" w:eastAsia="仿宋_GB2312"/>
                      <w:sz w:val="24"/>
                    </w:rPr>
                    <w:t>7、设备具有CPU保护功能。</w:t>
                  </w:r>
                </w:p>
              </w:tc>
            </w:tr>
            <w:tr>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227"/>
                  <w:vMerge/>
                  <w:tcBorders>
                    <w:top w:val="none" w:color="000000" w:sz="4"/>
                    <w:left w:val="none" w:color="000000" w:sz="4"/>
                    <w:bottom w:val="none" w:color="000000" w:sz="4"/>
                    <w:right w:val="single" w:color="000000" w:sz="4"/>
                  </w:tcBorders>
                </w:tcP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涉密销毁中心接入交换机</w:t>
                  </w:r>
                </w:p>
              </w:tc>
              <w:tc>
                <w:tcPr>
                  <w:tcW w:type="dxa" w:w="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1、交换容量≥750Gbps，包转发率≥252Mpps;</w:t>
                  </w:r>
                </w:p>
                <w:p>
                  <w:pPr>
                    <w:pStyle w:val="null3"/>
                    <w:jc w:val="left"/>
                  </w:pPr>
                  <w:r>
                    <w:rPr>
                      <w:rFonts w:ascii="仿宋_GB2312" w:hAnsi="仿宋_GB2312" w:cs="仿宋_GB2312" w:eastAsia="仿宋_GB2312"/>
                      <w:sz w:val="24"/>
                    </w:rPr>
                    <w:t>2、≥48个10/100/1000Base-T自适应以太网端口，≥4个万兆SFP+光接口；万兆多模光模块4个。</w:t>
                  </w:r>
                </w:p>
                <w:p>
                  <w:pPr>
                    <w:pStyle w:val="null3"/>
                    <w:jc w:val="left"/>
                  </w:pPr>
                  <w:r>
                    <w:rPr>
                      <w:rFonts w:ascii="仿宋_GB2312" w:hAnsi="仿宋_GB2312" w:cs="仿宋_GB2312" w:eastAsia="仿宋_GB2312"/>
                      <w:sz w:val="24"/>
                    </w:rPr>
                    <w:t>3、具有业务板卡扩展插槽≥1个。</w:t>
                  </w:r>
                </w:p>
                <w:p>
                  <w:pPr>
                    <w:pStyle w:val="null3"/>
                    <w:jc w:val="left"/>
                  </w:pPr>
                  <w:r>
                    <w:rPr>
                      <w:rFonts w:ascii="仿宋_GB2312" w:hAnsi="仿宋_GB2312" w:cs="仿宋_GB2312" w:eastAsia="仿宋_GB2312"/>
                      <w:sz w:val="24"/>
                    </w:rPr>
                    <w:t>4、具有IPv4静态路由、RIP、OSPF、ISIS、BGP。</w:t>
                  </w:r>
                </w:p>
                <w:p>
                  <w:pPr>
                    <w:pStyle w:val="null3"/>
                    <w:jc w:val="left"/>
                  </w:pPr>
                  <w:r>
                    <w:rPr>
                      <w:rFonts w:ascii="仿宋_GB2312" w:hAnsi="仿宋_GB2312" w:cs="仿宋_GB2312" w:eastAsia="仿宋_GB2312"/>
                      <w:sz w:val="24"/>
                    </w:rPr>
                    <w:t>5、具有IPv6静态路由、RIPng、OSPFv3、ISISv6、BGP4+。</w:t>
                  </w:r>
                </w:p>
                <w:p>
                  <w:pPr>
                    <w:pStyle w:val="null3"/>
                    <w:jc w:val="left"/>
                  </w:pPr>
                  <w:r>
                    <w:rPr>
                      <w:rFonts w:ascii="仿宋_GB2312" w:hAnsi="仿宋_GB2312" w:cs="仿宋_GB2312" w:eastAsia="仿宋_GB2312"/>
                      <w:sz w:val="24"/>
                    </w:rPr>
                    <w:t>6、要求设备具有防火墙插卡。</w:t>
                  </w:r>
                </w:p>
                <w:p>
                  <w:pPr>
                    <w:pStyle w:val="null3"/>
                    <w:jc w:val="left"/>
                  </w:pPr>
                  <w:r>
                    <w:rPr>
                      <w:rFonts w:ascii="仿宋_GB2312" w:hAnsi="仿宋_GB2312" w:cs="仿宋_GB2312" w:eastAsia="仿宋_GB2312"/>
                      <w:sz w:val="24"/>
                    </w:rPr>
                    <w:t>7、具有CPU保护功能。</w:t>
                  </w:r>
                </w:p>
              </w:tc>
            </w:tr>
          </w:tbl>
          <w:p>
            <w:pPr>
              <w:pStyle w:val="null3"/>
              <w:numPr>
                <w:ilvl w:val="3"/>
                <w:numId w:val="2"/>
              </w:numPr>
            </w:pPr>
            <w:r>
              <w:rPr>
                <w:rFonts w:ascii="仿宋_GB2312" w:hAnsi="仿宋_GB2312" w:cs="仿宋_GB2312" w:eastAsia="仿宋_GB2312"/>
                <w:sz w:val="24"/>
                <w:b/>
              </w:rPr>
              <w:t>政务专网网络设备统一支撑服务</w:t>
            </w:r>
          </w:p>
          <w:p>
            <w:pPr>
              <w:pStyle w:val="null3"/>
              <w:ind w:firstLine="480"/>
              <w:jc w:val="both"/>
            </w:pPr>
            <w:r>
              <w:rPr>
                <w:rFonts w:ascii="仿宋_GB2312" w:hAnsi="仿宋_GB2312" w:cs="仿宋_GB2312" w:eastAsia="仿宋_GB2312"/>
                <w:sz w:val="24"/>
              </w:rPr>
              <w:t>对西安市电子政务专网网络提供不低于以下参数的设备租赁服务，设备范围包括数据中心机房核心设备、汇聚设备、接入设备；园区机房核心设备、楼宇汇聚设备、楼层接入设备及管理系统软件等（详见数量清单）。</w:t>
            </w:r>
          </w:p>
          <w:tbl>
            <w:tblPr>
              <w:tblBorders>
                <w:top w:val="none" w:color="000000" w:sz="4"/>
                <w:left w:val="none" w:color="000000" w:sz="4"/>
                <w:bottom w:val="none" w:color="000000" w:sz="4"/>
                <w:right w:val="none" w:color="000000" w:sz="4"/>
                <w:insideH w:val="none"/>
                <w:insideV w:val="none"/>
              </w:tblBorders>
            </w:tblPr>
            <w:tblGrid>
              <w:gridCol w:w="237"/>
              <w:gridCol w:w="223"/>
              <w:gridCol w:w="305"/>
              <w:gridCol w:w="237"/>
              <w:gridCol w:w="1550"/>
            </w:tblGrid>
            <w:tr>
              <w:tc>
                <w:tcPr>
                  <w:tcW w:type="dxa" w:w="2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2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网络类型</w:t>
                  </w:r>
                </w:p>
              </w:tc>
              <w:tc>
                <w:tcPr>
                  <w:tcW w:type="dxa" w:w="3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类型</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15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参</w:t>
                  </w:r>
                  <w:r>
                    <w:rPr>
                      <w:rFonts w:ascii="仿宋_GB2312" w:hAnsi="仿宋_GB2312" w:cs="仿宋_GB2312" w:eastAsia="仿宋_GB2312"/>
                      <w:sz w:val="24"/>
                      <w:b/>
                    </w:rPr>
                    <w:t>数</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政务专网</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出口路由器</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1、交换容量≥600Tbps，包转发率≥76000Mpps</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2、整机线卡槽位槽位数≥8个；≥8个业务板板槽位，≥4个独立交换网板槽位。</w:t>
                  </w:r>
                </w:p>
                <w:p>
                  <w:pPr>
                    <w:pStyle w:val="null3"/>
                    <w:jc w:val="left"/>
                  </w:pPr>
                  <w:r>
                    <w:rPr>
                      <w:rFonts w:ascii="仿宋_GB2312" w:hAnsi="仿宋_GB2312" w:cs="仿宋_GB2312" w:eastAsia="仿宋_GB2312"/>
                      <w:sz w:val="24"/>
                    </w:rPr>
                    <w:t>3、电源个数≥2个，电源系统</w:t>
                  </w:r>
                  <w:r>
                    <w:rPr>
                      <w:rFonts w:ascii="仿宋_GB2312" w:hAnsi="仿宋_GB2312" w:cs="仿宋_GB2312" w:eastAsia="仿宋_GB2312"/>
                      <w:sz w:val="24"/>
                    </w:rPr>
                    <w:t>具有</w:t>
                  </w:r>
                  <w:r>
                    <w:rPr>
                      <w:rFonts w:ascii="仿宋_GB2312" w:hAnsi="仿宋_GB2312" w:cs="仿宋_GB2312" w:eastAsia="仿宋_GB2312"/>
                      <w:sz w:val="24"/>
                    </w:rPr>
                    <w:t>N+M冗余，</w:t>
                  </w:r>
                  <w:r>
                    <w:rPr>
                      <w:rFonts w:ascii="仿宋_GB2312" w:hAnsi="仿宋_GB2312" w:cs="仿宋_GB2312" w:eastAsia="仿宋_GB2312"/>
                      <w:sz w:val="24"/>
                    </w:rPr>
                    <w:t>具有</w:t>
                  </w:r>
                  <w:r>
                    <w:rPr>
                      <w:rFonts w:ascii="仿宋_GB2312" w:hAnsi="仿宋_GB2312" w:cs="仿宋_GB2312" w:eastAsia="仿宋_GB2312"/>
                      <w:sz w:val="24"/>
                    </w:rPr>
                    <w:t>一体化供电方式，单电源可对整机供电。</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具有</w:t>
                  </w:r>
                  <w:r>
                    <w:rPr>
                      <w:rFonts w:ascii="仿宋_GB2312" w:hAnsi="仿宋_GB2312" w:cs="仿宋_GB2312" w:eastAsia="仿宋_GB2312"/>
                      <w:sz w:val="24"/>
                    </w:rPr>
                    <w:t>ARP协议，ARP表项≥1M。</w:t>
                  </w:r>
                  <w:r>
                    <w:rPr>
                      <w:rFonts w:ascii="仿宋_GB2312" w:hAnsi="仿宋_GB2312" w:cs="仿宋_GB2312" w:eastAsia="仿宋_GB2312"/>
                      <w:sz w:val="24"/>
                    </w:rPr>
                    <w:t>具有</w:t>
                  </w:r>
                  <w:r>
                    <w:rPr>
                      <w:rFonts w:ascii="仿宋_GB2312" w:hAnsi="仿宋_GB2312" w:cs="仿宋_GB2312" w:eastAsia="仿宋_GB2312"/>
                      <w:sz w:val="24"/>
                    </w:rPr>
                    <w:t>ND协议，ND表项≥1M。</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具有</w:t>
                  </w:r>
                  <w:r>
                    <w:rPr>
                      <w:rFonts w:ascii="仿宋_GB2312" w:hAnsi="仿宋_GB2312" w:cs="仿宋_GB2312" w:eastAsia="仿宋_GB2312"/>
                      <w:sz w:val="24"/>
                    </w:rPr>
                    <w:t>IPV4静态路由、RIPv1/v2、OSPFv2、BGP、IS-IS、路由策略。</w:t>
                  </w:r>
                  <w:r>
                    <w:rPr>
                      <w:rFonts w:ascii="仿宋_GB2312" w:hAnsi="仿宋_GB2312" w:cs="仿宋_GB2312" w:eastAsia="仿宋_GB2312"/>
                      <w:sz w:val="24"/>
                    </w:rPr>
                    <w:t>具有</w:t>
                  </w:r>
                  <w:r>
                    <w:rPr>
                      <w:rFonts w:ascii="仿宋_GB2312" w:hAnsi="仿宋_GB2312" w:cs="仿宋_GB2312" w:eastAsia="仿宋_GB2312"/>
                      <w:sz w:val="24"/>
                    </w:rPr>
                    <w:t>IPv6静态路由、RIPng、OSPFv3、IS-ISv6、BGP4+。</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具有</w:t>
                  </w:r>
                  <w:r>
                    <w:rPr>
                      <w:rFonts w:ascii="仿宋_GB2312" w:hAnsi="仿宋_GB2312" w:cs="仿宋_GB2312" w:eastAsia="仿宋_GB2312"/>
                      <w:sz w:val="24"/>
                    </w:rPr>
                    <w:t>PIM-DM、PIM-SM、PIM-SSM、MSDP、MBGP、Anycast-RP等路由协议。</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具有</w:t>
                  </w:r>
                  <w:r>
                    <w:rPr>
                      <w:rFonts w:ascii="仿宋_GB2312" w:hAnsi="仿宋_GB2312" w:cs="仿宋_GB2312" w:eastAsia="仿宋_GB2312"/>
                      <w:sz w:val="24"/>
                    </w:rPr>
                    <w:t>将两台物理设备虚拟化为一台逻辑设备，虚拟组内可以实现一致的转发表项，统一的管理，跨物理设备的链路聚合</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具有</w:t>
                  </w:r>
                  <w:r>
                    <w:rPr>
                      <w:rFonts w:ascii="仿宋_GB2312" w:hAnsi="仿宋_GB2312" w:cs="仿宋_GB2312" w:eastAsia="仿宋_GB2312"/>
                      <w:sz w:val="24"/>
                    </w:rPr>
                    <w:t>前进后出直通式风道，主控、网板、线卡板均</w:t>
                  </w:r>
                  <w:r>
                    <w:rPr>
                      <w:rFonts w:ascii="仿宋_GB2312" w:hAnsi="仿宋_GB2312" w:cs="仿宋_GB2312" w:eastAsia="仿宋_GB2312"/>
                      <w:sz w:val="24"/>
                    </w:rPr>
                    <w:t>具有</w:t>
                  </w:r>
                  <w:r>
                    <w:rPr>
                      <w:rFonts w:ascii="仿宋_GB2312" w:hAnsi="仿宋_GB2312" w:cs="仿宋_GB2312" w:eastAsia="仿宋_GB2312"/>
                      <w:sz w:val="24"/>
                    </w:rPr>
                    <w:t>前后通风。</w:t>
                  </w:r>
                </w:p>
                <w:p>
                  <w:pPr>
                    <w:pStyle w:val="null3"/>
                    <w:jc w:val="left"/>
                  </w:pPr>
                  <w:r>
                    <w:rPr>
                      <w:rFonts w:ascii="仿宋_GB2312" w:hAnsi="仿宋_GB2312" w:cs="仿宋_GB2312" w:eastAsia="仿宋_GB2312"/>
                      <w:sz w:val="24"/>
                    </w:rPr>
                    <w:t>9、本次配置：双主控，4电源，配置2块交换网板，防火墙板卡1张，万兆SFP+光口≥32个，千兆SFP光口≥78个，OC-3/STM-1 通道化POS光接口≥8个。配置万兆多模光模块8个，万兆单模光模块24个，千兆单模光模块56个，千兆多模光模块24个。</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10、具备IPv6能力，</w:t>
                  </w:r>
                  <w:r>
                    <w:rPr>
                      <w:rFonts w:ascii="仿宋_GB2312" w:hAnsi="仿宋_GB2312" w:cs="仿宋_GB2312" w:eastAsia="仿宋_GB2312"/>
                      <w:sz w:val="24"/>
                    </w:rPr>
                    <w:t>需</w:t>
                  </w:r>
                  <w:r>
                    <w:rPr>
                      <w:rFonts w:ascii="仿宋_GB2312" w:hAnsi="仿宋_GB2312" w:cs="仿宋_GB2312" w:eastAsia="仿宋_GB2312"/>
                      <w:sz w:val="24"/>
                    </w:rPr>
                    <w:t>提供</w:t>
                  </w:r>
                  <w:r>
                    <w:rPr>
                      <w:rFonts w:ascii="仿宋_GB2312" w:hAnsi="仿宋_GB2312" w:cs="仿宋_GB2312" w:eastAsia="仿宋_GB2312"/>
                      <w:sz w:val="24"/>
                    </w:rPr>
                    <w:t>IPv6 Ready II证书</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23"/>
                  <w:vMerge/>
                  <w:tcBorders>
                    <w:top w:val="none" w:color="000000" w:sz="4"/>
                    <w:left w:val="none" w:color="000000" w:sz="4"/>
                    <w:bottom w:val="single" w:color="000000" w:sz="4"/>
                    <w:right w:val="single" w:color="000000" w:sz="4"/>
                  </w:tcBorders>
                </w:tcP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总核心交换机</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▲1、交换容量≥1800Tbps，包转发率≥460000Mpps。</w:t>
                  </w:r>
                  <w:r>
                    <w:br/>
                  </w:r>
                  <w:r>
                    <w:rPr>
                      <w:rFonts w:ascii="仿宋_GB2312" w:hAnsi="仿宋_GB2312" w:cs="仿宋_GB2312" w:eastAsia="仿宋_GB2312"/>
                      <w:sz w:val="24"/>
                    </w:rPr>
                    <w:t>2、具有多级交换架构，能够配置独立的交换网板与独立的主控板，交换网板与主控板硬件槽位分离，独立交换网板槽位数≥6。</w:t>
                  </w:r>
                  <w:r>
                    <w:br/>
                  </w:r>
                  <w:r>
                    <w:rPr>
                      <w:rFonts w:ascii="仿宋_GB2312" w:hAnsi="仿宋_GB2312" w:cs="仿宋_GB2312" w:eastAsia="仿宋_GB2312"/>
                      <w:sz w:val="24"/>
                    </w:rPr>
                    <w:t>3、整机主控引擎插槽≥2个，业务插槽≥8个。</w:t>
                  </w:r>
                  <w:r>
                    <w:br/>
                  </w:r>
                  <w:r>
                    <w:rPr>
                      <w:rFonts w:ascii="仿宋_GB2312" w:hAnsi="仿宋_GB2312" w:cs="仿宋_GB2312" w:eastAsia="仿宋_GB2312"/>
                      <w:sz w:val="24"/>
                    </w:rPr>
                    <w:t>▲4、业务板卡与交换网板采用完全正交设计，跨线卡业务流量通过正交连接器直接上交换网板，需提供指明槽位物理位置（垂直）关系。</w:t>
                  </w:r>
                  <w:r>
                    <w:br/>
                  </w:r>
                  <w:r>
                    <w:rPr>
                      <w:rFonts w:ascii="仿宋_GB2312" w:hAnsi="仿宋_GB2312" w:cs="仿宋_GB2312" w:eastAsia="仿宋_GB2312"/>
                      <w:sz w:val="24"/>
                    </w:rPr>
                    <w:t>5、内置智能管理功能，具有通过图形化界面设备配置及命令一键下发和版本智能升级。</w:t>
                  </w:r>
                  <w:r>
                    <w:br/>
                  </w:r>
                  <w:r>
                    <w:rPr>
                      <w:rFonts w:ascii="仿宋_GB2312" w:hAnsi="仿宋_GB2312" w:cs="仿宋_GB2312" w:eastAsia="仿宋_GB2312"/>
                      <w:sz w:val="24"/>
                    </w:rPr>
                    <w:t>6、具有VxLAN 网关，具有基于IPv4/IPv6的VxLAN二三层互通；具有SDN功能的相关标准及协议。</w:t>
                  </w:r>
                  <w:r>
                    <w:br/>
                  </w:r>
                  <w:r>
                    <w:rPr>
                      <w:rFonts w:ascii="仿宋_GB2312" w:hAnsi="仿宋_GB2312" w:cs="仿宋_GB2312" w:eastAsia="仿宋_GB2312"/>
                      <w:sz w:val="24"/>
                    </w:rPr>
                    <w:t>7、本次实配：双主控、电源模块≥4、配置独立交换网板≥4、万兆SFP+光口≥144个（包含万兆多模光模块≥120个，千兆单模光模块24个）、QSFP+光口≥36个（包含40G光模块4个）。</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23"/>
                  <w:vMerge/>
                  <w:tcBorders>
                    <w:top w:val="none" w:color="000000" w:sz="4"/>
                    <w:left w:val="none" w:color="000000" w:sz="4"/>
                    <w:bottom w:val="single" w:color="000000" w:sz="4"/>
                    <w:right w:val="single" w:color="000000" w:sz="4"/>
                  </w:tcBorders>
                </w:tcP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园区核心交换机</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▲1、交换容量≥2.56Tbps，包转发率≥ 1080Mpps。</w:t>
                  </w:r>
                </w:p>
                <w:p>
                  <w:pPr>
                    <w:pStyle w:val="null3"/>
                    <w:jc w:val="left"/>
                  </w:pPr>
                  <w:r>
                    <w:rPr>
                      <w:rFonts w:ascii="仿宋_GB2312" w:hAnsi="仿宋_GB2312" w:cs="仿宋_GB2312" w:eastAsia="仿宋_GB2312"/>
                      <w:sz w:val="24"/>
                    </w:rPr>
                    <w:t>2、≥48个万兆SFP+光接口，≥2个40G光口，万兆多模光模块40个，万兆单模光模块8个，40G堆叠线缆1根。</w:t>
                  </w:r>
                </w:p>
                <w:p>
                  <w:pPr>
                    <w:pStyle w:val="null3"/>
                    <w:jc w:val="left"/>
                  </w:pPr>
                  <w:r>
                    <w:rPr>
                      <w:rFonts w:ascii="仿宋_GB2312" w:hAnsi="仿宋_GB2312" w:cs="仿宋_GB2312" w:eastAsia="仿宋_GB2312"/>
                      <w:sz w:val="24"/>
                    </w:rPr>
                    <w:t>3、具有SDN功能的相关标准及协议。</w:t>
                  </w:r>
                </w:p>
                <w:p>
                  <w:pPr>
                    <w:pStyle w:val="null3"/>
                    <w:jc w:val="left"/>
                  </w:pPr>
                  <w:r>
                    <w:rPr>
                      <w:rFonts w:ascii="仿宋_GB2312" w:hAnsi="仿宋_GB2312" w:cs="仿宋_GB2312" w:eastAsia="仿宋_GB2312"/>
                      <w:sz w:val="24"/>
                    </w:rPr>
                    <w:t>4、具有≥2个接口扩展插槽。</w:t>
                  </w:r>
                </w:p>
                <w:p>
                  <w:pPr>
                    <w:pStyle w:val="null3"/>
                    <w:jc w:val="left"/>
                  </w:pPr>
                  <w:r>
                    <w:rPr>
                      <w:rFonts w:ascii="仿宋_GB2312" w:hAnsi="仿宋_GB2312" w:cs="仿宋_GB2312" w:eastAsia="仿宋_GB2312"/>
                      <w:sz w:val="24"/>
                    </w:rPr>
                    <w:t>5、配置模块化双电源，模块化双风扇。</w:t>
                  </w:r>
                </w:p>
                <w:p>
                  <w:pPr>
                    <w:pStyle w:val="null3"/>
                    <w:jc w:val="left"/>
                  </w:pPr>
                  <w:r>
                    <w:rPr>
                      <w:rFonts w:ascii="仿宋_GB2312" w:hAnsi="仿宋_GB2312" w:cs="仿宋_GB2312" w:eastAsia="仿宋_GB2312"/>
                      <w:sz w:val="24"/>
                    </w:rPr>
                    <w:t>6、设备具有防火墙插卡，保障网络信息安全。</w:t>
                  </w:r>
                </w:p>
                <w:p>
                  <w:pPr>
                    <w:pStyle w:val="null3"/>
                    <w:jc w:val="left"/>
                  </w:pPr>
                  <w:r>
                    <w:rPr>
                      <w:rFonts w:ascii="仿宋_GB2312" w:hAnsi="仿宋_GB2312" w:cs="仿宋_GB2312" w:eastAsia="仿宋_GB2312"/>
                      <w:sz w:val="24"/>
                    </w:rPr>
                    <w:t>7、具有跨设备链路聚合技术DRNI/M-LAG。</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23"/>
                  <w:vMerge/>
                  <w:tcBorders>
                    <w:top w:val="none" w:color="000000" w:sz="4"/>
                    <w:left w:val="none" w:color="000000" w:sz="4"/>
                    <w:bottom w:val="single" w:color="000000" w:sz="4"/>
                    <w:right w:val="single" w:color="000000" w:sz="4"/>
                  </w:tcBorders>
                </w:tcPr>
                <w:p/>
              </w:tc>
              <w:tc>
                <w:tcPr>
                  <w:tcW w:type="dxa" w:w="30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园区汇聚交换机</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1、交换容量 ≥2.5Tbps，转发性能 ≥700Mpps。</w:t>
                  </w:r>
                </w:p>
                <w:p>
                  <w:pPr>
                    <w:pStyle w:val="null3"/>
                    <w:jc w:val="left"/>
                  </w:pPr>
                  <w:r>
                    <w:rPr>
                      <w:rFonts w:ascii="仿宋_GB2312" w:hAnsi="仿宋_GB2312" w:cs="仿宋_GB2312" w:eastAsia="仿宋_GB2312"/>
                      <w:sz w:val="24"/>
                    </w:rPr>
                    <w:t>2、≥24个万兆SFP+光接口，≥2个40G光口，万兆多模光模块20个，万兆单模光模块4个，40G堆叠线缆1根。</w:t>
                  </w:r>
                </w:p>
                <w:p>
                  <w:pPr>
                    <w:pStyle w:val="null3"/>
                    <w:jc w:val="left"/>
                  </w:pPr>
                  <w:r>
                    <w:rPr>
                      <w:rFonts w:ascii="仿宋_GB2312" w:hAnsi="仿宋_GB2312" w:cs="仿宋_GB2312" w:eastAsia="仿宋_GB2312"/>
                      <w:sz w:val="24"/>
                    </w:rPr>
                    <w:t>3、具有SDN功能的相关标准及协议。</w:t>
                  </w:r>
                </w:p>
                <w:p>
                  <w:pPr>
                    <w:pStyle w:val="null3"/>
                    <w:jc w:val="left"/>
                  </w:pPr>
                  <w:r>
                    <w:rPr>
                      <w:rFonts w:ascii="仿宋_GB2312" w:hAnsi="仿宋_GB2312" w:cs="仿宋_GB2312" w:eastAsia="仿宋_GB2312"/>
                      <w:sz w:val="24"/>
                    </w:rPr>
                    <w:t>4、具有≥2个接口扩展插槽。</w:t>
                  </w:r>
                </w:p>
                <w:p>
                  <w:pPr>
                    <w:pStyle w:val="null3"/>
                    <w:jc w:val="left"/>
                  </w:pPr>
                  <w:r>
                    <w:rPr>
                      <w:rFonts w:ascii="仿宋_GB2312" w:hAnsi="仿宋_GB2312" w:cs="仿宋_GB2312" w:eastAsia="仿宋_GB2312"/>
                      <w:sz w:val="24"/>
                    </w:rPr>
                    <w:t>5、配置模块化双电源，模块化双风扇。</w:t>
                  </w:r>
                </w:p>
                <w:p>
                  <w:pPr>
                    <w:pStyle w:val="null3"/>
                    <w:jc w:val="left"/>
                  </w:pPr>
                  <w:r>
                    <w:rPr>
                      <w:rFonts w:ascii="仿宋_GB2312" w:hAnsi="仿宋_GB2312" w:cs="仿宋_GB2312" w:eastAsia="仿宋_GB2312"/>
                      <w:sz w:val="24"/>
                    </w:rPr>
                    <w:t>6、设备具有防火墙插卡，保障网络信息安全。</w:t>
                  </w:r>
                </w:p>
                <w:p>
                  <w:pPr>
                    <w:pStyle w:val="null3"/>
                    <w:jc w:val="left"/>
                  </w:pPr>
                  <w:r>
                    <w:rPr>
                      <w:rFonts w:ascii="仿宋_GB2312" w:hAnsi="仿宋_GB2312" w:cs="仿宋_GB2312" w:eastAsia="仿宋_GB2312"/>
                      <w:sz w:val="24"/>
                    </w:rPr>
                    <w:t>7、设备具有CPU保护功能。</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23"/>
                  <w:vMerge/>
                  <w:tcBorders>
                    <w:top w:val="none" w:color="000000" w:sz="4"/>
                    <w:left w:val="none" w:color="000000" w:sz="4"/>
                    <w:bottom w:val="single" w:color="000000" w:sz="4"/>
                    <w:right w:val="single" w:color="000000" w:sz="4"/>
                  </w:tcBorders>
                </w:tcPr>
                <w:p/>
              </w:tc>
              <w:tc>
                <w:tcPr>
                  <w:tcW w:type="dxa" w:w="3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园区接入交换机</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191</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1、交换容量≥2.4Tbps；转发性能≥500Mpps</w:t>
                  </w:r>
                </w:p>
                <w:p>
                  <w:pPr>
                    <w:pStyle w:val="null3"/>
                    <w:jc w:val="left"/>
                  </w:pPr>
                  <w:r>
                    <w:rPr>
                      <w:rFonts w:ascii="仿宋_GB2312" w:hAnsi="仿宋_GB2312" w:cs="仿宋_GB2312" w:eastAsia="仿宋_GB2312"/>
                      <w:sz w:val="24"/>
                    </w:rPr>
                    <w:t>2、千兆电口≥48个，万兆SFP+光口≥6个 。万兆多模光模块6个。</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具有</w:t>
                  </w:r>
                  <w:r>
                    <w:rPr>
                      <w:rFonts w:ascii="仿宋_GB2312" w:hAnsi="仿宋_GB2312" w:cs="仿宋_GB2312" w:eastAsia="仿宋_GB2312"/>
                      <w:sz w:val="24"/>
                    </w:rPr>
                    <w:t>用千兆接口做横向虚拟化</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具有</w:t>
                  </w:r>
                  <w:r>
                    <w:rPr>
                      <w:rFonts w:ascii="仿宋_GB2312" w:hAnsi="仿宋_GB2312" w:cs="仿宋_GB2312" w:eastAsia="仿宋_GB2312"/>
                      <w:sz w:val="24"/>
                    </w:rPr>
                    <w:t>4K个符合IEEE 802.1Q标准的VLAN;</w:t>
                  </w:r>
                  <w:r>
                    <w:rPr>
                      <w:rFonts w:ascii="仿宋_GB2312" w:hAnsi="仿宋_GB2312" w:cs="仿宋_GB2312" w:eastAsia="仿宋_GB2312"/>
                      <w:sz w:val="24"/>
                    </w:rPr>
                    <w:t>具有</w:t>
                  </w:r>
                  <w:r>
                    <w:rPr>
                      <w:rFonts w:ascii="仿宋_GB2312" w:hAnsi="仿宋_GB2312" w:cs="仿宋_GB2312" w:eastAsia="仿宋_GB2312"/>
                      <w:sz w:val="24"/>
                    </w:rPr>
                    <w:t>Protocol VLAN、Voice VLAN、VLAN VPN (QinQ)；</w:t>
                  </w:r>
                  <w:r>
                    <w:rPr>
                      <w:rFonts w:ascii="仿宋_GB2312" w:hAnsi="仿宋_GB2312" w:cs="仿宋_GB2312" w:eastAsia="仿宋_GB2312"/>
                      <w:sz w:val="24"/>
                    </w:rPr>
                    <w:t>具有</w:t>
                  </w:r>
                  <w:r>
                    <w:rPr>
                      <w:rFonts w:ascii="仿宋_GB2312" w:hAnsi="仿宋_GB2312" w:cs="仿宋_GB2312" w:eastAsia="仿宋_GB2312"/>
                      <w:sz w:val="24"/>
                    </w:rPr>
                    <w:t>SDN功能的相关标准及协议。</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具有</w:t>
                  </w:r>
                  <w:r>
                    <w:rPr>
                      <w:rFonts w:ascii="仿宋_GB2312" w:hAnsi="仿宋_GB2312" w:cs="仿宋_GB2312" w:eastAsia="仿宋_GB2312"/>
                      <w:sz w:val="24"/>
                    </w:rPr>
                    <w:t>三层静态路由、</w:t>
                  </w:r>
                  <w:r>
                    <w:rPr>
                      <w:rFonts w:ascii="仿宋_GB2312" w:hAnsi="仿宋_GB2312" w:cs="仿宋_GB2312" w:eastAsia="仿宋_GB2312"/>
                      <w:sz w:val="24"/>
                    </w:rPr>
                    <w:t>RIP，OSPF；</w:t>
                  </w:r>
                  <w:r>
                    <w:rPr>
                      <w:rFonts w:ascii="仿宋_GB2312" w:hAnsi="仿宋_GB2312" w:cs="仿宋_GB2312" w:eastAsia="仿宋_GB2312"/>
                      <w:sz w:val="24"/>
                    </w:rPr>
                    <w:t>具有</w:t>
                  </w:r>
                  <w:r>
                    <w:rPr>
                      <w:rFonts w:ascii="仿宋_GB2312" w:hAnsi="仿宋_GB2312" w:cs="仿宋_GB2312" w:eastAsia="仿宋_GB2312"/>
                      <w:sz w:val="24"/>
                    </w:rPr>
                    <w:t>基于源</w:t>
                  </w:r>
                  <w:r>
                    <w:rPr>
                      <w:rFonts w:ascii="仿宋_GB2312" w:hAnsi="仿宋_GB2312" w:cs="仿宋_GB2312" w:eastAsia="仿宋_GB2312"/>
                      <w:sz w:val="24"/>
                    </w:rPr>
                    <w:t>MAC地址、目的MAC地址、源IP地址、目的IP地址、TCP/UDP端口号、协议类型、VLAN等ACL；：</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具有</w:t>
                  </w:r>
                  <w:r>
                    <w:rPr>
                      <w:rFonts w:ascii="仿宋_GB2312" w:hAnsi="仿宋_GB2312" w:cs="仿宋_GB2312" w:eastAsia="仿宋_GB2312"/>
                      <w:sz w:val="24"/>
                    </w:rPr>
                    <w:t>SNMPv1/v2/v3，WEB网管。</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23"/>
                  <w:vMerge/>
                  <w:tcBorders>
                    <w:top w:val="none" w:color="000000" w:sz="4"/>
                    <w:left w:val="none" w:color="000000" w:sz="4"/>
                    <w:bottom w:val="single" w:color="000000" w:sz="4"/>
                    <w:right w:val="single" w:color="000000" w:sz="4"/>
                  </w:tcBorders>
                </w:tcP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数据中心核心交换机</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▲1、交换容量 ≥100Tbps，转发性能 ≥76000Mpps。</w:t>
                  </w:r>
                </w:p>
                <w:p>
                  <w:pPr>
                    <w:pStyle w:val="null3"/>
                    <w:jc w:val="left"/>
                  </w:pPr>
                  <w:r>
                    <w:rPr>
                      <w:rFonts w:ascii="仿宋_GB2312" w:hAnsi="仿宋_GB2312" w:cs="仿宋_GB2312" w:eastAsia="仿宋_GB2312"/>
                      <w:sz w:val="24"/>
                    </w:rPr>
                    <w:t>2、≥96个万兆SFP+光接口，万兆多模光模块80个，万兆单模光模块16个。</w:t>
                  </w:r>
                </w:p>
                <w:p>
                  <w:pPr>
                    <w:pStyle w:val="null3"/>
                    <w:jc w:val="left"/>
                  </w:pPr>
                  <w:r>
                    <w:rPr>
                      <w:rFonts w:ascii="仿宋_GB2312" w:hAnsi="仿宋_GB2312" w:cs="仿宋_GB2312" w:eastAsia="仿宋_GB2312"/>
                      <w:sz w:val="24"/>
                    </w:rPr>
                    <w:t>3、具有SDN功能的相关标准及协议。</w:t>
                  </w:r>
                </w:p>
                <w:p>
                  <w:pPr>
                    <w:pStyle w:val="null3"/>
                    <w:jc w:val="left"/>
                  </w:pPr>
                  <w:r>
                    <w:rPr>
                      <w:rFonts w:ascii="仿宋_GB2312" w:hAnsi="仿宋_GB2312" w:cs="仿宋_GB2312" w:eastAsia="仿宋_GB2312"/>
                      <w:sz w:val="24"/>
                    </w:rPr>
                    <w:t>4、具有≥2个主控，业务槽位≥6个。</w:t>
                  </w:r>
                </w:p>
                <w:p>
                  <w:pPr>
                    <w:pStyle w:val="null3"/>
                    <w:jc w:val="left"/>
                  </w:pPr>
                  <w:r>
                    <w:rPr>
                      <w:rFonts w:ascii="仿宋_GB2312" w:hAnsi="仿宋_GB2312" w:cs="仿宋_GB2312" w:eastAsia="仿宋_GB2312"/>
                      <w:sz w:val="24"/>
                    </w:rPr>
                    <w:t>5、配置模块化双电源，模块化双风扇。</w:t>
                  </w:r>
                </w:p>
                <w:p>
                  <w:pPr>
                    <w:pStyle w:val="null3"/>
                    <w:jc w:val="left"/>
                  </w:pPr>
                  <w:r>
                    <w:rPr>
                      <w:rFonts w:ascii="仿宋_GB2312" w:hAnsi="仿宋_GB2312" w:cs="仿宋_GB2312" w:eastAsia="仿宋_GB2312"/>
                      <w:sz w:val="24"/>
                    </w:rPr>
                    <w:t>6、内置智能管理功能，通过图形化界面设备配置及命令一键下发和版本智能升级。</w:t>
                  </w:r>
                </w:p>
                <w:p>
                  <w:pPr>
                    <w:pStyle w:val="null3"/>
                    <w:jc w:val="left"/>
                  </w:pPr>
                  <w:r>
                    <w:rPr>
                      <w:rFonts w:ascii="仿宋_GB2312" w:hAnsi="仿宋_GB2312" w:cs="仿宋_GB2312" w:eastAsia="仿宋_GB2312"/>
                      <w:sz w:val="24"/>
                    </w:rPr>
                    <w:t>7、具有IPv6手动隧道、6to4隧道和ISATAP隧道。</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23"/>
                  <w:vMerge/>
                  <w:tcBorders>
                    <w:top w:val="none" w:color="000000" w:sz="4"/>
                    <w:left w:val="none" w:color="000000" w:sz="4"/>
                    <w:bottom w:val="single" w:color="000000" w:sz="4"/>
                    <w:right w:val="single" w:color="000000" w:sz="4"/>
                  </w:tcBorders>
                </w:tcP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数据中心汇聚交换机</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1.交换容量≥2.56Tbps，包转发率≥ 720Mpps，如官网有双重指标，以最小值为准;</w:t>
                  </w:r>
                  <w:r>
                    <w:br/>
                  </w:r>
                  <w:r>
                    <w:rPr>
                      <w:rFonts w:ascii="仿宋_GB2312" w:hAnsi="仿宋_GB2312" w:cs="仿宋_GB2312" w:eastAsia="仿宋_GB2312"/>
                      <w:sz w:val="24"/>
                    </w:rPr>
                    <w:t>2、≥24个万兆SFP+光接口，≥2个40G光口，万兆多模光模块20个，万兆单模光模块4个，40G堆叠线缆1根。</w:t>
                  </w:r>
                </w:p>
                <w:p>
                  <w:pPr>
                    <w:pStyle w:val="null3"/>
                    <w:jc w:val="left"/>
                  </w:pPr>
                  <w:r>
                    <w:rPr>
                      <w:rFonts w:ascii="仿宋_GB2312" w:hAnsi="仿宋_GB2312" w:cs="仿宋_GB2312" w:eastAsia="仿宋_GB2312"/>
                      <w:sz w:val="24"/>
                    </w:rPr>
                    <w:t>3、具有SDN功能的相关标准及协议。</w:t>
                  </w:r>
                </w:p>
                <w:p>
                  <w:pPr>
                    <w:pStyle w:val="null3"/>
                    <w:jc w:val="left"/>
                  </w:pPr>
                  <w:r>
                    <w:rPr>
                      <w:rFonts w:ascii="仿宋_GB2312" w:hAnsi="仿宋_GB2312" w:cs="仿宋_GB2312" w:eastAsia="仿宋_GB2312"/>
                      <w:sz w:val="24"/>
                    </w:rPr>
                    <w:t>4、具有≥2个接口扩展插槽。</w:t>
                  </w:r>
                </w:p>
                <w:p>
                  <w:pPr>
                    <w:pStyle w:val="null3"/>
                    <w:jc w:val="left"/>
                  </w:pPr>
                  <w:r>
                    <w:rPr>
                      <w:rFonts w:ascii="仿宋_GB2312" w:hAnsi="仿宋_GB2312" w:cs="仿宋_GB2312" w:eastAsia="仿宋_GB2312"/>
                      <w:sz w:val="24"/>
                    </w:rPr>
                    <w:t>5、配置模块化双电源，模块化双风扇。</w:t>
                  </w:r>
                </w:p>
                <w:p>
                  <w:pPr>
                    <w:pStyle w:val="null3"/>
                    <w:jc w:val="left"/>
                  </w:pPr>
                  <w:r>
                    <w:rPr>
                      <w:rFonts w:ascii="仿宋_GB2312" w:hAnsi="仿宋_GB2312" w:cs="仿宋_GB2312" w:eastAsia="仿宋_GB2312"/>
                      <w:sz w:val="24"/>
                    </w:rPr>
                    <w:t>6、设备具有防火墙插卡，保障网络信息安全。</w:t>
                  </w:r>
                </w:p>
                <w:p>
                  <w:pPr>
                    <w:pStyle w:val="null3"/>
                    <w:jc w:val="left"/>
                  </w:pPr>
                  <w:r>
                    <w:rPr>
                      <w:rFonts w:ascii="仿宋_GB2312" w:hAnsi="仿宋_GB2312" w:cs="仿宋_GB2312" w:eastAsia="仿宋_GB2312"/>
                      <w:sz w:val="24"/>
                    </w:rPr>
                    <w:t>7、设备具有CPU保护功能。</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23"/>
                  <w:vMerge/>
                  <w:tcBorders>
                    <w:top w:val="none" w:color="000000" w:sz="4"/>
                    <w:left w:val="none" w:color="000000" w:sz="4"/>
                    <w:bottom w:val="single" w:color="000000" w:sz="4"/>
                    <w:right w:val="single" w:color="000000" w:sz="4"/>
                  </w:tcBorders>
                </w:tcP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数据中心接入交换机</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1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1、交换容量≥670Gbps；转发性能≥200Mpps</w:t>
                  </w:r>
                </w:p>
                <w:p>
                  <w:pPr>
                    <w:pStyle w:val="null3"/>
                    <w:jc w:val="left"/>
                  </w:pPr>
                  <w:r>
                    <w:rPr>
                      <w:rFonts w:ascii="仿宋_GB2312" w:hAnsi="仿宋_GB2312" w:cs="仿宋_GB2312" w:eastAsia="仿宋_GB2312"/>
                      <w:sz w:val="24"/>
                    </w:rPr>
                    <w:t>2、千兆电口≥48个，万兆SFP+光口≥4个 。万兆多模光模块4个。</w:t>
                  </w:r>
                </w:p>
                <w:p>
                  <w:pPr>
                    <w:pStyle w:val="null3"/>
                    <w:jc w:val="left"/>
                  </w:pPr>
                  <w:r>
                    <w:rPr>
                      <w:rFonts w:ascii="仿宋_GB2312" w:hAnsi="仿宋_GB2312" w:cs="仿宋_GB2312" w:eastAsia="仿宋_GB2312"/>
                      <w:sz w:val="24"/>
                    </w:rPr>
                    <w:t>3、具有用千兆接口做横向虚拟化</w:t>
                  </w:r>
                </w:p>
                <w:p>
                  <w:pPr>
                    <w:pStyle w:val="null3"/>
                    <w:jc w:val="left"/>
                  </w:pPr>
                  <w:r>
                    <w:rPr>
                      <w:rFonts w:ascii="仿宋_GB2312" w:hAnsi="仿宋_GB2312" w:cs="仿宋_GB2312" w:eastAsia="仿宋_GB2312"/>
                      <w:sz w:val="24"/>
                    </w:rPr>
                    <w:t>4、具有4K个符合IEEE 802.1Q标准的VLAN;具有Protocol VLAN、Voice VLAN、VLAN VPN (QinQ)；具有SDN功能的相关标准及协议。</w:t>
                  </w:r>
                </w:p>
                <w:p>
                  <w:pPr>
                    <w:pStyle w:val="null3"/>
                    <w:jc w:val="left"/>
                  </w:pPr>
                  <w:r>
                    <w:rPr>
                      <w:rFonts w:ascii="仿宋_GB2312" w:hAnsi="仿宋_GB2312" w:cs="仿宋_GB2312" w:eastAsia="仿宋_GB2312"/>
                      <w:sz w:val="24"/>
                    </w:rPr>
                    <w:t>5、具有三层静态路由、RIP，OSPF；具有基于源MAC地址、目的MAC地址、源IP地址、目的IP地址、TCP/UDP端口号、协议类型、VLAN等ACL；：</w:t>
                  </w:r>
                </w:p>
                <w:p>
                  <w:pPr>
                    <w:pStyle w:val="null3"/>
                    <w:jc w:val="left"/>
                  </w:pPr>
                  <w:r>
                    <w:rPr>
                      <w:rFonts w:ascii="仿宋_GB2312" w:hAnsi="仿宋_GB2312" w:cs="仿宋_GB2312" w:eastAsia="仿宋_GB2312"/>
                      <w:sz w:val="24"/>
                    </w:rPr>
                    <w:t>6、具有SNMPv1/v2/v3，WEB网管。</w:t>
                  </w:r>
                </w:p>
              </w:tc>
            </w:tr>
          </w:tbl>
          <w:p>
            <w:pPr>
              <w:pStyle w:val="null3"/>
              <w:numPr>
                <w:ilvl w:val="2"/>
                <w:numId w:val="2"/>
              </w:numPr>
            </w:pPr>
            <w:r>
              <w:rPr>
                <w:rFonts w:ascii="仿宋_GB2312" w:hAnsi="仿宋_GB2312" w:cs="仿宋_GB2312" w:eastAsia="仿宋_GB2312"/>
                <w:sz w:val="24"/>
              </w:rPr>
              <w:t>一体化运维管理软件服务</w:t>
            </w:r>
          </w:p>
          <w:p>
            <w:pPr>
              <w:pStyle w:val="null3"/>
              <w:spacing w:after="120"/>
              <w:ind w:firstLine="480"/>
              <w:jc w:val="both"/>
            </w:pPr>
            <w:r>
              <w:rPr>
                <w:rFonts w:ascii="仿宋_GB2312" w:hAnsi="仿宋_GB2312" w:cs="仿宋_GB2312" w:eastAsia="仿宋_GB2312"/>
                <w:sz w:val="24"/>
              </w:rPr>
              <w:t>▲服务商需提供</w:t>
            </w:r>
            <w:r>
              <w:rPr>
                <w:rFonts w:ascii="仿宋_GB2312" w:hAnsi="仿宋_GB2312" w:cs="仿宋_GB2312" w:eastAsia="仿宋_GB2312"/>
                <w:sz w:val="24"/>
              </w:rPr>
              <w:t>一体化运维管理软件服务，覆盖市级政务数据中心（凤八节点）内机房核心资产，包括机房区域布局、消防、</w:t>
            </w:r>
            <w:r>
              <w:rPr>
                <w:rFonts w:ascii="仿宋_GB2312" w:hAnsi="仿宋_GB2312" w:cs="仿宋_GB2312" w:eastAsia="仿宋_GB2312"/>
                <w:sz w:val="24"/>
              </w:rPr>
              <w:t>UPS、服务器、交换机、网络设备等，提供机房建模、统一资产管理和统一告警管理。</w:t>
            </w:r>
          </w:p>
          <w:p>
            <w:pPr>
              <w:pStyle w:val="null3"/>
              <w:numPr>
                <w:ilvl w:val="3"/>
                <w:numId w:val="3"/>
              </w:numPr>
            </w:pPr>
            <w:r>
              <w:rPr>
                <w:rFonts w:ascii="仿宋_GB2312" w:hAnsi="仿宋_GB2312" w:cs="仿宋_GB2312" w:eastAsia="仿宋_GB2312"/>
                <w:sz w:val="24"/>
                <w:b/>
              </w:rPr>
              <w:t>服务</w:t>
            </w:r>
            <w:r>
              <w:rPr>
                <w:rFonts w:ascii="仿宋_GB2312" w:hAnsi="仿宋_GB2312" w:cs="仿宋_GB2312" w:eastAsia="仿宋_GB2312"/>
                <w:sz w:val="24"/>
                <w:b/>
              </w:rPr>
              <w:t>内容</w:t>
            </w:r>
          </w:p>
          <w:p>
            <w:pPr>
              <w:pStyle w:val="null3"/>
              <w:numPr>
                <w:ilvl w:val="4"/>
                <w:numId w:val="3"/>
              </w:numPr>
              <w:spacing w:before="120" w:after="120"/>
              <w:jc w:val="both"/>
            </w:pPr>
            <w:r>
              <w:rPr>
                <w:rFonts w:ascii="仿宋_GB2312" w:hAnsi="仿宋_GB2312" w:cs="仿宋_GB2312" w:eastAsia="仿宋_GB2312"/>
                <w:sz w:val="24"/>
                <w:b/>
              </w:rPr>
              <w:t>统一资产管理服务</w:t>
            </w:r>
          </w:p>
          <w:p>
            <w:pPr>
              <w:pStyle w:val="null3"/>
              <w:ind w:firstLine="480"/>
              <w:jc w:val="both"/>
            </w:pPr>
            <w:r>
              <w:rPr>
                <w:rFonts w:ascii="仿宋_GB2312" w:hAnsi="仿宋_GB2312" w:cs="仿宋_GB2312" w:eastAsia="仿宋_GB2312"/>
                <w:sz w:val="24"/>
              </w:rPr>
              <w:t>通过提供统一资产管理服务，建立全面准确的资产数据支撑和资产全生命周期管理。资产管理平台可以将所有</w:t>
            </w:r>
            <w:r>
              <w:rPr>
                <w:rFonts w:ascii="仿宋_GB2312" w:hAnsi="仿宋_GB2312" w:cs="仿宋_GB2312" w:eastAsia="仿宋_GB2312"/>
                <w:sz w:val="24"/>
              </w:rPr>
              <w:t>IT 资产集中到一个平台上进行管理，实现资产信息的统一存储和查询，降低资产管理成本，确保资产数据的标准统一。</w:t>
            </w:r>
          </w:p>
          <w:p>
            <w:pPr>
              <w:pStyle w:val="null3"/>
              <w:ind w:firstLine="480"/>
              <w:jc w:val="both"/>
            </w:pPr>
            <w:r>
              <w:rPr>
                <w:rFonts w:ascii="仿宋_GB2312" w:hAnsi="仿宋_GB2312" w:cs="仿宋_GB2312" w:eastAsia="仿宋_GB2312"/>
                <w:sz w:val="24"/>
              </w:rPr>
              <w:t>1.资源数据管理服务</w:t>
            </w:r>
            <w:r>
              <w:rPr>
                <w:rFonts w:ascii="仿宋_GB2312" w:hAnsi="仿宋_GB2312" w:cs="仿宋_GB2312" w:eastAsia="仿宋_GB2312"/>
                <w:sz w:val="24"/>
              </w:rPr>
              <w:t>能力</w:t>
            </w:r>
          </w:p>
          <w:p>
            <w:pPr>
              <w:pStyle w:val="null3"/>
              <w:ind w:firstLine="480"/>
              <w:jc w:val="both"/>
            </w:pPr>
            <w:r>
              <w:rPr>
                <w:rFonts w:ascii="仿宋_GB2312" w:hAnsi="仿宋_GB2312" w:cs="仿宋_GB2312" w:eastAsia="仿宋_GB2312"/>
                <w:sz w:val="24"/>
              </w:rPr>
              <w:t>资源数据管理服务提供按照数据中心架构对各类</w:t>
            </w:r>
            <w:r>
              <w:rPr>
                <w:rFonts w:ascii="仿宋_GB2312" w:hAnsi="仿宋_GB2312" w:cs="仿宋_GB2312" w:eastAsia="仿宋_GB2312"/>
                <w:sz w:val="24"/>
              </w:rPr>
              <w:t>IT资源进行管理，</w:t>
            </w:r>
            <w:r>
              <w:rPr>
                <w:rFonts w:ascii="仿宋_GB2312" w:hAnsi="仿宋_GB2312" w:cs="仿宋_GB2312" w:eastAsia="仿宋_GB2312"/>
                <w:sz w:val="24"/>
              </w:rPr>
              <w:t>具有</w:t>
            </w:r>
            <w:r>
              <w:rPr>
                <w:rFonts w:ascii="仿宋_GB2312" w:hAnsi="仿宋_GB2312" w:cs="仿宋_GB2312" w:eastAsia="仿宋_GB2312"/>
                <w:sz w:val="24"/>
              </w:rPr>
              <w:t>数据中心</w:t>
            </w:r>
            <w:r>
              <w:rPr>
                <w:rFonts w:ascii="仿宋_GB2312" w:hAnsi="仿宋_GB2312" w:cs="仿宋_GB2312" w:eastAsia="仿宋_GB2312"/>
                <w:sz w:val="24"/>
              </w:rPr>
              <w:t>-园区-机房-机柜-设备的下钻逻辑，逐级展示资源信息。系统</w:t>
            </w:r>
            <w:r>
              <w:rPr>
                <w:rFonts w:ascii="仿宋_GB2312" w:hAnsi="仿宋_GB2312" w:cs="仿宋_GB2312" w:eastAsia="仿宋_GB2312"/>
                <w:sz w:val="24"/>
              </w:rPr>
              <w:t>具有</w:t>
            </w:r>
            <w:r>
              <w:rPr>
                <w:rFonts w:ascii="仿宋_GB2312" w:hAnsi="仿宋_GB2312" w:cs="仿宋_GB2312" w:eastAsia="仿宋_GB2312"/>
                <w:sz w:val="24"/>
              </w:rPr>
              <w:t>纳管资源类型包括服务器、网络设备、存储设备、数据库、中间件、操作系统，可展示各类资源具体信息，例如资源名称、厂商、型号、状态、标签信息、所属区域、所属系统等。通过大量可配置、可维护的数据信息，</w:t>
            </w:r>
            <w:r>
              <w:rPr>
                <w:rFonts w:ascii="仿宋_GB2312" w:hAnsi="仿宋_GB2312" w:cs="仿宋_GB2312" w:eastAsia="仿宋_GB2312"/>
                <w:sz w:val="24"/>
              </w:rPr>
              <w:t>具有</w:t>
            </w:r>
            <w:r>
              <w:rPr>
                <w:rFonts w:ascii="仿宋_GB2312" w:hAnsi="仿宋_GB2312" w:cs="仿宋_GB2312" w:eastAsia="仿宋_GB2312"/>
                <w:sz w:val="24"/>
              </w:rPr>
              <w:t>其它平台（监控、运维服务管理等）以及运营分析相关的数据消费场景。</w:t>
            </w:r>
          </w:p>
          <w:p>
            <w:pPr>
              <w:pStyle w:val="null3"/>
              <w:ind w:firstLine="480"/>
              <w:jc w:val="both"/>
            </w:pPr>
            <w:r>
              <w:rPr>
                <w:rFonts w:ascii="仿宋_GB2312" w:hAnsi="仿宋_GB2312" w:cs="仿宋_GB2312" w:eastAsia="仿宋_GB2312"/>
                <w:sz w:val="24"/>
              </w:rPr>
              <w:t>2．资源检索服务</w:t>
            </w:r>
            <w:r>
              <w:rPr>
                <w:rFonts w:ascii="仿宋_GB2312" w:hAnsi="仿宋_GB2312" w:cs="仿宋_GB2312" w:eastAsia="仿宋_GB2312"/>
                <w:sz w:val="24"/>
              </w:rPr>
              <w:t>能力</w:t>
            </w:r>
          </w:p>
          <w:p>
            <w:pPr>
              <w:pStyle w:val="null3"/>
              <w:ind w:firstLine="480"/>
              <w:jc w:val="both"/>
            </w:pPr>
            <w:r>
              <w:rPr>
                <w:rFonts w:ascii="仿宋_GB2312" w:hAnsi="仿宋_GB2312" w:cs="仿宋_GB2312" w:eastAsia="仿宋_GB2312"/>
                <w:sz w:val="24"/>
              </w:rPr>
              <w:t>资源检索服务提供用户对各类</w:t>
            </w:r>
            <w:r>
              <w:rPr>
                <w:rFonts w:ascii="仿宋_GB2312" w:hAnsi="仿宋_GB2312" w:cs="仿宋_GB2312" w:eastAsia="仿宋_GB2312"/>
                <w:sz w:val="24"/>
              </w:rPr>
              <w:t>IT资源的检索，用户可对系统纳管的各类资源进行精确查询，系统将显示资源的具体信息。系统</w:t>
            </w:r>
            <w:r>
              <w:rPr>
                <w:rFonts w:ascii="仿宋_GB2312" w:hAnsi="仿宋_GB2312" w:cs="仿宋_GB2312" w:eastAsia="仿宋_GB2312"/>
                <w:sz w:val="24"/>
              </w:rPr>
              <w:t>具有</w:t>
            </w:r>
            <w:r>
              <w:rPr>
                <w:rFonts w:ascii="仿宋_GB2312" w:hAnsi="仿宋_GB2312" w:cs="仿宋_GB2312" w:eastAsia="仿宋_GB2312"/>
                <w:sz w:val="24"/>
              </w:rPr>
              <w:t>精细颗粒度的查询筛选条件，例如资源类型、资源某关键字段检索、查询条件过滤等，同时在搜索页面可展示搜索历史信息，方便用户进行快速查询。</w:t>
            </w:r>
          </w:p>
          <w:p>
            <w:pPr>
              <w:pStyle w:val="null3"/>
              <w:ind w:firstLine="480"/>
              <w:jc w:val="both"/>
            </w:pPr>
            <w:r>
              <w:rPr>
                <w:rFonts w:ascii="仿宋_GB2312" w:hAnsi="仿宋_GB2312" w:cs="仿宋_GB2312" w:eastAsia="仿宋_GB2312"/>
                <w:sz w:val="24"/>
              </w:rPr>
              <w:t>3.业务关系配置</w:t>
            </w:r>
            <w:r>
              <w:rPr>
                <w:rFonts w:ascii="仿宋_GB2312" w:hAnsi="仿宋_GB2312" w:cs="仿宋_GB2312" w:eastAsia="仿宋_GB2312"/>
                <w:sz w:val="24"/>
              </w:rPr>
              <w:t>服务能力</w:t>
            </w:r>
          </w:p>
          <w:p>
            <w:pPr>
              <w:pStyle w:val="null3"/>
              <w:ind w:firstLine="480"/>
              <w:jc w:val="both"/>
            </w:pPr>
            <w:r>
              <w:rPr>
                <w:rFonts w:ascii="仿宋_GB2312" w:hAnsi="仿宋_GB2312" w:cs="仿宋_GB2312" w:eastAsia="仿宋_GB2312"/>
                <w:sz w:val="24"/>
              </w:rPr>
              <w:t>业务关系配置服务</w:t>
            </w:r>
            <w:r>
              <w:rPr>
                <w:rFonts w:ascii="仿宋_GB2312" w:hAnsi="仿宋_GB2312" w:cs="仿宋_GB2312" w:eastAsia="仿宋_GB2312"/>
                <w:sz w:val="24"/>
              </w:rPr>
              <w:t>能力</w:t>
            </w:r>
            <w:r>
              <w:rPr>
                <w:rFonts w:ascii="仿宋_GB2312" w:hAnsi="仿宋_GB2312" w:cs="仿宋_GB2312" w:eastAsia="仿宋_GB2312"/>
                <w:sz w:val="24"/>
              </w:rPr>
              <w:t>能够对</w:t>
            </w:r>
            <w:r>
              <w:rPr>
                <w:rFonts w:ascii="仿宋_GB2312" w:hAnsi="仿宋_GB2312" w:cs="仿宋_GB2312" w:eastAsia="仿宋_GB2312"/>
                <w:sz w:val="24"/>
              </w:rPr>
              <w:t>IT资产和业务系统之间的关联关系进行自定义，以负载均衡、服务器、智能监测系统为例，系统可展示三者之间的业务关系，即负载均衡向智能监控服务器分配用户访问请求，服务器处理请求支撑监测系统。同时系统</w:t>
            </w:r>
            <w:r>
              <w:rPr>
                <w:rFonts w:ascii="仿宋_GB2312" w:hAnsi="仿宋_GB2312" w:cs="仿宋_GB2312" w:eastAsia="仿宋_GB2312"/>
                <w:sz w:val="24"/>
              </w:rPr>
              <w:t>具有</w:t>
            </w:r>
            <w:r>
              <w:rPr>
                <w:rFonts w:ascii="仿宋_GB2312" w:hAnsi="仿宋_GB2312" w:cs="仿宋_GB2312" w:eastAsia="仿宋_GB2312"/>
                <w:sz w:val="24"/>
              </w:rPr>
              <w:t>展示各业务项的具体信息，包括</w:t>
            </w:r>
            <w:r>
              <w:rPr>
                <w:rFonts w:ascii="仿宋_GB2312" w:hAnsi="仿宋_GB2312" w:cs="仿宋_GB2312" w:eastAsia="仿宋_GB2312"/>
                <w:sz w:val="24"/>
              </w:rPr>
              <w:t>IT资产和业务系统信息，帮助用户全面了解业务关系。</w:t>
            </w:r>
          </w:p>
          <w:p>
            <w:pPr>
              <w:pStyle w:val="null3"/>
              <w:ind w:firstLine="480"/>
              <w:jc w:val="both"/>
            </w:pPr>
            <w:r>
              <w:rPr>
                <w:rFonts w:ascii="仿宋_GB2312" w:hAnsi="仿宋_GB2312" w:cs="仿宋_GB2312" w:eastAsia="仿宋_GB2312"/>
                <w:sz w:val="24"/>
              </w:rPr>
              <w:t>4.资源实例配置服务</w:t>
            </w:r>
            <w:r>
              <w:rPr>
                <w:rFonts w:ascii="仿宋_GB2312" w:hAnsi="仿宋_GB2312" w:cs="仿宋_GB2312" w:eastAsia="仿宋_GB2312"/>
                <w:sz w:val="24"/>
              </w:rPr>
              <w:t>能力</w:t>
            </w:r>
          </w:p>
          <w:p>
            <w:pPr>
              <w:pStyle w:val="null3"/>
              <w:ind w:firstLine="480"/>
              <w:jc w:val="both"/>
            </w:pPr>
            <w:r>
              <w:rPr>
                <w:rFonts w:ascii="仿宋_GB2312" w:hAnsi="仿宋_GB2312" w:cs="仿宋_GB2312" w:eastAsia="仿宋_GB2312"/>
                <w:sz w:val="24"/>
              </w:rPr>
              <w:t>资源实例配置服务提供资源类型自定义新建、编辑、删除、新增子类等功能，用户可对各类</w:t>
            </w:r>
            <w:r>
              <w:rPr>
                <w:rFonts w:ascii="仿宋_GB2312" w:hAnsi="仿宋_GB2312" w:cs="仿宋_GB2312" w:eastAsia="仿宋_GB2312"/>
                <w:sz w:val="24"/>
              </w:rPr>
              <w:t>IT资源信息进行创建、导入、导出，帮助用户灵活配置资源信息。</w:t>
            </w:r>
          </w:p>
          <w:p>
            <w:pPr>
              <w:pStyle w:val="null3"/>
              <w:ind w:firstLine="480"/>
              <w:jc w:val="both"/>
            </w:pPr>
            <w:r>
              <w:rPr>
                <w:rFonts w:ascii="仿宋_GB2312" w:hAnsi="仿宋_GB2312" w:cs="仿宋_GB2312" w:eastAsia="仿宋_GB2312"/>
                <w:sz w:val="24"/>
              </w:rPr>
              <w:t>5.模型订阅服务</w:t>
            </w:r>
            <w:r>
              <w:rPr>
                <w:rFonts w:ascii="仿宋_GB2312" w:hAnsi="仿宋_GB2312" w:cs="仿宋_GB2312" w:eastAsia="仿宋_GB2312"/>
                <w:sz w:val="24"/>
              </w:rPr>
              <w:t>能力</w:t>
            </w:r>
          </w:p>
          <w:p>
            <w:pPr>
              <w:pStyle w:val="null3"/>
              <w:ind w:firstLine="480"/>
              <w:jc w:val="both"/>
            </w:pPr>
            <w:r>
              <w:rPr>
                <w:rFonts w:ascii="仿宋_GB2312" w:hAnsi="仿宋_GB2312" w:cs="仿宋_GB2312" w:eastAsia="仿宋_GB2312"/>
                <w:sz w:val="24"/>
              </w:rPr>
              <w:t>模型订阅服务帮助用户在模型订阅页面查看所有类型的模型，点击收藏订阅后，在资源实例页可只展示用户订阅的模型信息，方便用户关注自己想看到的信息，达到筛选展示的效果。</w:t>
            </w:r>
          </w:p>
          <w:p>
            <w:pPr>
              <w:pStyle w:val="null3"/>
              <w:ind w:firstLine="480"/>
              <w:jc w:val="both"/>
            </w:pPr>
            <w:r>
              <w:rPr>
                <w:rFonts w:ascii="仿宋_GB2312" w:hAnsi="仿宋_GB2312" w:cs="仿宋_GB2312" w:eastAsia="仿宋_GB2312"/>
                <w:sz w:val="24"/>
              </w:rPr>
              <w:t>6.模型配置服务</w:t>
            </w:r>
            <w:r>
              <w:rPr>
                <w:rFonts w:ascii="仿宋_GB2312" w:hAnsi="仿宋_GB2312" w:cs="仿宋_GB2312" w:eastAsia="仿宋_GB2312"/>
                <w:sz w:val="24"/>
              </w:rPr>
              <w:t>能力</w:t>
            </w:r>
          </w:p>
          <w:p>
            <w:pPr>
              <w:pStyle w:val="null3"/>
              <w:ind w:firstLine="480"/>
              <w:jc w:val="both"/>
            </w:pPr>
            <w:r>
              <w:rPr>
                <w:rFonts w:ascii="仿宋_GB2312" w:hAnsi="仿宋_GB2312" w:cs="仿宋_GB2312" w:eastAsia="仿宋_GB2312"/>
                <w:sz w:val="24"/>
              </w:rPr>
              <w:t>模型配置服务提供对各类</w:t>
            </w:r>
            <w:r>
              <w:rPr>
                <w:rFonts w:ascii="仿宋_GB2312" w:hAnsi="仿宋_GB2312" w:cs="仿宋_GB2312" w:eastAsia="仿宋_GB2312"/>
                <w:sz w:val="24"/>
              </w:rPr>
              <w:t>IT资源的分类配置，例如通过系统创建网络设备模型，用户可在网络设备下自定义各类资产信息。</w:t>
            </w:r>
          </w:p>
          <w:p>
            <w:pPr>
              <w:pStyle w:val="null3"/>
              <w:ind w:firstLine="480"/>
              <w:jc w:val="both"/>
            </w:pPr>
            <w:r>
              <w:rPr>
                <w:rFonts w:ascii="仿宋_GB2312" w:hAnsi="仿宋_GB2312" w:cs="仿宋_GB2312" w:eastAsia="仿宋_GB2312"/>
                <w:sz w:val="24"/>
              </w:rPr>
              <w:t>7.属性配置服务</w:t>
            </w:r>
            <w:r>
              <w:rPr>
                <w:rFonts w:ascii="仿宋_GB2312" w:hAnsi="仿宋_GB2312" w:cs="仿宋_GB2312" w:eastAsia="仿宋_GB2312"/>
                <w:sz w:val="24"/>
              </w:rPr>
              <w:t>能力</w:t>
            </w:r>
          </w:p>
          <w:p>
            <w:pPr>
              <w:pStyle w:val="null3"/>
              <w:ind w:firstLine="480"/>
              <w:jc w:val="both"/>
            </w:pPr>
            <w:r>
              <w:rPr>
                <w:rFonts w:ascii="仿宋_GB2312" w:hAnsi="仿宋_GB2312" w:cs="仿宋_GB2312" w:eastAsia="仿宋_GB2312"/>
                <w:sz w:val="24"/>
              </w:rPr>
              <w:t>属性配置服务提供以列表形式展示资产相关的各类基础属性信息，包括属性编码、属性名称（资源名称、设备厂商、设备型号、资源状态、资源标签等）、数据类型、属性创建时间、属性类型等信息，可对各类属性信息进行编辑。</w:t>
            </w:r>
          </w:p>
          <w:p>
            <w:pPr>
              <w:pStyle w:val="null3"/>
              <w:ind w:firstLine="480"/>
              <w:jc w:val="both"/>
            </w:pPr>
            <w:r>
              <w:rPr>
                <w:rFonts w:ascii="仿宋_GB2312" w:hAnsi="仿宋_GB2312" w:cs="仿宋_GB2312" w:eastAsia="仿宋_GB2312"/>
                <w:sz w:val="24"/>
              </w:rPr>
              <w:t>8.业务关系定义服务</w:t>
            </w:r>
            <w:r>
              <w:rPr>
                <w:rFonts w:ascii="仿宋_GB2312" w:hAnsi="仿宋_GB2312" w:cs="仿宋_GB2312" w:eastAsia="仿宋_GB2312"/>
                <w:sz w:val="24"/>
              </w:rPr>
              <w:t>能力</w:t>
            </w:r>
          </w:p>
          <w:p>
            <w:pPr>
              <w:pStyle w:val="null3"/>
              <w:ind w:firstLine="480"/>
              <w:jc w:val="both"/>
            </w:pPr>
            <w:r>
              <w:rPr>
                <w:rFonts w:ascii="仿宋_GB2312" w:hAnsi="仿宋_GB2312" w:cs="仿宋_GB2312" w:eastAsia="仿宋_GB2312"/>
                <w:sz w:val="24"/>
              </w:rPr>
              <w:t>业务关系定义服务提供帮助用户自定义关系类型和模型关系，从而实现业务关系的逻辑定义。用户可自定义关系类型名称，用户可对模型间的关联关系进行定义，在定义好业务关系后，可通过拓扑图的形式进行呈现。</w:t>
            </w:r>
          </w:p>
          <w:p>
            <w:pPr>
              <w:pStyle w:val="null3"/>
              <w:ind w:firstLine="480"/>
              <w:jc w:val="both"/>
            </w:pPr>
            <w:r>
              <w:rPr>
                <w:rFonts w:ascii="仿宋_GB2312" w:hAnsi="仿宋_GB2312" w:cs="仿宋_GB2312" w:eastAsia="仿宋_GB2312"/>
                <w:sz w:val="24"/>
              </w:rPr>
              <w:t>9.资源授权管理服务</w:t>
            </w:r>
            <w:r>
              <w:rPr>
                <w:rFonts w:ascii="仿宋_GB2312" w:hAnsi="仿宋_GB2312" w:cs="仿宋_GB2312" w:eastAsia="仿宋_GB2312"/>
                <w:sz w:val="24"/>
              </w:rPr>
              <w:t>能力</w:t>
            </w:r>
          </w:p>
          <w:p>
            <w:pPr>
              <w:pStyle w:val="null3"/>
              <w:ind w:firstLine="480"/>
              <w:jc w:val="both"/>
            </w:pPr>
            <w:r>
              <w:rPr>
                <w:rFonts w:ascii="仿宋_GB2312" w:hAnsi="仿宋_GB2312" w:cs="仿宋_GB2312" w:eastAsia="仿宋_GB2312"/>
                <w:sz w:val="24"/>
              </w:rPr>
              <w:t>资源授权管理服务提供通过权限管理的方式，对不同用户授权不同的资源操作权限。系统通过列表形式，展示各类资源信息，包括资源名称、创建人、创建时间等，同时可对不同角色赋予不同的资源操作权限，包括新建、编辑、删除、查看、配置等。</w:t>
            </w:r>
          </w:p>
          <w:p>
            <w:pPr>
              <w:pStyle w:val="null3"/>
              <w:ind w:firstLine="480"/>
              <w:jc w:val="both"/>
            </w:pPr>
            <w:r>
              <w:rPr>
                <w:rFonts w:ascii="仿宋_GB2312" w:hAnsi="仿宋_GB2312" w:cs="仿宋_GB2312" w:eastAsia="仿宋_GB2312"/>
                <w:sz w:val="24"/>
              </w:rPr>
              <w:t>10.操作审计服务</w:t>
            </w:r>
            <w:r>
              <w:rPr>
                <w:rFonts w:ascii="仿宋_GB2312" w:hAnsi="仿宋_GB2312" w:cs="仿宋_GB2312" w:eastAsia="仿宋_GB2312"/>
                <w:sz w:val="24"/>
              </w:rPr>
              <w:t>能力</w:t>
            </w:r>
          </w:p>
          <w:p>
            <w:pPr>
              <w:pStyle w:val="null3"/>
              <w:ind w:firstLine="480"/>
              <w:jc w:val="both"/>
            </w:pPr>
            <w:r>
              <w:rPr>
                <w:rFonts w:ascii="仿宋_GB2312" w:hAnsi="仿宋_GB2312" w:cs="仿宋_GB2312" w:eastAsia="仿宋_GB2312"/>
                <w:sz w:val="24"/>
              </w:rPr>
              <w:t>操作审计服务提供对用户的各类操作进行分类查看和管理，系统</w:t>
            </w:r>
            <w:r>
              <w:rPr>
                <w:rFonts w:ascii="仿宋_GB2312" w:hAnsi="仿宋_GB2312" w:cs="仿宋_GB2312" w:eastAsia="仿宋_GB2312"/>
                <w:sz w:val="24"/>
              </w:rPr>
              <w:t>具有</w:t>
            </w:r>
            <w:r>
              <w:rPr>
                <w:rFonts w:ascii="仿宋_GB2312" w:hAnsi="仿宋_GB2312" w:cs="仿宋_GB2312" w:eastAsia="仿宋_GB2312"/>
                <w:sz w:val="24"/>
              </w:rPr>
              <w:t>实例变更、关系变更和模型变更三种审计类型。实例变更可对某一实例的变更类型和变更描述进行展示，关系变更可对业务关系变更描述进行展示，模型变更可对某模型的属性变更、变更时间、变更类型等信息进行展示。通过操作审计，帮助用户快速掌握整个平台的操作记录，便于进行历史回溯。</w:t>
            </w:r>
          </w:p>
          <w:p>
            <w:pPr>
              <w:pStyle w:val="null3"/>
              <w:ind w:firstLine="480"/>
              <w:jc w:val="both"/>
            </w:pPr>
            <w:r>
              <w:rPr>
                <w:rFonts w:ascii="仿宋_GB2312" w:hAnsi="仿宋_GB2312" w:cs="仿宋_GB2312" w:eastAsia="仿宋_GB2312"/>
                <w:sz w:val="24"/>
              </w:rPr>
              <w:t>11.资源仪表盘服务</w:t>
            </w:r>
            <w:r>
              <w:rPr>
                <w:rFonts w:ascii="仿宋_GB2312" w:hAnsi="仿宋_GB2312" w:cs="仿宋_GB2312" w:eastAsia="仿宋_GB2312"/>
                <w:sz w:val="24"/>
              </w:rPr>
              <w:t>能力</w:t>
            </w:r>
          </w:p>
          <w:p>
            <w:pPr>
              <w:pStyle w:val="null3"/>
              <w:ind w:firstLine="480"/>
              <w:jc w:val="both"/>
            </w:pPr>
            <w:r>
              <w:rPr>
                <w:rFonts w:ascii="仿宋_GB2312" w:hAnsi="仿宋_GB2312" w:cs="仿宋_GB2312" w:eastAsia="仿宋_GB2312"/>
                <w:sz w:val="24"/>
              </w:rPr>
              <w:t>资源仪表盘服务可通过列表、图表的形式，对系统所纳管的各类</w:t>
            </w:r>
            <w:r>
              <w:rPr>
                <w:rFonts w:ascii="仿宋_GB2312" w:hAnsi="仿宋_GB2312" w:cs="仿宋_GB2312" w:eastAsia="仿宋_GB2312"/>
                <w:sz w:val="24"/>
              </w:rPr>
              <w:t>IT资源进行数量、所属厂商统计等信息展示，包括服务器、网络设备、数据库、中间件等，用户可自行选择展示方式和内容，图表类型可选择柱状图、折线图、饼图、表格等，标题颜色、字体颜色、背景颜色和图表大小可自定义。通过资源仪表盘服务，用户可快速掌握资源信息。</w:t>
            </w:r>
          </w:p>
          <w:p>
            <w:pPr>
              <w:pStyle w:val="null3"/>
              <w:ind w:firstLine="480"/>
              <w:jc w:val="both"/>
            </w:pPr>
            <w:r>
              <w:rPr>
                <w:rFonts w:ascii="仿宋_GB2312" w:hAnsi="仿宋_GB2312" w:cs="仿宋_GB2312" w:eastAsia="仿宋_GB2312"/>
                <w:sz w:val="24"/>
              </w:rPr>
              <w:t>12.可视化拓扑服务</w:t>
            </w:r>
            <w:r>
              <w:rPr>
                <w:rFonts w:ascii="仿宋_GB2312" w:hAnsi="仿宋_GB2312" w:cs="仿宋_GB2312" w:eastAsia="仿宋_GB2312"/>
                <w:sz w:val="24"/>
              </w:rPr>
              <w:t>能力</w:t>
            </w:r>
          </w:p>
          <w:p>
            <w:pPr>
              <w:pStyle w:val="null3"/>
              <w:ind w:firstLine="480"/>
              <w:jc w:val="both"/>
            </w:pPr>
            <w:r>
              <w:rPr>
                <w:rFonts w:ascii="仿宋_GB2312" w:hAnsi="仿宋_GB2312" w:cs="仿宋_GB2312" w:eastAsia="仿宋_GB2312"/>
                <w:sz w:val="24"/>
              </w:rPr>
              <w:t>可视化拓扑服务提供通过拓扑图的方式展示所有业务关系，对模型信息、关系类型进行展示，</w:t>
            </w:r>
            <w:r>
              <w:rPr>
                <w:rFonts w:ascii="仿宋_GB2312" w:hAnsi="仿宋_GB2312" w:cs="仿宋_GB2312" w:eastAsia="仿宋_GB2312"/>
                <w:sz w:val="24"/>
              </w:rPr>
              <w:t>具有</w:t>
            </w:r>
            <w:r>
              <w:rPr>
                <w:rFonts w:ascii="仿宋_GB2312" w:hAnsi="仿宋_GB2312" w:cs="仿宋_GB2312" w:eastAsia="仿宋_GB2312"/>
                <w:sz w:val="24"/>
              </w:rPr>
              <w:t>用户在拓扑图中选择模型，自定义业务关系，系统可对用户已定义的业务关系进行逐一展示。</w:t>
            </w:r>
          </w:p>
          <w:p>
            <w:pPr>
              <w:pStyle w:val="null3"/>
              <w:ind w:firstLine="480"/>
              <w:jc w:val="both"/>
            </w:pPr>
            <w:r>
              <w:rPr>
                <w:rFonts w:ascii="仿宋_GB2312" w:hAnsi="仿宋_GB2312" w:cs="仿宋_GB2312" w:eastAsia="仿宋_GB2312"/>
                <w:sz w:val="24"/>
              </w:rPr>
              <w:t>13</w:t>
            </w:r>
            <w:r>
              <w:rPr>
                <w:rFonts w:ascii="仿宋_GB2312" w:hAnsi="仿宋_GB2312" w:cs="仿宋_GB2312" w:eastAsia="仿宋_GB2312"/>
                <w:sz w:val="24"/>
              </w:rPr>
              <w:t>.资产管理服务</w:t>
            </w:r>
            <w:r>
              <w:rPr>
                <w:rFonts w:ascii="仿宋_GB2312" w:hAnsi="仿宋_GB2312" w:cs="仿宋_GB2312" w:eastAsia="仿宋_GB2312"/>
                <w:sz w:val="24"/>
              </w:rPr>
              <w:t>能力</w:t>
            </w:r>
          </w:p>
          <w:p>
            <w:pPr>
              <w:pStyle w:val="null3"/>
              <w:ind w:firstLine="480"/>
              <w:jc w:val="both"/>
            </w:pPr>
            <w:r>
              <w:rPr>
                <w:rFonts w:ascii="仿宋_GB2312" w:hAnsi="仿宋_GB2312" w:cs="仿宋_GB2312" w:eastAsia="仿宋_GB2312"/>
                <w:sz w:val="24"/>
              </w:rPr>
              <w:t>提供对基础设施、机房、备品备件和耗材的综合管理。</w:t>
            </w:r>
          </w:p>
          <w:p>
            <w:pPr>
              <w:pStyle w:val="null3"/>
              <w:ind w:firstLine="480"/>
              <w:jc w:val="both"/>
            </w:pPr>
            <w:r>
              <w:rPr>
                <w:rFonts w:ascii="仿宋_GB2312" w:hAnsi="仿宋_GB2312" w:cs="仿宋_GB2312" w:eastAsia="仿宋_GB2312"/>
                <w:sz w:val="24"/>
              </w:rPr>
              <w:t>IT基础设施管理服务包括属地管理、机房管理和库房管理。属地管理可展示属地编号、属地名称、地址等信息；机房管理可展示机房名称、所属属地、机房性质、机柜数量等信息；库房管理可展示库房编码、名称、级别、位置、管理人员等信息。</w:t>
            </w:r>
          </w:p>
          <w:p>
            <w:pPr>
              <w:pStyle w:val="null3"/>
              <w:ind w:firstLine="480"/>
              <w:jc w:val="both"/>
            </w:pPr>
            <w:r>
              <w:rPr>
                <w:rFonts w:ascii="仿宋_GB2312" w:hAnsi="仿宋_GB2312" w:cs="仿宋_GB2312" w:eastAsia="仿宋_GB2312"/>
                <w:sz w:val="24"/>
              </w:rPr>
              <w:t>机房管理服务提供对机房设备进行精细化管理，可展示各机房下的不同设备的具体信息。</w:t>
            </w:r>
          </w:p>
          <w:p>
            <w:pPr>
              <w:pStyle w:val="null3"/>
              <w:ind w:firstLine="480"/>
              <w:jc w:val="both"/>
            </w:pPr>
            <w:r>
              <w:rPr>
                <w:rFonts w:ascii="仿宋_GB2312" w:hAnsi="仿宋_GB2312" w:cs="仿宋_GB2312" w:eastAsia="仿宋_GB2312"/>
                <w:sz w:val="24"/>
              </w:rPr>
              <w:t>备品备件管理服务</w:t>
            </w:r>
            <w:r>
              <w:rPr>
                <w:rFonts w:ascii="仿宋_GB2312" w:hAnsi="仿宋_GB2312" w:cs="仿宋_GB2312" w:eastAsia="仿宋_GB2312"/>
                <w:sz w:val="24"/>
              </w:rPr>
              <w:t>能力</w:t>
            </w:r>
            <w:r>
              <w:rPr>
                <w:rFonts w:ascii="仿宋_GB2312" w:hAnsi="仿宋_GB2312" w:cs="仿宋_GB2312" w:eastAsia="仿宋_GB2312"/>
                <w:sz w:val="24"/>
              </w:rPr>
              <w:t>可以减轻设备管理部门及相关职能部门的压力，能够有效避免备品备件乱领、乱放、乱用现象，提高了备品备件管理的效率，实现管理转变，提升降本增效管理水平。系统基于规范的备品备件管理体系，具备备品备件的全生命周期管理能力，涵盖备品备件的入库申请、出库申请、备件台账、欠物查询、调拨管理等功能。</w:t>
            </w:r>
          </w:p>
          <w:p>
            <w:pPr>
              <w:pStyle w:val="null3"/>
              <w:ind w:firstLine="480"/>
              <w:jc w:val="both"/>
            </w:pPr>
            <w:r>
              <w:rPr>
                <w:rFonts w:ascii="仿宋_GB2312" w:hAnsi="仿宋_GB2312" w:cs="仿宋_GB2312" w:eastAsia="仿宋_GB2312"/>
                <w:sz w:val="24"/>
              </w:rPr>
              <w:t>耗材管理服务提供耗材的全生命周期管理能力，涵盖耗材的入库申请、出库申请、备件台账、欠物查询、调拨管理等功能。</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1）备品备件管理服务</w:t>
            </w:r>
            <w:r>
              <w:rPr>
                <w:rFonts w:ascii="仿宋_GB2312" w:hAnsi="仿宋_GB2312" w:cs="仿宋_GB2312" w:eastAsia="仿宋_GB2312"/>
                <w:sz w:val="24"/>
              </w:rPr>
              <w:t>能力</w:t>
            </w:r>
          </w:p>
          <w:p>
            <w:pPr>
              <w:pStyle w:val="null3"/>
              <w:ind w:firstLine="480"/>
              <w:jc w:val="both"/>
            </w:pPr>
            <w:r>
              <w:rPr>
                <w:rFonts w:ascii="仿宋_GB2312" w:hAnsi="仿宋_GB2312" w:cs="仿宋_GB2312" w:eastAsia="仿宋_GB2312"/>
                <w:sz w:val="24"/>
              </w:rPr>
              <w:t>基于规范的备品备件管理体系，具备备品备件的全生命周期管理能力，涵盖备品备件的入库申请、出库申请、备件台账、欠物查询等服务内容。</w:t>
            </w:r>
          </w:p>
          <w:p>
            <w:pPr>
              <w:pStyle w:val="null3"/>
              <w:ind w:firstLine="480"/>
              <w:jc w:val="both"/>
            </w:pPr>
            <w:r>
              <w:rPr>
                <w:rFonts w:ascii="仿宋_GB2312" w:hAnsi="仿宋_GB2312" w:cs="仿宋_GB2312" w:eastAsia="仿宋_GB2312"/>
                <w:sz w:val="24"/>
              </w:rPr>
              <w:t>1）备品备件入库服务</w:t>
            </w:r>
            <w:r>
              <w:rPr>
                <w:rFonts w:ascii="仿宋_GB2312" w:hAnsi="仿宋_GB2312" w:cs="仿宋_GB2312" w:eastAsia="仿宋_GB2312"/>
                <w:sz w:val="24"/>
              </w:rPr>
              <w:t>能力</w:t>
            </w:r>
          </w:p>
          <w:p>
            <w:pPr>
              <w:pStyle w:val="null3"/>
              <w:ind w:firstLine="480"/>
              <w:jc w:val="both"/>
            </w:pPr>
            <w:r>
              <w:rPr>
                <w:rFonts w:ascii="仿宋_GB2312" w:hAnsi="仿宋_GB2312" w:cs="仿宋_GB2312" w:eastAsia="仿宋_GB2312"/>
                <w:sz w:val="24"/>
              </w:rPr>
              <w:t>对于新增的备品备件，系统使用备品备件入库模块进行管理。备件管理员通过填写新增申请单，内容主要包括备件所属的客户、所属的系统、备品备件的维护部门、维护责任人等，同时需要填写备品备件的相关信息。</w:t>
            </w:r>
          </w:p>
          <w:p>
            <w:pPr>
              <w:pStyle w:val="null3"/>
              <w:ind w:firstLine="480"/>
              <w:jc w:val="both"/>
            </w:pPr>
            <w:r>
              <w:rPr>
                <w:rFonts w:ascii="仿宋_GB2312" w:hAnsi="仿宋_GB2312" w:cs="仿宋_GB2312" w:eastAsia="仿宋_GB2312"/>
                <w:sz w:val="24"/>
              </w:rPr>
              <w:t>由于备品备件的信息可能较多，系统</w:t>
            </w:r>
            <w:r>
              <w:rPr>
                <w:rFonts w:ascii="仿宋_GB2312" w:hAnsi="仿宋_GB2312" w:cs="仿宋_GB2312" w:eastAsia="仿宋_GB2312"/>
                <w:sz w:val="24"/>
              </w:rPr>
              <w:t>具有信创</w:t>
            </w:r>
            <w:r>
              <w:rPr>
                <w:rFonts w:ascii="仿宋_GB2312" w:hAnsi="仿宋_GB2312" w:cs="仿宋_GB2312" w:eastAsia="仿宋_GB2312"/>
                <w:sz w:val="24"/>
              </w:rPr>
              <w:t>Excel</w:t>
            </w:r>
            <w:r>
              <w:rPr>
                <w:rFonts w:ascii="仿宋_GB2312" w:hAnsi="仿宋_GB2312" w:cs="仿宋_GB2312" w:eastAsia="仿宋_GB2312"/>
                <w:sz w:val="24"/>
              </w:rPr>
              <w:t>一键导入功能。</w:t>
            </w:r>
          </w:p>
          <w:p>
            <w:pPr>
              <w:pStyle w:val="null3"/>
              <w:ind w:firstLine="480"/>
              <w:jc w:val="both"/>
            </w:pPr>
            <w:r>
              <w:rPr>
                <w:rFonts w:ascii="仿宋_GB2312" w:hAnsi="仿宋_GB2312" w:cs="仿宋_GB2312" w:eastAsia="仿宋_GB2312"/>
                <w:sz w:val="24"/>
              </w:rPr>
              <w:t>系统</w:t>
            </w:r>
            <w:r>
              <w:rPr>
                <w:rFonts w:ascii="仿宋_GB2312" w:hAnsi="仿宋_GB2312" w:cs="仿宋_GB2312" w:eastAsia="仿宋_GB2312"/>
                <w:sz w:val="24"/>
              </w:rPr>
              <w:t>具有</w:t>
            </w:r>
            <w:r>
              <w:rPr>
                <w:rFonts w:ascii="仿宋_GB2312" w:hAnsi="仿宋_GB2312" w:cs="仿宋_GB2312" w:eastAsia="仿宋_GB2312"/>
                <w:sz w:val="24"/>
              </w:rPr>
              <w:t>通过流程的方式管理备品备件的入库，将入库流程分解到各个责任人，保证管理闭环。</w:t>
            </w:r>
          </w:p>
          <w:p>
            <w:pPr>
              <w:pStyle w:val="null3"/>
              <w:ind w:firstLine="480"/>
              <w:jc w:val="both"/>
            </w:pPr>
            <w:r>
              <w:rPr>
                <w:rFonts w:ascii="仿宋_GB2312" w:hAnsi="仿宋_GB2312" w:cs="仿宋_GB2312" w:eastAsia="仿宋_GB2312"/>
                <w:sz w:val="24"/>
              </w:rPr>
              <w:t>2）备品备件出库服务</w:t>
            </w:r>
            <w:r>
              <w:rPr>
                <w:rFonts w:ascii="仿宋_GB2312" w:hAnsi="仿宋_GB2312" w:cs="仿宋_GB2312" w:eastAsia="仿宋_GB2312"/>
                <w:sz w:val="24"/>
              </w:rPr>
              <w:t>能力</w:t>
            </w:r>
          </w:p>
          <w:p>
            <w:pPr>
              <w:pStyle w:val="null3"/>
              <w:ind w:firstLine="480"/>
              <w:jc w:val="both"/>
            </w:pPr>
            <w:r>
              <w:rPr>
                <w:rFonts w:ascii="仿宋_GB2312" w:hAnsi="仿宋_GB2312" w:cs="仿宋_GB2312" w:eastAsia="仿宋_GB2312"/>
                <w:sz w:val="24"/>
              </w:rPr>
              <w:t>对于备品备件的出库，系统使用备品备件出库管理模块进行管理，用户可以在系统中发起资产的出库或调拨的申请。主要填写的字段包括申请人名称、出库类型、领用借用人所在组、出库的时间等。对于出库的备品备件，可以在系统中进行搜索选择。</w:t>
            </w:r>
          </w:p>
          <w:p>
            <w:pPr>
              <w:pStyle w:val="null3"/>
              <w:ind w:firstLine="480"/>
              <w:jc w:val="both"/>
            </w:pPr>
            <w:r>
              <w:rPr>
                <w:rFonts w:ascii="仿宋_GB2312" w:hAnsi="仿宋_GB2312" w:cs="仿宋_GB2312" w:eastAsia="仿宋_GB2312"/>
                <w:sz w:val="24"/>
              </w:rPr>
              <w:t>3）备品备件台账服务</w:t>
            </w:r>
            <w:r>
              <w:rPr>
                <w:rFonts w:ascii="仿宋_GB2312" w:hAnsi="仿宋_GB2312" w:cs="仿宋_GB2312" w:eastAsia="仿宋_GB2312"/>
                <w:sz w:val="24"/>
              </w:rPr>
              <w:t>能力</w:t>
            </w:r>
          </w:p>
          <w:p>
            <w:pPr>
              <w:pStyle w:val="null3"/>
              <w:ind w:firstLine="480"/>
              <w:jc w:val="both"/>
            </w:pPr>
            <w:r>
              <w:rPr>
                <w:rFonts w:ascii="仿宋_GB2312" w:hAnsi="仿宋_GB2312" w:cs="仿宋_GB2312" w:eastAsia="仿宋_GB2312"/>
                <w:sz w:val="24"/>
              </w:rPr>
              <w:t>为了对备品备件的整体进行统一的管理，系统提供备品备件台账功能。备品备件的入库、出库、盘亏等过程都在台账中统一的展示。同时系统</w:t>
            </w:r>
            <w:r>
              <w:rPr>
                <w:rFonts w:ascii="仿宋_GB2312" w:hAnsi="仿宋_GB2312" w:cs="仿宋_GB2312" w:eastAsia="仿宋_GB2312"/>
                <w:sz w:val="24"/>
              </w:rPr>
              <w:t>具有</w:t>
            </w:r>
            <w:r>
              <w:rPr>
                <w:rFonts w:ascii="仿宋_GB2312" w:hAnsi="仿宋_GB2312" w:cs="仿宋_GB2312" w:eastAsia="仿宋_GB2312"/>
                <w:sz w:val="24"/>
              </w:rPr>
              <w:t>按照多个维度如</w:t>
            </w:r>
            <w:r>
              <w:rPr>
                <w:rFonts w:ascii="仿宋_GB2312" w:hAnsi="仿宋_GB2312" w:cs="仿宋_GB2312" w:eastAsia="仿宋_GB2312"/>
                <w:sz w:val="24"/>
              </w:rPr>
              <w:t>PN号、涉及库房等字段进行检索。</w:t>
            </w:r>
          </w:p>
          <w:p>
            <w:pPr>
              <w:pStyle w:val="null3"/>
              <w:ind w:firstLine="480"/>
              <w:jc w:val="both"/>
            </w:pPr>
            <w:r>
              <w:rPr>
                <w:rFonts w:ascii="仿宋_GB2312" w:hAnsi="仿宋_GB2312" w:cs="仿宋_GB2312" w:eastAsia="仿宋_GB2312"/>
                <w:sz w:val="24"/>
              </w:rPr>
              <w:t>系统对资产的出入库及变更的记录，并</w:t>
            </w:r>
            <w:r>
              <w:rPr>
                <w:rFonts w:ascii="仿宋_GB2312" w:hAnsi="仿宋_GB2312" w:cs="仿宋_GB2312" w:eastAsia="仿宋_GB2312"/>
                <w:sz w:val="24"/>
              </w:rPr>
              <w:t>具有</w:t>
            </w:r>
            <w:r>
              <w:rPr>
                <w:rFonts w:ascii="仿宋_GB2312" w:hAnsi="仿宋_GB2312" w:cs="仿宋_GB2312" w:eastAsia="仿宋_GB2312"/>
                <w:sz w:val="24"/>
              </w:rPr>
              <w:t>用户一键导出台账信息。</w:t>
            </w:r>
          </w:p>
          <w:p>
            <w:pPr>
              <w:pStyle w:val="null3"/>
              <w:ind w:firstLine="480"/>
              <w:jc w:val="both"/>
            </w:pPr>
            <w:r>
              <w:rPr>
                <w:rFonts w:ascii="仿宋_GB2312" w:hAnsi="仿宋_GB2312" w:cs="仿宋_GB2312" w:eastAsia="仿宋_GB2312"/>
                <w:sz w:val="24"/>
              </w:rPr>
              <w:t>4）欠物查询服务</w:t>
            </w:r>
            <w:r>
              <w:rPr>
                <w:rFonts w:ascii="仿宋_GB2312" w:hAnsi="仿宋_GB2312" w:cs="仿宋_GB2312" w:eastAsia="仿宋_GB2312"/>
                <w:sz w:val="24"/>
              </w:rPr>
              <w:t>能力</w:t>
            </w:r>
          </w:p>
          <w:p>
            <w:pPr>
              <w:pStyle w:val="null3"/>
              <w:ind w:firstLine="480"/>
              <w:jc w:val="both"/>
            </w:pPr>
            <w:r>
              <w:rPr>
                <w:rFonts w:ascii="仿宋_GB2312" w:hAnsi="仿宋_GB2312" w:cs="仿宋_GB2312" w:eastAsia="仿宋_GB2312"/>
                <w:sz w:val="24"/>
              </w:rPr>
              <w:t>备品备件在使用过程中会发生使用、借出等操作，为保证物品的合理使用，需要对备品备件的欠物进行管理。系统将出入库和欠物模块进行联动，</w:t>
            </w:r>
            <w:r>
              <w:rPr>
                <w:rFonts w:ascii="仿宋_GB2312" w:hAnsi="仿宋_GB2312" w:cs="仿宋_GB2312" w:eastAsia="仿宋_GB2312"/>
                <w:sz w:val="24"/>
              </w:rPr>
              <w:t>具有</w:t>
            </w:r>
            <w:r>
              <w:rPr>
                <w:rFonts w:ascii="仿宋_GB2312" w:hAnsi="仿宋_GB2312" w:cs="仿宋_GB2312" w:eastAsia="仿宋_GB2312"/>
                <w:sz w:val="24"/>
              </w:rPr>
              <w:t>查询当前欠物的信息。并</w:t>
            </w:r>
            <w:r>
              <w:rPr>
                <w:rFonts w:ascii="仿宋_GB2312" w:hAnsi="仿宋_GB2312" w:cs="仿宋_GB2312" w:eastAsia="仿宋_GB2312"/>
                <w:sz w:val="24"/>
              </w:rPr>
              <w:t>具有</w:t>
            </w:r>
            <w:r>
              <w:rPr>
                <w:rFonts w:ascii="仿宋_GB2312" w:hAnsi="仿宋_GB2312" w:cs="仿宋_GB2312" w:eastAsia="仿宋_GB2312"/>
                <w:sz w:val="24"/>
              </w:rPr>
              <w:t>通过出库日期、出库类型、欠物人等多个筛选项对欠物进行查询。</w:t>
            </w:r>
          </w:p>
          <w:p>
            <w:pPr>
              <w:pStyle w:val="null3"/>
              <w:ind w:firstLine="480"/>
              <w:jc w:val="both"/>
            </w:pPr>
            <w:r>
              <w:rPr>
                <w:rFonts w:ascii="仿宋_GB2312" w:hAnsi="仿宋_GB2312" w:cs="仿宋_GB2312" w:eastAsia="仿宋_GB2312"/>
                <w:sz w:val="24"/>
              </w:rPr>
              <w:t>系统对于资产的欠物状态进行记录，并</w:t>
            </w:r>
            <w:r>
              <w:rPr>
                <w:rFonts w:ascii="仿宋_GB2312" w:hAnsi="仿宋_GB2312" w:cs="仿宋_GB2312" w:eastAsia="仿宋_GB2312"/>
                <w:sz w:val="24"/>
              </w:rPr>
              <w:t>具有</w:t>
            </w:r>
            <w:r>
              <w:rPr>
                <w:rFonts w:ascii="仿宋_GB2312" w:hAnsi="仿宋_GB2312" w:cs="仿宋_GB2312" w:eastAsia="仿宋_GB2312"/>
                <w:sz w:val="24"/>
              </w:rPr>
              <w:t>用户一键导出欠物信息。</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2）耗材管理服务</w:t>
            </w:r>
            <w:r>
              <w:rPr>
                <w:rFonts w:ascii="仿宋_GB2312" w:hAnsi="仿宋_GB2312" w:cs="仿宋_GB2312" w:eastAsia="仿宋_GB2312"/>
                <w:sz w:val="24"/>
              </w:rPr>
              <w:t>能力</w:t>
            </w:r>
          </w:p>
          <w:p>
            <w:pPr>
              <w:pStyle w:val="null3"/>
              <w:ind w:firstLine="480"/>
              <w:jc w:val="both"/>
            </w:pPr>
            <w:r>
              <w:rPr>
                <w:rFonts w:ascii="仿宋_GB2312" w:hAnsi="仿宋_GB2312" w:cs="仿宋_GB2312" w:eastAsia="仿宋_GB2312"/>
                <w:sz w:val="24"/>
              </w:rPr>
              <w:t>基于规范的耗材管理体系，具备耗材的全生命周期管理能力，涵盖耗材的入库申请、出库申请、备件台账、欠物查询等服务内容。</w:t>
            </w:r>
          </w:p>
          <w:p>
            <w:pPr>
              <w:pStyle w:val="null3"/>
              <w:ind w:firstLine="480"/>
              <w:jc w:val="both"/>
            </w:pPr>
            <w:r>
              <w:rPr>
                <w:rFonts w:ascii="仿宋_GB2312" w:hAnsi="仿宋_GB2312" w:cs="仿宋_GB2312" w:eastAsia="仿宋_GB2312"/>
                <w:sz w:val="24"/>
              </w:rPr>
              <w:t>1）耗材入库服务</w:t>
            </w:r>
            <w:r>
              <w:rPr>
                <w:rFonts w:ascii="仿宋_GB2312" w:hAnsi="仿宋_GB2312" w:cs="仿宋_GB2312" w:eastAsia="仿宋_GB2312"/>
                <w:sz w:val="24"/>
              </w:rPr>
              <w:t>能力</w:t>
            </w:r>
          </w:p>
          <w:p>
            <w:pPr>
              <w:pStyle w:val="null3"/>
              <w:ind w:firstLine="480"/>
              <w:jc w:val="both"/>
            </w:pPr>
            <w:r>
              <w:rPr>
                <w:rFonts w:ascii="仿宋_GB2312" w:hAnsi="仿宋_GB2312" w:cs="仿宋_GB2312" w:eastAsia="仿宋_GB2312"/>
                <w:sz w:val="24"/>
              </w:rPr>
              <w:t>对于新增的耗材，系统使用耗材入库模块进行管理。耗材管理员通过填写新增申请单，内容主要包括耗材名称、耗材类别、入库数量等。</w:t>
            </w:r>
          </w:p>
          <w:p>
            <w:pPr>
              <w:pStyle w:val="null3"/>
              <w:ind w:firstLine="480"/>
              <w:jc w:val="both"/>
            </w:pPr>
            <w:r>
              <w:rPr>
                <w:rFonts w:ascii="仿宋_GB2312" w:hAnsi="仿宋_GB2312" w:cs="仿宋_GB2312" w:eastAsia="仿宋_GB2312"/>
                <w:sz w:val="24"/>
              </w:rPr>
              <w:t>由于耗材的信息可能较多，系统</w:t>
            </w:r>
            <w:r>
              <w:rPr>
                <w:rFonts w:ascii="仿宋_GB2312" w:hAnsi="仿宋_GB2312" w:cs="仿宋_GB2312" w:eastAsia="仿宋_GB2312"/>
                <w:sz w:val="24"/>
              </w:rPr>
              <w:t>具有</w:t>
            </w:r>
            <w:r>
              <w:rPr>
                <w:rFonts w:ascii="仿宋_GB2312" w:hAnsi="仿宋_GB2312" w:cs="仿宋_GB2312" w:eastAsia="仿宋_GB2312"/>
                <w:sz w:val="24"/>
              </w:rPr>
              <w:t>信创环境</w:t>
            </w:r>
            <w:r>
              <w:rPr>
                <w:rFonts w:ascii="仿宋_GB2312" w:hAnsi="仿宋_GB2312" w:cs="仿宋_GB2312" w:eastAsia="仿宋_GB2312"/>
                <w:sz w:val="24"/>
              </w:rPr>
              <w:t>Excel 表单一键导入</w:t>
            </w:r>
            <w:r>
              <w:rPr>
                <w:rFonts w:ascii="仿宋_GB2312" w:hAnsi="仿宋_GB2312" w:cs="仿宋_GB2312" w:eastAsia="仿宋_GB2312"/>
                <w:sz w:val="24"/>
              </w:rPr>
              <w:t>功能。</w:t>
            </w:r>
          </w:p>
          <w:p>
            <w:pPr>
              <w:pStyle w:val="null3"/>
              <w:ind w:firstLine="480"/>
              <w:jc w:val="both"/>
            </w:pPr>
            <w:r>
              <w:rPr>
                <w:rFonts w:ascii="仿宋_GB2312" w:hAnsi="仿宋_GB2312" w:cs="仿宋_GB2312" w:eastAsia="仿宋_GB2312"/>
                <w:sz w:val="24"/>
              </w:rPr>
              <w:t>2）耗材出库服务</w:t>
            </w:r>
            <w:r>
              <w:rPr>
                <w:rFonts w:ascii="仿宋_GB2312" w:hAnsi="仿宋_GB2312" w:cs="仿宋_GB2312" w:eastAsia="仿宋_GB2312"/>
                <w:sz w:val="24"/>
              </w:rPr>
              <w:t>能力</w:t>
            </w:r>
          </w:p>
          <w:p>
            <w:pPr>
              <w:pStyle w:val="null3"/>
              <w:ind w:firstLine="480"/>
              <w:jc w:val="both"/>
            </w:pPr>
            <w:r>
              <w:rPr>
                <w:rFonts w:ascii="仿宋_GB2312" w:hAnsi="仿宋_GB2312" w:cs="仿宋_GB2312" w:eastAsia="仿宋_GB2312"/>
                <w:sz w:val="24"/>
              </w:rPr>
              <w:t>对于耗材的出库，系统使用耗材出库管理模块进行管理，用户可以在系统中发起耗材的出库或调拨的申请。主要填写的字段包括申请人名称、使用组织、出库时间等。对于出库的备品备件，可以在系统中进行搜索选择。</w:t>
            </w:r>
          </w:p>
          <w:p>
            <w:pPr>
              <w:pStyle w:val="null3"/>
              <w:ind w:firstLine="480"/>
              <w:jc w:val="both"/>
            </w:pPr>
            <w:r>
              <w:rPr>
                <w:rFonts w:ascii="仿宋_GB2312" w:hAnsi="仿宋_GB2312" w:cs="仿宋_GB2312" w:eastAsia="仿宋_GB2312"/>
                <w:sz w:val="24"/>
              </w:rPr>
              <w:t>3）耗材使用管理服务</w:t>
            </w:r>
            <w:r>
              <w:rPr>
                <w:rFonts w:ascii="仿宋_GB2312" w:hAnsi="仿宋_GB2312" w:cs="仿宋_GB2312" w:eastAsia="仿宋_GB2312"/>
                <w:sz w:val="24"/>
              </w:rPr>
              <w:t>能力</w:t>
            </w:r>
          </w:p>
          <w:p>
            <w:pPr>
              <w:pStyle w:val="null3"/>
              <w:ind w:firstLine="480"/>
              <w:jc w:val="both"/>
            </w:pPr>
            <w:r>
              <w:rPr>
                <w:rFonts w:ascii="仿宋_GB2312" w:hAnsi="仿宋_GB2312" w:cs="仿宋_GB2312" w:eastAsia="仿宋_GB2312"/>
                <w:sz w:val="24"/>
              </w:rPr>
              <w:t>为了对耗材的整体进行统一的管理，系统提供备品备件是利用管理功能。耗材的名称、类别、使用人、申请时间等过程都在使用管理中进行统一的展示。同时系统</w:t>
            </w:r>
            <w:r>
              <w:rPr>
                <w:rFonts w:ascii="仿宋_GB2312" w:hAnsi="仿宋_GB2312" w:cs="仿宋_GB2312" w:eastAsia="仿宋_GB2312"/>
                <w:sz w:val="24"/>
              </w:rPr>
              <w:t>具有</w:t>
            </w:r>
            <w:r>
              <w:rPr>
                <w:rFonts w:ascii="仿宋_GB2312" w:hAnsi="仿宋_GB2312" w:cs="仿宋_GB2312" w:eastAsia="仿宋_GB2312"/>
                <w:sz w:val="24"/>
              </w:rPr>
              <w:t>按照多个维度如耗材标签号、耗材状态等字段进行检索。</w:t>
            </w:r>
          </w:p>
          <w:p>
            <w:pPr>
              <w:pStyle w:val="null3"/>
              <w:ind w:firstLine="480"/>
              <w:jc w:val="both"/>
            </w:pPr>
            <w:r>
              <w:rPr>
                <w:rFonts w:ascii="仿宋_GB2312" w:hAnsi="仿宋_GB2312" w:cs="仿宋_GB2312" w:eastAsia="仿宋_GB2312"/>
                <w:sz w:val="24"/>
              </w:rPr>
              <w:t>系统对耗材的出入库及变更的记录，并</w:t>
            </w:r>
            <w:r>
              <w:rPr>
                <w:rFonts w:ascii="仿宋_GB2312" w:hAnsi="仿宋_GB2312" w:cs="仿宋_GB2312" w:eastAsia="仿宋_GB2312"/>
                <w:sz w:val="24"/>
              </w:rPr>
              <w:t>具有</w:t>
            </w:r>
            <w:r>
              <w:rPr>
                <w:rFonts w:ascii="仿宋_GB2312" w:hAnsi="仿宋_GB2312" w:cs="仿宋_GB2312" w:eastAsia="仿宋_GB2312"/>
                <w:sz w:val="24"/>
              </w:rPr>
              <w:t>用户一键导出使用信息。</w:t>
            </w:r>
          </w:p>
          <w:p>
            <w:pPr>
              <w:pStyle w:val="null3"/>
              <w:ind w:firstLine="480"/>
              <w:jc w:val="both"/>
            </w:pPr>
            <w:r>
              <w:rPr>
                <w:rFonts w:ascii="仿宋_GB2312" w:hAnsi="仿宋_GB2312" w:cs="仿宋_GB2312" w:eastAsia="仿宋_GB2312"/>
                <w:sz w:val="24"/>
              </w:rPr>
              <w:t>4）耗材申请管理服务</w:t>
            </w:r>
            <w:r>
              <w:rPr>
                <w:rFonts w:ascii="仿宋_GB2312" w:hAnsi="仿宋_GB2312" w:cs="仿宋_GB2312" w:eastAsia="仿宋_GB2312"/>
                <w:sz w:val="24"/>
              </w:rPr>
              <w:t>能力</w:t>
            </w:r>
          </w:p>
          <w:p>
            <w:pPr>
              <w:pStyle w:val="null3"/>
              <w:ind w:firstLine="480"/>
              <w:jc w:val="both"/>
            </w:pPr>
            <w:r>
              <w:rPr>
                <w:rFonts w:ascii="仿宋_GB2312" w:hAnsi="仿宋_GB2312" w:cs="仿宋_GB2312" w:eastAsia="仿宋_GB2312"/>
                <w:sz w:val="24"/>
              </w:rPr>
              <w:t>在日常的运维服务过程中，用户需要使用耗材时，需要进行耗材的申请。系统中用户通过填写耗材申请表单，以流程的方式进行申请。耗材申请单中主要填写耗材名称、类别、申请数量、用途等信息。</w:t>
            </w:r>
          </w:p>
          <w:p>
            <w:pPr>
              <w:pStyle w:val="null3"/>
              <w:ind w:firstLine="480"/>
              <w:jc w:val="both"/>
            </w:pPr>
            <w:r>
              <w:rPr>
                <w:rFonts w:ascii="仿宋_GB2312" w:hAnsi="仿宋_GB2312" w:cs="仿宋_GB2312" w:eastAsia="仿宋_GB2312"/>
                <w:sz w:val="24"/>
              </w:rPr>
              <w:t>用户填写耗材申请表单后，需要在流程中经过多级审批，由库房管理员进行出库操作，耗材交付后由申请人进行反馈，保证耗材管理的闭环。</w:t>
            </w:r>
          </w:p>
          <w:p>
            <w:pPr>
              <w:pStyle w:val="null3"/>
              <w:numPr>
                <w:ilvl w:val="4"/>
                <w:numId w:val="3"/>
              </w:numPr>
            </w:pPr>
            <w:r>
              <w:rPr>
                <w:rFonts w:ascii="仿宋_GB2312" w:hAnsi="仿宋_GB2312" w:cs="仿宋_GB2312" w:eastAsia="仿宋_GB2312"/>
                <w:sz w:val="24"/>
                <w:b/>
              </w:rPr>
              <w:t>统一告警管理服务</w:t>
            </w:r>
          </w:p>
          <w:p>
            <w:pPr>
              <w:pStyle w:val="null3"/>
              <w:ind w:firstLine="480"/>
              <w:jc w:val="both"/>
            </w:pPr>
            <w:r>
              <w:rPr>
                <w:rFonts w:ascii="仿宋_GB2312" w:hAnsi="仿宋_GB2312" w:cs="仿宋_GB2312" w:eastAsia="仿宋_GB2312"/>
                <w:sz w:val="24"/>
              </w:rPr>
              <w:t>通过提供智能监控服务，集中控制管理服务器和网络设备等</w:t>
            </w:r>
            <w:r>
              <w:rPr>
                <w:rFonts w:ascii="仿宋_GB2312" w:hAnsi="仿宋_GB2312" w:cs="仿宋_GB2312" w:eastAsia="仿宋_GB2312"/>
                <w:sz w:val="24"/>
              </w:rPr>
              <w:t>IT资源，以端到端的性能管理为核心，实现自上而下的IT管理新模式。对服务器性能、网络传输、中间件、数据库性能等相关监控指标进行监测与分析，探测服务的可用性，并对指标进行告警设置，快速识别、定位、解决设备性能和可用性的问题，能够有效预防故障的产生，降低运维成本。</w:t>
            </w:r>
          </w:p>
          <w:p>
            <w:pPr>
              <w:pStyle w:val="null3"/>
              <w:ind w:firstLine="480"/>
              <w:jc w:val="both"/>
            </w:pPr>
            <w:r>
              <w:rPr>
                <w:rFonts w:ascii="仿宋_GB2312" w:hAnsi="仿宋_GB2312" w:cs="仿宋_GB2312" w:eastAsia="仿宋_GB2312"/>
                <w:sz w:val="24"/>
              </w:rPr>
              <w:t>1.监控服务：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1）服务器监控服务：</w:t>
            </w:r>
            <w:r>
              <w:rPr>
                <w:rFonts w:ascii="仿宋_GB2312" w:hAnsi="仿宋_GB2312" w:cs="仿宋_GB2312" w:eastAsia="仿宋_GB2312"/>
                <w:sz w:val="24"/>
              </w:rPr>
              <w:t>具有</w:t>
            </w:r>
            <w:r>
              <w:rPr>
                <w:rFonts w:ascii="仿宋_GB2312" w:hAnsi="仿宋_GB2312" w:cs="仿宋_GB2312" w:eastAsia="仿宋_GB2312"/>
                <w:sz w:val="24"/>
              </w:rPr>
              <w:t>服务器带外监控，通过接入硬件设备</w:t>
            </w:r>
            <w:r>
              <w:rPr>
                <w:rFonts w:ascii="仿宋_GB2312" w:hAnsi="仿宋_GB2312" w:cs="仿宋_GB2312" w:eastAsia="仿宋_GB2312"/>
                <w:sz w:val="24"/>
              </w:rPr>
              <w:t>SNMP、IPMI等远程管理协议，实现对硬件设备电压、温度、电源模块、风扇、网卡等部件运行状态的监控。通过实时监控服务器的CPU 使用率、内存占用、磁盘 I/O 和网络带宽等关键指标，运维人员可以清晰地了解服务器资源的利用情况。</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网络设备监控：提供对市场主流厂商网络设备的监控和纳管，可对其进行设备性能展示和端口性能监控，包含其可用状态以及设备时延，CPU信息、内存信息、各板卡CPU利用率、各板卡内存利用率以及告警列表，端口性能展示可查看该设备的端口名、端口带宽、端口描述、端口流速、丢包数、错包数、端口状态等信息。</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数据库性能监控：提供对各类数据库包括达梦、人大金仓、Oracle、MySQL、MongoDB等品牌的性能监控。数据库实例监控状态，包括设备名称、可用状态、启用时间、版本号、启动市场和健康度，点击查看按钮，可进行具体信息查看，包括监控概览和表空间等。</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中间件性能监控：实时监测中间件的各项关键指标，例如连接数、线程状态、响应时间等，一旦指标异常便能迅速预警，及时处理潜在故障，避免业务中断。其次，优化性能表现，通过持续分析监控数据，精准定位性能瓶颈，助力进行针对性的优化调整，提升中间件对业务请求的处理效率。</w:t>
            </w:r>
          </w:p>
          <w:p>
            <w:pPr>
              <w:pStyle w:val="null3"/>
              <w:ind w:firstLine="320"/>
              <w:jc w:val="both"/>
            </w:pPr>
            <w:r>
              <w:rPr>
                <w:rFonts w:ascii="仿宋_GB2312" w:hAnsi="仿宋_GB2312" w:cs="仿宋_GB2312" w:eastAsia="仿宋_GB2312"/>
                <w:sz w:val="24"/>
              </w:rPr>
              <w:t>（</w:t>
            </w:r>
            <w:r>
              <w:rPr>
                <w:rFonts w:ascii="仿宋_GB2312" w:hAnsi="仿宋_GB2312" w:cs="仿宋_GB2312" w:eastAsia="仿宋_GB2312"/>
                <w:sz w:val="24"/>
              </w:rPr>
              <w:t>5）端口性能监控：可对设备端口的各种性能相关方面进行监测、分析和管理，包括出入流量监控、流量速率监控、端口连接数、连接状态、丢包率等。</w:t>
            </w:r>
          </w:p>
          <w:p>
            <w:pPr>
              <w:pStyle w:val="null3"/>
              <w:ind w:firstLine="320"/>
              <w:jc w:val="both"/>
            </w:pPr>
            <w:r>
              <w:rPr>
                <w:rFonts w:ascii="仿宋_GB2312" w:hAnsi="仿宋_GB2312" w:cs="仿宋_GB2312" w:eastAsia="仿宋_GB2312"/>
                <w:sz w:val="24"/>
              </w:rPr>
              <w:t>（</w:t>
            </w:r>
            <w:r>
              <w:rPr>
                <w:rFonts w:ascii="仿宋_GB2312" w:hAnsi="仿宋_GB2312" w:cs="仿宋_GB2312" w:eastAsia="仿宋_GB2312"/>
                <w:sz w:val="24"/>
              </w:rPr>
              <w:t>6）调用链监控服务：能够自动梳理出服务与服务之间的调用关系，完成前端性能到后端性能的关联分析，全局分析某条请求的性能健康度，从外自内逐步分析每个环节对应用性能造成的影响以及原因，追踪调用性能问题，快速定位缓慢、错误和异常应用，捕获访问的单次请求快照，提供数据库、接口、外部服务的堆栈信息，发现最慢因素，快速定位性能瓶颈。</w:t>
            </w:r>
          </w:p>
          <w:p>
            <w:pPr>
              <w:pStyle w:val="null3"/>
              <w:ind w:firstLine="320"/>
              <w:jc w:val="both"/>
            </w:pPr>
            <w:r>
              <w:rPr>
                <w:rFonts w:ascii="仿宋_GB2312" w:hAnsi="仿宋_GB2312" w:cs="仿宋_GB2312" w:eastAsia="仿宋_GB2312"/>
                <w:sz w:val="24"/>
              </w:rPr>
              <w:t>（</w:t>
            </w:r>
            <w:r>
              <w:rPr>
                <w:rFonts w:ascii="仿宋_GB2312" w:hAnsi="仿宋_GB2312" w:cs="仿宋_GB2312" w:eastAsia="仿宋_GB2312"/>
                <w:sz w:val="24"/>
              </w:rPr>
              <w:t>7）流量监控服务：主要是根据采集到的流量信息，从多个维度对数据进行分析得到的图表，来辅助用户快速的进行异常流量分析。流量占比分析是对会话信息及五元组信息进行统计，得出的单条会话信息流量占比饼图以及端口总流量TOP30的端口流量占比饼图，用户对流量占比的分析可以快速的定位异常流量对应的会话信息及相关应用；会话信息趋势展示功能是将会话每个时间段流量的增量进行统计换算，绘制出的流量以及流速随时间的变化趋势。通过该趋势图可辅助用户定位异常流量产生的大体时间范围；IP命中次数统计功能是分析流量五元组信息，统计五元组信息中每个IP地址的出现次数，并根据一定规则的计算得到每个IP的命中次数（即访问次数），用户可通过IP命中次数列表监测到有异常动作的IP地址，并提早发现隐患。</w:t>
            </w:r>
          </w:p>
          <w:p>
            <w:pPr>
              <w:pStyle w:val="null3"/>
              <w:ind w:firstLine="320"/>
              <w:jc w:val="both"/>
            </w:pPr>
            <w:r>
              <w:rPr>
                <w:rFonts w:ascii="仿宋_GB2312" w:hAnsi="仿宋_GB2312" w:cs="仿宋_GB2312" w:eastAsia="仿宋_GB2312"/>
                <w:sz w:val="24"/>
              </w:rPr>
              <w:t>（</w:t>
            </w:r>
            <w:r>
              <w:rPr>
                <w:rFonts w:ascii="仿宋_GB2312" w:hAnsi="仿宋_GB2312" w:cs="仿宋_GB2312" w:eastAsia="仿宋_GB2312"/>
                <w:sz w:val="24"/>
              </w:rPr>
              <w:t>8）网络拓扑服务：能够直观展示网元之间的关系，快速感知故障异常，自动发现网络结构变化，根据最佳视觉效果自动布局，多级下钻，映射资源之间的依赖关系。拓扑图上的网络节点可以展示监控资源的信息，可以显示链路信息指标链路名称、链路状态 、链路带宽、入流速、出流速等；也可以查看该链路和网络设备的具体信息，包括设备IP、设备中文名称、设备名称、设备当前告警和设备类型等。拓扑图中具有显示报警信息，通过点击可以实现报警信息的详细查看和处理。还可以根据时间，告警等级，告警设备进行分类查看。</w:t>
            </w:r>
          </w:p>
          <w:p>
            <w:pPr>
              <w:pStyle w:val="null3"/>
              <w:ind w:firstLine="480"/>
              <w:jc w:val="both"/>
            </w:pPr>
            <w:r>
              <w:rPr>
                <w:rFonts w:ascii="仿宋_GB2312" w:hAnsi="仿宋_GB2312" w:cs="仿宋_GB2312" w:eastAsia="仿宋_GB2312"/>
                <w:sz w:val="24"/>
              </w:rPr>
              <w:t>2.当前告警管理服务</w:t>
            </w:r>
          </w:p>
          <w:p>
            <w:pPr>
              <w:pStyle w:val="null3"/>
              <w:ind w:firstLine="480"/>
              <w:jc w:val="both"/>
            </w:pPr>
            <w:r>
              <w:rPr>
                <w:rFonts w:ascii="仿宋_GB2312" w:hAnsi="仿宋_GB2312" w:cs="仿宋_GB2312" w:eastAsia="仿宋_GB2312"/>
                <w:sz w:val="24"/>
              </w:rPr>
              <w:t>当前告警管理服务主要提供对当前所管理设备的未解决告警详情。主要包括：告警级别，主机名，设备</w:t>
            </w:r>
            <w:r>
              <w:rPr>
                <w:rFonts w:ascii="仿宋_GB2312" w:hAnsi="仿宋_GB2312" w:cs="仿宋_GB2312" w:eastAsia="仿宋_GB2312"/>
                <w:sz w:val="24"/>
              </w:rPr>
              <w:t>IP，告警详情，开始时间，告警类型等字段。系统</w:t>
            </w:r>
            <w:r>
              <w:rPr>
                <w:rFonts w:ascii="仿宋_GB2312" w:hAnsi="仿宋_GB2312" w:cs="仿宋_GB2312" w:eastAsia="仿宋_GB2312"/>
                <w:sz w:val="24"/>
              </w:rPr>
              <w:t>具有</w:t>
            </w:r>
            <w:r>
              <w:rPr>
                <w:rFonts w:ascii="仿宋_GB2312" w:hAnsi="仿宋_GB2312" w:cs="仿宋_GB2312" w:eastAsia="仿宋_GB2312"/>
                <w:sz w:val="24"/>
              </w:rPr>
              <w:t>按设备类型查找相应告警，点击后即完成按设备类型查询。可以对告警进行受理，需要填入告警类别，告警开关，确认内容等信息；也可以对该条告警所属设备进行签退（即进入维护状态），需要填写维护名称，维护开始时间，维护结束时间，描述等信息，在该时间段内，不对该设备进行数据采集，避免误告警。</w:t>
            </w:r>
          </w:p>
          <w:p>
            <w:pPr>
              <w:pStyle w:val="null3"/>
              <w:ind w:firstLine="480"/>
              <w:jc w:val="both"/>
            </w:pPr>
            <w:r>
              <w:rPr>
                <w:rFonts w:ascii="仿宋_GB2312" w:hAnsi="仿宋_GB2312" w:cs="仿宋_GB2312" w:eastAsia="仿宋_GB2312"/>
                <w:sz w:val="24"/>
              </w:rPr>
              <w:t>3.历史告警管理服务</w:t>
            </w:r>
          </w:p>
          <w:p>
            <w:pPr>
              <w:pStyle w:val="null3"/>
              <w:ind w:firstLine="480"/>
              <w:jc w:val="both"/>
            </w:pPr>
            <w:r>
              <w:rPr>
                <w:rFonts w:ascii="仿宋_GB2312" w:hAnsi="仿宋_GB2312" w:cs="仿宋_GB2312" w:eastAsia="仿宋_GB2312"/>
                <w:sz w:val="24"/>
              </w:rPr>
              <w:t>历史告警服务主要提供记录所管理设备的历史告警信息，即已解决的告警。主要包括：告警级别，主机名，设备</w:t>
            </w:r>
            <w:r>
              <w:rPr>
                <w:rFonts w:ascii="仿宋_GB2312" w:hAnsi="仿宋_GB2312" w:cs="仿宋_GB2312" w:eastAsia="仿宋_GB2312"/>
                <w:sz w:val="24"/>
              </w:rPr>
              <w:t>IP，告警详情，开始时间，结束时间，告警详情，受理人，受理时间，受理内容等字段。历史告警操作与当前告警类似，不同点在于查询条件增加了开始时间和结束时间两个条件，默认展示和导出一个月内的历史告警数据，查看和导出指定时间的历史数据需选择一个时间区间。</w:t>
            </w:r>
          </w:p>
          <w:p>
            <w:pPr>
              <w:pStyle w:val="null3"/>
              <w:ind w:firstLine="480"/>
              <w:jc w:val="both"/>
            </w:pPr>
            <w:r>
              <w:rPr>
                <w:rFonts w:ascii="仿宋_GB2312" w:hAnsi="仿宋_GB2312" w:cs="仿宋_GB2312" w:eastAsia="仿宋_GB2312"/>
                <w:sz w:val="24"/>
              </w:rPr>
              <w:t>4.告警策略配置服务</w:t>
            </w:r>
          </w:p>
          <w:p>
            <w:pPr>
              <w:pStyle w:val="null3"/>
              <w:ind w:firstLine="480"/>
              <w:jc w:val="both"/>
            </w:pPr>
            <w:r>
              <w:rPr>
                <w:rFonts w:ascii="仿宋_GB2312" w:hAnsi="仿宋_GB2312" w:cs="仿宋_GB2312" w:eastAsia="仿宋_GB2312"/>
                <w:sz w:val="24"/>
              </w:rPr>
              <w:t>告警策略配置服务提供定义在何种条件下触发告警以及如何处理告警，系统对于各种被监控的性能指标（如</w:t>
            </w:r>
            <w:r>
              <w:rPr>
                <w:rFonts w:ascii="仿宋_GB2312" w:hAnsi="仿宋_GB2312" w:cs="仿宋_GB2312" w:eastAsia="仿宋_GB2312"/>
                <w:sz w:val="24"/>
              </w:rPr>
              <w:t>CPU使用率、内存使用率、网络设备的端口流量等），可以设定阈值，阈值可以分为多个级别，系统</w:t>
            </w:r>
            <w:r>
              <w:rPr>
                <w:rFonts w:ascii="仿宋_GB2312" w:hAnsi="仿宋_GB2312" w:cs="仿宋_GB2312" w:eastAsia="仿宋_GB2312"/>
                <w:sz w:val="24"/>
              </w:rPr>
              <w:t>具有</w:t>
            </w:r>
            <w:r>
              <w:rPr>
                <w:rFonts w:ascii="仿宋_GB2312" w:hAnsi="仿宋_GB2312" w:cs="仿宋_GB2312" w:eastAsia="仿宋_GB2312"/>
                <w:sz w:val="24"/>
              </w:rPr>
              <w:t>告警压缩策略，基于对告警内容的分析和相似性判断，当多个告警在短时间内相继触发时，告警压缩机制会对这些告警进行分析，识别出它们是否是由同一根源问题引起的，对相似的告警进行整合，避免运维人员被大量重复的告警信息淹没。</w:t>
            </w:r>
          </w:p>
          <w:p>
            <w:pPr>
              <w:pStyle w:val="null3"/>
              <w:numPr>
                <w:ilvl w:val="4"/>
                <w:numId w:val="3"/>
              </w:numPr>
            </w:pPr>
            <w:r>
              <w:rPr>
                <w:rFonts w:ascii="仿宋_GB2312" w:hAnsi="仿宋_GB2312" w:cs="仿宋_GB2312" w:eastAsia="仿宋_GB2312"/>
                <w:sz w:val="24"/>
                <w:b/>
              </w:rPr>
              <w:t>统一工单管理服务</w:t>
            </w:r>
          </w:p>
          <w:p>
            <w:pPr>
              <w:pStyle w:val="null3"/>
              <w:ind w:firstLine="480"/>
              <w:jc w:val="both"/>
            </w:pPr>
            <w:r>
              <w:rPr>
                <w:rFonts w:ascii="仿宋_GB2312" w:hAnsi="仿宋_GB2312" w:cs="仿宋_GB2312" w:eastAsia="仿宋_GB2312"/>
                <w:sz w:val="24"/>
              </w:rPr>
              <w:t>通过搭建统一工单管理服务，统一用户侧各类运维场景下的工单处理流程，提升运维服务质量，建立标准化的运维工单和服务流程，包括事件管理、问题管理、变更管理等，确保问题得到及时有效的处理。建立统一运维服务台，将分散在不同部门和系统中的</w:t>
            </w:r>
            <w:r>
              <w:rPr>
                <w:rFonts w:ascii="仿宋_GB2312" w:hAnsi="仿宋_GB2312" w:cs="仿宋_GB2312" w:eastAsia="仿宋_GB2312"/>
                <w:sz w:val="24"/>
              </w:rPr>
              <w:t>IT 服务进行集中管理，实现统一的监控、调度和协调，提升工作效率。建立统一运维知识库，对日常运维当中的各类问题进行总结沉淀，实现知识共享，通过挖掘和激励员工的知识贡献来提升个体和团队的绩效，进而提高部门的整体效能。</w:t>
            </w:r>
          </w:p>
          <w:p>
            <w:pPr>
              <w:pStyle w:val="null3"/>
              <w:ind w:firstLine="480"/>
              <w:jc w:val="both"/>
            </w:pPr>
            <w:r>
              <w:rPr>
                <w:rFonts w:ascii="仿宋_GB2312" w:hAnsi="仿宋_GB2312" w:cs="仿宋_GB2312" w:eastAsia="仿宋_GB2312"/>
                <w:sz w:val="24"/>
              </w:rPr>
              <w:t>1.自定义流程设计服务</w:t>
            </w:r>
          </w:p>
          <w:p>
            <w:pPr>
              <w:pStyle w:val="null3"/>
              <w:ind w:firstLine="480"/>
              <w:jc w:val="both"/>
            </w:pPr>
            <w:r>
              <w:rPr>
                <w:rFonts w:ascii="仿宋_GB2312" w:hAnsi="仿宋_GB2312" w:cs="仿宋_GB2312" w:eastAsia="仿宋_GB2312"/>
                <w:sz w:val="24"/>
              </w:rPr>
              <w:t>服务基于</w:t>
            </w:r>
            <w:r>
              <w:rPr>
                <w:rFonts w:ascii="仿宋_GB2312" w:hAnsi="仿宋_GB2312" w:cs="仿宋_GB2312" w:eastAsia="仿宋_GB2312"/>
                <w:sz w:val="24"/>
              </w:rPr>
              <w:t>ITIL管理理念，</w:t>
            </w:r>
            <w:r>
              <w:rPr>
                <w:rFonts w:ascii="仿宋_GB2312" w:hAnsi="仿宋_GB2312" w:cs="仿宋_GB2312" w:eastAsia="仿宋_GB2312"/>
                <w:sz w:val="24"/>
              </w:rPr>
              <w:t>具有</w:t>
            </w:r>
            <w:r>
              <w:rPr>
                <w:rFonts w:ascii="仿宋_GB2312" w:hAnsi="仿宋_GB2312" w:cs="仿宋_GB2312" w:eastAsia="仿宋_GB2312"/>
                <w:sz w:val="24"/>
              </w:rPr>
              <w:t>流程的自定义设计，用户可以根据不同的制度和章程，设计不同的运维服务流程，并在后期进行自主调整，实现</w:t>
            </w:r>
            <w:r>
              <w:rPr>
                <w:rFonts w:ascii="仿宋_GB2312" w:hAnsi="仿宋_GB2312" w:cs="仿宋_GB2312" w:eastAsia="仿宋_GB2312"/>
                <w:sz w:val="24"/>
              </w:rPr>
              <w:t>“</w:t>
            </w:r>
            <w:r>
              <w:rPr>
                <w:rFonts w:ascii="仿宋_GB2312" w:hAnsi="仿宋_GB2312" w:cs="仿宋_GB2312" w:eastAsia="仿宋_GB2312"/>
                <w:sz w:val="24"/>
              </w:rPr>
              <w:t>因地制宜</w:t>
            </w:r>
            <w:r>
              <w:rPr>
                <w:rFonts w:ascii="仿宋_GB2312" w:hAnsi="仿宋_GB2312" w:cs="仿宋_GB2312" w:eastAsia="仿宋_GB2312"/>
                <w:sz w:val="24"/>
              </w:rPr>
              <w:t>”</w:t>
            </w:r>
            <w:r>
              <w:rPr>
                <w:rFonts w:ascii="仿宋_GB2312" w:hAnsi="仿宋_GB2312" w:cs="仿宋_GB2312" w:eastAsia="仿宋_GB2312"/>
                <w:sz w:val="24"/>
              </w:rPr>
              <w:t>的运维管理流程。</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1）流程统一管理服务</w:t>
            </w:r>
          </w:p>
          <w:p>
            <w:pPr>
              <w:pStyle w:val="null3"/>
              <w:ind w:firstLine="480"/>
              <w:jc w:val="both"/>
            </w:pPr>
            <w:r>
              <w:rPr>
                <w:rFonts w:ascii="仿宋_GB2312" w:hAnsi="仿宋_GB2312" w:cs="仿宋_GB2312" w:eastAsia="仿宋_GB2312"/>
                <w:sz w:val="24"/>
              </w:rPr>
              <w:t>服务提供所有流程的统一管理，将各类流程进行展示，并</w:t>
            </w:r>
            <w:r>
              <w:rPr>
                <w:rFonts w:ascii="仿宋_GB2312" w:hAnsi="仿宋_GB2312" w:cs="仿宋_GB2312" w:eastAsia="仿宋_GB2312"/>
                <w:sz w:val="24"/>
              </w:rPr>
              <w:t>具有</w:t>
            </w:r>
            <w:r>
              <w:rPr>
                <w:rFonts w:ascii="仿宋_GB2312" w:hAnsi="仿宋_GB2312" w:cs="仿宋_GB2312" w:eastAsia="仿宋_GB2312"/>
                <w:sz w:val="24"/>
              </w:rPr>
              <w:t>流程的编辑、部署、设计和删除等操作。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2）流程自定义服务</w:t>
            </w:r>
          </w:p>
          <w:p>
            <w:pPr>
              <w:pStyle w:val="null3"/>
              <w:ind w:firstLine="480"/>
              <w:jc w:val="both"/>
            </w:pPr>
            <w:r>
              <w:rPr>
                <w:rFonts w:ascii="仿宋_GB2312" w:hAnsi="仿宋_GB2312" w:cs="仿宋_GB2312" w:eastAsia="仿宋_GB2312"/>
                <w:sz w:val="24"/>
              </w:rPr>
              <w:t>具有</w:t>
            </w:r>
            <w:r>
              <w:rPr>
                <w:rFonts w:ascii="仿宋_GB2312" w:hAnsi="仿宋_GB2312" w:cs="仿宋_GB2312" w:eastAsia="仿宋_GB2312"/>
                <w:sz w:val="24"/>
              </w:rPr>
              <w:t>运维服务流程的个性化设计，可以在模型管理的流程设计操作自定义工单流转流程。可以新增、删除、修改工单流程，所有编辑操作均能通过自定义实现。</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3）流程发布管理服务</w:t>
            </w:r>
          </w:p>
          <w:p>
            <w:pPr>
              <w:pStyle w:val="null3"/>
              <w:ind w:firstLine="480"/>
              <w:jc w:val="both"/>
            </w:pPr>
            <w:r>
              <w:rPr>
                <w:rFonts w:ascii="仿宋_GB2312" w:hAnsi="仿宋_GB2312" w:cs="仿宋_GB2312" w:eastAsia="仿宋_GB2312"/>
                <w:sz w:val="24"/>
              </w:rPr>
              <w:t>流程发布服务可将配置好的模型进行发布，设置内容包括流程、流程管理员、流程全局读者、流程设计者、有权启动者和是否发布等内容。删除操作对该模型进行删除。发布成功的模型自动与设计好的流程进行匹配。</w:t>
            </w:r>
          </w:p>
          <w:p>
            <w:pPr>
              <w:pStyle w:val="null3"/>
              <w:ind w:firstLine="480"/>
              <w:jc w:val="both"/>
            </w:pPr>
            <w:r>
              <w:rPr>
                <w:rFonts w:ascii="仿宋_GB2312" w:hAnsi="仿宋_GB2312" w:cs="仿宋_GB2312" w:eastAsia="仿宋_GB2312"/>
                <w:sz w:val="24"/>
              </w:rPr>
              <w:t>2.工单自定义服务</w:t>
            </w:r>
          </w:p>
          <w:p>
            <w:pPr>
              <w:pStyle w:val="null3"/>
              <w:ind w:firstLine="480"/>
              <w:jc w:val="both"/>
            </w:pPr>
            <w:r>
              <w:rPr>
                <w:rFonts w:ascii="仿宋_GB2312" w:hAnsi="仿宋_GB2312" w:cs="仿宋_GB2312" w:eastAsia="仿宋_GB2312"/>
                <w:sz w:val="24"/>
              </w:rPr>
              <w:t>传统的</w:t>
            </w:r>
            <w:r>
              <w:rPr>
                <w:rFonts w:ascii="仿宋_GB2312" w:hAnsi="仿宋_GB2312" w:cs="仿宋_GB2312" w:eastAsia="仿宋_GB2312"/>
                <w:sz w:val="24"/>
              </w:rPr>
              <w:t>IT运维管理系统将表单固化，但是业务发展是日趋变化的，一旦发生业务内容的变化对应的IT运维表单也需要随之更新，一旦固化就需要通过二次开发的方式来解决，既增加了二次开发的运营成本，也增加了时间成本。</w:t>
            </w:r>
          </w:p>
          <w:p>
            <w:pPr>
              <w:pStyle w:val="null3"/>
              <w:ind w:firstLine="480"/>
              <w:jc w:val="both"/>
            </w:pPr>
            <w:r>
              <w:rPr>
                <w:rFonts w:ascii="仿宋_GB2312" w:hAnsi="仿宋_GB2312" w:cs="仿宋_GB2312" w:eastAsia="仿宋_GB2312"/>
                <w:sz w:val="24"/>
              </w:rPr>
              <w:t>工单自定义服务通过自定义表单引擎，实现了表单的自定义配置，用户通过拖拽表单，实现的表单的自定义。用户通过低代码的配置，实现表单的快速变更，提高运维效率。</w:t>
            </w:r>
          </w:p>
          <w:p>
            <w:pPr>
              <w:pStyle w:val="null3"/>
              <w:ind w:firstLine="480"/>
              <w:jc w:val="both"/>
            </w:pPr>
            <w:r>
              <w:rPr>
                <w:rFonts w:ascii="仿宋_GB2312" w:hAnsi="仿宋_GB2312" w:cs="仿宋_GB2312" w:eastAsia="仿宋_GB2312"/>
                <w:sz w:val="24"/>
              </w:rPr>
              <w:t>3.流程历史记录服务</w:t>
            </w:r>
          </w:p>
          <w:p>
            <w:pPr>
              <w:pStyle w:val="null3"/>
              <w:ind w:firstLine="480"/>
              <w:jc w:val="both"/>
            </w:pPr>
            <w:r>
              <w:rPr>
                <w:rFonts w:ascii="仿宋_GB2312" w:hAnsi="仿宋_GB2312" w:cs="仿宋_GB2312" w:eastAsia="仿宋_GB2312"/>
                <w:sz w:val="24"/>
              </w:rPr>
              <w:t>对于各类的流程，系统需要对其进行统一的管理，将流程的历史的各类信息进行记录。服务提供对流程发起历史进行查看，</w:t>
            </w:r>
            <w:r>
              <w:rPr>
                <w:rFonts w:ascii="仿宋_GB2312" w:hAnsi="仿宋_GB2312" w:cs="仿宋_GB2312" w:eastAsia="仿宋_GB2312"/>
                <w:sz w:val="24"/>
              </w:rPr>
              <w:t>具有</w:t>
            </w:r>
            <w:r>
              <w:rPr>
                <w:rFonts w:ascii="仿宋_GB2312" w:hAnsi="仿宋_GB2312" w:cs="仿宋_GB2312" w:eastAsia="仿宋_GB2312"/>
                <w:sz w:val="24"/>
              </w:rPr>
              <w:t>按名称查询流程实例，可以查看流程的编号、名称、版本、实例名称、流程状态、发起者、发起时间、结束时间以及操作，操作的内容包括查看流程节点、详细信息、变量以及删除流程历史。</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1）流程发起历史</w:t>
            </w:r>
          </w:p>
          <w:p>
            <w:pPr>
              <w:pStyle w:val="null3"/>
              <w:ind w:firstLine="480"/>
              <w:jc w:val="both"/>
            </w:pPr>
            <w:r>
              <w:rPr>
                <w:rFonts w:ascii="仿宋_GB2312" w:hAnsi="仿宋_GB2312" w:cs="仿宋_GB2312" w:eastAsia="仿宋_GB2312"/>
                <w:sz w:val="24"/>
              </w:rPr>
              <w:t>可以查看所有流程的发起历史，包括发起的时间、该流程当前的状态、流程的名称等信息，且能够对流程进行相应的编辑操作。包括查看流程详细信息，各个节点的变量信息。</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2）流程任务历史</w:t>
            </w:r>
          </w:p>
          <w:p>
            <w:pPr>
              <w:pStyle w:val="null3"/>
              <w:ind w:firstLine="480"/>
              <w:jc w:val="both"/>
            </w:pPr>
            <w:r>
              <w:rPr>
                <w:rFonts w:ascii="仿宋_GB2312" w:hAnsi="仿宋_GB2312" w:cs="仿宋_GB2312" w:eastAsia="仿宋_GB2312"/>
                <w:sz w:val="24"/>
              </w:rPr>
              <w:t>对于每个流程，都包含多个任务，需要对流程中各个任务进行查询。服务提供对流程任务历史进行查看，</w:t>
            </w:r>
            <w:r>
              <w:rPr>
                <w:rFonts w:ascii="仿宋_GB2312" w:hAnsi="仿宋_GB2312" w:cs="仿宋_GB2312" w:eastAsia="仿宋_GB2312"/>
                <w:sz w:val="24"/>
              </w:rPr>
              <w:t>具有</w:t>
            </w:r>
            <w:r>
              <w:rPr>
                <w:rFonts w:ascii="仿宋_GB2312" w:hAnsi="仿宋_GB2312" w:cs="仿宋_GB2312" w:eastAsia="仿宋_GB2312"/>
                <w:sz w:val="24"/>
              </w:rPr>
              <w:t>按名称查询历史流程，可以查看流程定义名称、任务名称、任务状态、开始时间、结束时间、流程详情，并可对该条历史进行删除操作。</w:t>
            </w:r>
          </w:p>
          <w:p>
            <w:pPr>
              <w:pStyle w:val="null3"/>
              <w:ind w:firstLine="480"/>
              <w:jc w:val="both"/>
            </w:pPr>
            <w:r>
              <w:rPr>
                <w:rFonts w:ascii="仿宋_GB2312" w:hAnsi="仿宋_GB2312" w:cs="仿宋_GB2312" w:eastAsia="仿宋_GB2312"/>
                <w:sz w:val="24"/>
              </w:rPr>
              <w:t>4.工单管理服务流程</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1）故障工单服务流程</w:t>
            </w:r>
          </w:p>
          <w:p>
            <w:pPr>
              <w:pStyle w:val="null3"/>
              <w:ind w:firstLine="480"/>
              <w:jc w:val="both"/>
            </w:pPr>
            <w:r>
              <w:rPr>
                <w:rFonts w:ascii="仿宋_GB2312" w:hAnsi="仿宋_GB2312" w:cs="仿宋_GB2312" w:eastAsia="仿宋_GB2312"/>
                <w:sz w:val="24"/>
              </w:rPr>
              <w:t>故障工单管理服务为用户提供可以选择内设的故障工单流程进行故障的申报、技术支持及反馈。通过该工单，可以高效的实现故障的处理与解决，提高整体的</w:t>
            </w:r>
            <w:r>
              <w:rPr>
                <w:rFonts w:ascii="仿宋_GB2312" w:hAnsi="仿宋_GB2312" w:cs="仿宋_GB2312" w:eastAsia="仿宋_GB2312"/>
                <w:sz w:val="24"/>
              </w:rPr>
              <w:t>IT运维服务效率。</w:t>
            </w:r>
          </w:p>
          <w:p>
            <w:pPr>
              <w:pStyle w:val="null3"/>
              <w:ind w:firstLine="480"/>
              <w:jc w:val="both"/>
            </w:pPr>
            <w:r>
              <w:rPr>
                <w:rFonts w:ascii="仿宋_GB2312" w:hAnsi="仿宋_GB2312" w:cs="仿宋_GB2312" w:eastAsia="仿宋_GB2312"/>
                <w:sz w:val="24"/>
              </w:rPr>
              <w:t>服务内置故障工单流程，故障工单可以依据该流程，实现工单的派发、驳回、处理等过程。在填写故障工单节点，故障的发现人或申报人对故障的信息进行填写；在制定方案节点，处理人基于故障工单的信息，指定相应的处理方案。</w:t>
            </w:r>
          </w:p>
          <w:p>
            <w:pPr>
              <w:pStyle w:val="null3"/>
              <w:ind w:firstLine="480"/>
              <w:jc w:val="both"/>
            </w:pPr>
            <w:r>
              <w:rPr>
                <w:rFonts w:ascii="仿宋_GB2312" w:hAnsi="仿宋_GB2312" w:cs="仿宋_GB2312" w:eastAsia="仿宋_GB2312"/>
                <w:sz w:val="24"/>
              </w:rPr>
              <w:t>1）填写故障工单</w:t>
            </w:r>
          </w:p>
          <w:p>
            <w:pPr>
              <w:pStyle w:val="null3"/>
              <w:ind w:firstLine="480"/>
              <w:jc w:val="both"/>
            </w:pPr>
            <w:r>
              <w:rPr>
                <w:rFonts w:ascii="仿宋_GB2312" w:hAnsi="仿宋_GB2312" w:cs="仿宋_GB2312" w:eastAsia="仿宋_GB2312"/>
                <w:sz w:val="24"/>
              </w:rPr>
              <w:t>当出现故障时间，用户可以通过填写工单表单提交相应的故障处理信息，如故障发生的时间、地点、现象、协办人等，同时可以制定相应的故障处理时限，保障故障能够在规定的时间内解决。</w:t>
            </w:r>
          </w:p>
          <w:p>
            <w:pPr>
              <w:pStyle w:val="null3"/>
              <w:ind w:firstLine="480"/>
              <w:jc w:val="both"/>
            </w:pPr>
            <w:r>
              <w:rPr>
                <w:rFonts w:ascii="仿宋_GB2312" w:hAnsi="仿宋_GB2312" w:cs="仿宋_GB2312" w:eastAsia="仿宋_GB2312"/>
                <w:sz w:val="24"/>
              </w:rPr>
              <w:t>填写完故障表单后，用户可以选择相应的处理人进行故障处理方案的制定，系统通过筛选相应的角色，将同类角色的人员都展示出来提供给用户选择。</w:t>
            </w:r>
          </w:p>
          <w:p>
            <w:pPr>
              <w:pStyle w:val="null3"/>
              <w:ind w:firstLine="480"/>
              <w:jc w:val="both"/>
            </w:pPr>
            <w:r>
              <w:rPr>
                <w:rFonts w:ascii="仿宋_GB2312" w:hAnsi="仿宋_GB2312" w:cs="仿宋_GB2312" w:eastAsia="仿宋_GB2312"/>
                <w:sz w:val="24"/>
              </w:rPr>
              <w:t>2）制定方案</w:t>
            </w:r>
          </w:p>
          <w:p>
            <w:pPr>
              <w:pStyle w:val="null3"/>
              <w:ind w:firstLine="480"/>
              <w:jc w:val="both"/>
            </w:pPr>
            <w:r>
              <w:rPr>
                <w:rFonts w:ascii="仿宋_GB2312" w:hAnsi="仿宋_GB2312" w:cs="仿宋_GB2312" w:eastAsia="仿宋_GB2312"/>
                <w:sz w:val="24"/>
              </w:rPr>
              <w:t>在制定方案节点，处理人根据工单表单的信息，制定相应的处理方案。</w:t>
            </w:r>
          </w:p>
          <w:p>
            <w:pPr>
              <w:pStyle w:val="null3"/>
              <w:ind w:firstLine="480"/>
              <w:jc w:val="both"/>
            </w:pPr>
            <w:r>
              <w:rPr>
                <w:rFonts w:ascii="仿宋_GB2312" w:hAnsi="仿宋_GB2312" w:cs="仿宋_GB2312" w:eastAsia="仿宋_GB2312"/>
                <w:sz w:val="24"/>
              </w:rPr>
              <w:t>处理方案分为两类，分别是故障报告和技术支持申请。若处理人可以直接对故障进行处理，则处理后填写故障报告即可。若无法处理，则填写相应的技术支持申请，选择技术人员对故障进行处理。</w:t>
            </w:r>
          </w:p>
          <w:p>
            <w:pPr>
              <w:pStyle w:val="null3"/>
              <w:ind w:firstLine="480"/>
              <w:jc w:val="both"/>
            </w:pPr>
            <w:r>
              <w:rPr>
                <w:rFonts w:ascii="仿宋_GB2312" w:hAnsi="仿宋_GB2312" w:cs="仿宋_GB2312" w:eastAsia="仿宋_GB2312"/>
                <w:sz w:val="24"/>
              </w:rPr>
              <w:t>3）接</w:t>
            </w:r>
            <w:r>
              <w:rPr>
                <w:rFonts w:ascii="仿宋_GB2312" w:hAnsi="仿宋_GB2312" w:cs="仿宋_GB2312" w:eastAsia="仿宋_GB2312"/>
                <w:sz w:val="24"/>
              </w:rPr>
              <w:t>收</w:t>
            </w:r>
            <w:r>
              <w:rPr>
                <w:rFonts w:ascii="仿宋_GB2312" w:hAnsi="仿宋_GB2312" w:cs="仿宋_GB2312" w:eastAsia="仿宋_GB2312"/>
                <w:sz w:val="24"/>
              </w:rPr>
              <w:t>认领工单并处理</w:t>
            </w:r>
          </w:p>
          <w:p>
            <w:pPr>
              <w:pStyle w:val="null3"/>
              <w:ind w:firstLine="480"/>
              <w:jc w:val="both"/>
            </w:pPr>
            <w:r>
              <w:rPr>
                <w:rFonts w:ascii="仿宋_GB2312" w:hAnsi="仿宋_GB2312" w:cs="仿宋_GB2312" w:eastAsia="仿宋_GB2312"/>
                <w:sz w:val="24"/>
              </w:rPr>
              <w:t>处理人选择技术支持申请后，工单会派发给相应地维保人员。维保人员接受该工单，并在线下进行相应的实施工作。维保人员可以看到制定方案人填写的相关表单及附件。在进行具体的实施工作后，需要填写工作日志。</w:t>
            </w:r>
          </w:p>
          <w:p>
            <w:pPr>
              <w:pStyle w:val="null3"/>
              <w:ind w:firstLine="480"/>
              <w:jc w:val="both"/>
            </w:pPr>
            <w:r>
              <w:rPr>
                <w:rFonts w:ascii="仿宋_GB2312" w:hAnsi="仿宋_GB2312" w:cs="仿宋_GB2312" w:eastAsia="仿宋_GB2312"/>
                <w:sz w:val="24"/>
              </w:rPr>
              <w:t>4）故障报告节点</w:t>
            </w:r>
          </w:p>
          <w:p>
            <w:pPr>
              <w:pStyle w:val="null3"/>
              <w:ind w:firstLine="480"/>
              <w:jc w:val="both"/>
            </w:pPr>
            <w:r>
              <w:rPr>
                <w:rFonts w:ascii="仿宋_GB2312" w:hAnsi="仿宋_GB2312" w:cs="仿宋_GB2312" w:eastAsia="仿宋_GB2312"/>
                <w:sz w:val="24"/>
              </w:rPr>
              <w:t>在故障报告节点，故障处理人对故障的完成情况进行总结，并填写相应的完工报告，报告故障产生的原因等，避免该故障的再次发生。</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业务组负责人</w:t>
            </w:r>
            <w:r>
              <w:rPr>
                <w:rFonts w:ascii="仿宋_GB2312" w:hAnsi="仿宋_GB2312" w:cs="仿宋_GB2312" w:eastAsia="仿宋_GB2312"/>
                <w:sz w:val="24"/>
              </w:rPr>
              <w:t>审核</w:t>
            </w:r>
          </w:p>
          <w:p>
            <w:pPr>
              <w:pStyle w:val="null3"/>
              <w:ind w:firstLine="480"/>
              <w:jc w:val="both"/>
            </w:pPr>
            <w:r>
              <w:rPr>
                <w:rFonts w:ascii="仿宋_GB2312" w:hAnsi="仿宋_GB2312" w:cs="仿宋_GB2312" w:eastAsia="仿宋_GB2312"/>
                <w:sz w:val="24"/>
              </w:rPr>
              <w:t>在业务组负责人节点，该问题负责的负责人对故障的处理情况进行查看，若满意本次故障处理过程则通过，否则驳回。</w:t>
            </w:r>
          </w:p>
          <w:p>
            <w:pPr>
              <w:pStyle w:val="null3"/>
              <w:ind w:firstLine="480"/>
              <w:jc w:val="both"/>
            </w:pPr>
            <w:r>
              <w:rPr>
                <w:rFonts w:ascii="仿宋_GB2312" w:hAnsi="仿宋_GB2312" w:cs="仿宋_GB2312" w:eastAsia="仿宋_GB2312"/>
                <w:sz w:val="24"/>
              </w:rPr>
              <w:t>6）故障管理员审核</w:t>
            </w:r>
          </w:p>
          <w:p>
            <w:pPr>
              <w:pStyle w:val="null3"/>
              <w:ind w:firstLine="480"/>
              <w:jc w:val="both"/>
            </w:pPr>
            <w:r>
              <w:rPr>
                <w:rFonts w:ascii="仿宋_GB2312" w:hAnsi="仿宋_GB2312" w:cs="仿宋_GB2312" w:eastAsia="仿宋_GB2312"/>
                <w:sz w:val="24"/>
              </w:rPr>
              <w:t>故障管理员对故障的情况进行记录归档，并在服务台进行关单处理。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2）变更工单服务流程</w:t>
            </w:r>
          </w:p>
          <w:p>
            <w:pPr>
              <w:pStyle w:val="null3"/>
              <w:ind w:firstLine="480"/>
              <w:jc w:val="both"/>
            </w:pPr>
            <w:r>
              <w:rPr>
                <w:rFonts w:ascii="仿宋_GB2312" w:hAnsi="仿宋_GB2312" w:cs="仿宋_GB2312" w:eastAsia="仿宋_GB2312"/>
                <w:sz w:val="24"/>
              </w:rPr>
              <w:t>1）填写变更发布工单表单</w:t>
            </w:r>
          </w:p>
          <w:p>
            <w:pPr>
              <w:pStyle w:val="null3"/>
              <w:ind w:firstLine="480"/>
              <w:jc w:val="both"/>
            </w:pPr>
            <w:r>
              <w:rPr>
                <w:rFonts w:ascii="仿宋_GB2312" w:hAnsi="仿宋_GB2312" w:cs="仿宋_GB2312" w:eastAsia="仿宋_GB2312"/>
                <w:sz w:val="24"/>
              </w:rPr>
              <w:t>申请人若需要进行变更申请，首先要填写相应的工单表单。在该表单中，建单人需要对变更的情况进行概述，同时对变更的影响、变更的计划时间、是否需要变更验收等情况进行填写。填写完成后，选择对应的变更处理人进行方案的制定。</w:t>
            </w:r>
          </w:p>
          <w:p>
            <w:pPr>
              <w:pStyle w:val="null3"/>
              <w:ind w:firstLine="480"/>
              <w:jc w:val="both"/>
            </w:pPr>
            <w:r>
              <w:rPr>
                <w:rFonts w:ascii="仿宋_GB2312" w:hAnsi="仿宋_GB2312" w:cs="仿宋_GB2312" w:eastAsia="仿宋_GB2312"/>
                <w:sz w:val="24"/>
              </w:rPr>
              <w:t>2）变更方案制定</w:t>
            </w:r>
          </w:p>
          <w:p>
            <w:pPr>
              <w:pStyle w:val="null3"/>
              <w:ind w:firstLine="480"/>
              <w:jc w:val="both"/>
            </w:pPr>
            <w:r>
              <w:rPr>
                <w:rFonts w:ascii="仿宋_GB2312" w:hAnsi="仿宋_GB2312" w:cs="仿宋_GB2312" w:eastAsia="仿宋_GB2312"/>
                <w:sz w:val="24"/>
              </w:rPr>
              <w:t>在制定方案节点，变更处理人针对申请人的情况，制定相应的变更处理方案，保证变更的有效实施，同时降低变更对生产的影响。处理人将变更的方案制定完成后，上传到系统中，并将工单流转到总监节点进行方案的审核。</w:t>
            </w:r>
          </w:p>
          <w:p>
            <w:pPr>
              <w:pStyle w:val="null3"/>
              <w:ind w:firstLine="480"/>
              <w:jc w:val="both"/>
            </w:pPr>
            <w:r>
              <w:rPr>
                <w:rFonts w:ascii="仿宋_GB2312" w:hAnsi="仿宋_GB2312" w:cs="仿宋_GB2312" w:eastAsia="仿宋_GB2312"/>
                <w:sz w:val="24"/>
              </w:rPr>
              <w:t>3）业务组负责人审核</w:t>
            </w:r>
          </w:p>
          <w:p>
            <w:pPr>
              <w:pStyle w:val="null3"/>
              <w:ind w:firstLine="480"/>
              <w:jc w:val="both"/>
            </w:pPr>
            <w:r>
              <w:rPr>
                <w:rFonts w:ascii="仿宋_GB2312" w:hAnsi="仿宋_GB2312" w:cs="仿宋_GB2312" w:eastAsia="仿宋_GB2312"/>
                <w:sz w:val="24"/>
              </w:rPr>
              <w:t>业务组的负责人对变更的方案进行审核，若审核通过，则将工单流转到</w:t>
            </w:r>
            <w:r>
              <w:rPr>
                <w:rFonts w:ascii="仿宋_GB2312" w:hAnsi="仿宋_GB2312" w:cs="仿宋_GB2312" w:eastAsia="仿宋_GB2312"/>
                <w:sz w:val="24"/>
              </w:rPr>
              <w:t>部门负责人</w:t>
            </w:r>
            <w:r>
              <w:rPr>
                <w:rFonts w:ascii="仿宋_GB2312" w:hAnsi="仿宋_GB2312" w:cs="仿宋_GB2312" w:eastAsia="仿宋_GB2312"/>
                <w:sz w:val="24"/>
              </w:rPr>
              <w:t>进行审核。</w:t>
            </w:r>
          </w:p>
          <w:p>
            <w:pPr>
              <w:pStyle w:val="null3"/>
              <w:ind w:firstLine="480"/>
              <w:jc w:val="both"/>
            </w:pPr>
            <w:r>
              <w:rPr>
                <w:rFonts w:ascii="仿宋_GB2312" w:hAnsi="仿宋_GB2312" w:cs="仿宋_GB2312" w:eastAsia="仿宋_GB2312"/>
                <w:sz w:val="24"/>
              </w:rPr>
              <w:t>4）部门负责人审批</w:t>
            </w:r>
          </w:p>
          <w:p>
            <w:pPr>
              <w:pStyle w:val="null3"/>
              <w:ind w:firstLine="480"/>
              <w:jc w:val="both"/>
            </w:pPr>
            <w:r>
              <w:rPr>
                <w:rFonts w:ascii="仿宋_GB2312" w:hAnsi="仿宋_GB2312" w:cs="仿宋_GB2312" w:eastAsia="仿宋_GB2312"/>
                <w:sz w:val="24"/>
              </w:rPr>
              <w:t>部门负责人</w:t>
            </w:r>
            <w:r>
              <w:rPr>
                <w:rFonts w:ascii="仿宋_GB2312" w:hAnsi="仿宋_GB2312" w:cs="仿宋_GB2312" w:eastAsia="仿宋_GB2312"/>
                <w:sz w:val="24"/>
              </w:rPr>
              <w:t>对变更的方案进行审核，若审核通过，则将工单流转到部门管理部门进行审核。</w:t>
            </w:r>
          </w:p>
          <w:p>
            <w:pPr>
              <w:pStyle w:val="null3"/>
              <w:ind w:firstLine="480"/>
              <w:jc w:val="both"/>
            </w:pPr>
            <w:r>
              <w:rPr>
                <w:rFonts w:ascii="仿宋_GB2312" w:hAnsi="仿宋_GB2312" w:cs="仿宋_GB2312" w:eastAsia="仿宋_GB2312"/>
                <w:sz w:val="24"/>
              </w:rPr>
              <w:t>5）执行人执行并填写完工报告</w:t>
            </w:r>
          </w:p>
          <w:p>
            <w:pPr>
              <w:pStyle w:val="null3"/>
              <w:ind w:firstLine="480"/>
              <w:jc w:val="both"/>
            </w:pPr>
            <w:r>
              <w:rPr>
                <w:rFonts w:ascii="仿宋_GB2312" w:hAnsi="仿宋_GB2312" w:cs="仿宋_GB2312" w:eastAsia="仿宋_GB2312"/>
                <w:sz w:val="24"/>
              </w:rPr>
              <w:t>执行人按照既定的方案进行实施，实施完成后填写完工报告，并将工单流转到建单人进行确认。完工报告包括施工的总时间、变更的内容、对业务的影响程度等。</w:t>
            </w:r>
          </w:p>
          <w:p>
            <w:pPr>
              <w:pStyle w:val="null3"/>
              <w:ind w:firstLine="480"/>
              <w:jc w:val="both"/>
            </w:pPr>
            <w:r>
              <w:rPr>
                <w:rFonts w:ascii="仿宋_GB2312" w:hAnsi="仿宋_GB2312" w:cs="仿宋_GB2312" w:eastAsia="仿宋_GB2312"/>
                <w:sz w:val="24"/>
              </w:rPr>
              <w:t>6）建单人确认</w:t>
            </w:r>
          </w:p>
          <w:p>
            <w:pPr>
              <w:pStyle w:val="null3"/>
              <w:ind w:firstLine="480"/>
              <w:jc w:val="both"/>
            </w:pPr>
            <w:r>
              <w:rPr>
                <w:rFonts w:ascii="仿宋_GB2312" w:hAnsi="仿宋_GB2312" w:cs="仿宋_GB2312" w:eastAsia="仿宋_GB2312"/>
                <w:sz w:val="24"/>
              </w:rPr>
              <w:t>建单人对执行情况进行确认，若确认无误后，将完工情况流转到部门经理，由部门经理再进行审批。</w:t>
            </w:r>
          </w:p>
          <w:p>
            <w:pPr>
              <w:pStyle w:val="null3"/>
              <w:ind w:firstLine="480"/>
              <w:jc w:val="both"/>
            </w:pPr>
            <w:r>
              <w:rPr>
                <w:rFonts w:ascii="仿宋_GB2312" w:hAnsi="仿宋_GB2312" w:cs="仿宋_GB2312" w:eastAsia="仿宋_GB2312"/>
                <w:sz w:val="24"/>
              </w:rPr>
              <w:t>7）部门负责人确认</w:t>
            </w:r>
          </w:p>
          <w:p>
            <w:pPr>
              <w:pStyle w:val="null3"/>
              <w:ind w:firstLine="480"/>
              <w:jc w:val="both"/>
            </w:pPr>
            <w:r>
              <w:rPr>
                <w:rFonts w:ascii="仿宋_GB2312" w:hAnsi="仿宋_GB2312" w:cs="仿宋_GB2312" w:eastAsia="仿宋_GB2312"/>
                <w:sz w:val="24"/>
              </w:rPr>
              <w:t>部门负责人对执行情况再次进行确认，若确认无误后，将对工单进行归档处理。</w:t>
            </w:r>
          </w:p>
          <w:p>
            <w:pPr>
              <w:pStyle w:val="null3"/>
              <w:ind w:firstLine="480"/>
              <w:jc w:val="both"/>
            </w:pPr>
            <w:r>
              <w:rPr>
                <w:rFonts w:ascii="仿宋_GB2312" w:hAnsi="仿宋_GB2312" w:cs="仿宋_GB2312" w:eastAsia="仿宋_GB2312"/>
                <w:sz w:val="24"/>
              </w:rPr>
              <w:t>8）接口人归档</w:t>
            </w:r>
          </w:p>
          <w:p>
            <w:pPr>
              <w:pStyle w:val="null3"/>
              <w:ind w:firstLine="480"/>
              <w:jc w:val="both"/>
            </w:pPr>
            <w:r>
              <w:rPr>
                <w:rFonts w:ascii="仿宋_GB2312" w:hAnsi="仿宋_GB2312" w:cs="仿宋_GB2312" w:eastAsia="仿宋_GB2312"/>
                <w:sz w:val="24"/>
              </w:rPr>
              <w:t>接口人对执行情况进行归档处理，保证变更执行过程的闭环。</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3）问题工单服务流程</w:t>
            </w:r>
          </w:p>
          <w:p>
            <w:pPr>
              <w:pStyle w:val="null3"/>
              <w:ind w:firstLine="480"/>
              <w:jc w:val="both"/>
            </w:pPr>
            <w:r>
              <w:rPr>
                <w:rFonts w:ascii="仿宋_GB2312" w:hAnsi="仿宋_GB2312" w:cs="仿宋_GB2312" w:eastAsia="仿宋_GB2312"/>
                <w:sz w:val="24"/>
              </w:rPr>
              <w:t>1）填写问题报告</w:t>
            </w:r>
          </w:p>
          <w:p>
            <w:pPr>
              <w:pStyle w:val="null3"/>
              <w:ind w:firstLine="480"/>
              <w:jc w:val="both"/>
            </w:pPr>
            <w:r>
              <w:rPr>
                <w:rFonts w:ascii="仿宋_GB2312" w:hAnsi="仿宋_GB2312" w:cs="仿宋_GB2312" w:eastAsia="仿宋_GB2312"/>
                <w:sz w:val="24"/>
              </w:rPr>
              <w:t>问题发现人发现问题后，若自身无法解决，需要填写问题工单，由专业的问题专家对问题进行处理。问题工单主要包括以下几个内容，如对问题的描述、问题发生的时间、问题的类型、问题的处理时限等。建单人填写给该工单后，将工单流转到问题管理员进行审核。</w:t>
            </w:r>
          </w:p>
          <w:p>
            <w:pPr>
              <w:pStyle w:val="null3"/>
              <w:ind w:firstLine="480"/>
              <w:jc w:val="both"/>
            </w:pPr>
            <w:r>
              <w:rPr>
                <w:rFonts w:ascii="仿宋_GB2312" w:hAnsi="仿宋_GB2312" w:cs="仿宋_GB2312" w:eastAsia="仿宋_GB2312"/>
                <w:sz w:val="24"/>
              </w:rPr>
              <w:t>2）问题管理员审核</w:t>
            </w:r>
          </w:p>
          <w:p>
            <w:pPr>
              <w:pStyle w:val="null3"/>
              <w:ind w:firstLine="480"/>
              <w:jc w:val="both"/>
            </w:pPr>
            <w:r>
              <w:rPr>
                <w:rFonts w:ascii="仿宋_GB2312" w:hAnsi="仿宋_GB2312" w:cs="仿宋_GB2312" w:eastAsia="仿宋_GB2312"/>
                <w:sz w:val="24"/>
              </w:rPr>
              <w:t>问题管理员对建单人的问题进行审核，若审核通过则选择问题专家对问题进行处理。</w:t>
            </w:r>
          </w:p>
          <w:p>
            <w:pPr>
              <w:pStyle w:val="null3"/>
              <w:ind w:firstLine="480"/>
              <w:jc w:val="both"/>
            </w:pPr>
            <w:r>
              <w:rPr>
                <w:rFonts w:ascii="仿宋_GB2312" w:hAnsi="仿宋_GB2312" w:cs="仿宋_GB2312" w:eastAsia="仿宋_GB2312"/>
                <w:sz w:val="24"/>
              </w:rPr>
              <w:t>3）技术专家处理问题</w:t>
            </w:r>
          </w:p>
          <w:p>
            <w:pPr>
              <w:pStyle w:val="null3"/>
              <w:ind w:firstLine="480"/>
              <w:jc w:val="both"/>
            </w:pPr>
            <w:r>
              <w:rPr>
                <w:rFonts w:ascii="仿宋_GB2312" w:hAnsi="仿宋_GB2312" w:cs="仿宋_GB2312" w:eastAsia="仿宋_GB2312"/>
                <w:sz w:val="24"/>
              </w:rPr>
              <w:t>技术专家根据工单的内容，对问题进行进一步的处理，根据专业知识，查找问题的来源，并流转到对应的系统责任人处理。</w:t>
            </w:r>
          </w:p>
          <w:p>
            <w:pPr>
              <w:pStyle w:val="null3"/>
              <w:ind w:firstLine="480"/>
              <w:jc w:val="both"/>
            </w:pPr>
            <w:r>
              <w:rPr>
                <w:rFonts w:ascii="仿宋_GB2312" w:hAnsi="仿宋_GB2312" w:cs="仿宋_GB2312" w:eastAsia="仿宋_GB2312"/>
                <w:sz w:val="24"/>
              </w:rPr>
              <w:t>4）系统责任人处理</w:t>
            </w:r>
          </w:p>
          <w:p>
            <w:pPr>
              <w:pStyle w:val="null3"/>
              <w:ind w:firstLine="480"/>
              <w:jc w:val="both"/>
            </w:pPr>
            <w:r>
              <w:rPr>
                <w:rFonts w:ascii="仿宋_GB2312" w:hAnsi="仿宋_GB2312" w:cs="仿宋_GB2312" w:eastAsia="仿宋_GB2312"/>
                <w:sz w:val="24"/>
              </w:rPr>
              <w:t>技术专家查找到问题的来源后，由相应的系统负责人对问题进行处理。针对技术专家提出的问题，责任人编写相关的处理方案。</w:t>
            </w:r>
          </w:p>
          <w:p>
            <w:pPr>
              <w:pStyle w:val="null3"/>
              <w:ind w:firstLine="480"/>
              <w:jc w:val="both"/>
            </w:pPr>
            <w:r>
              <w:rPr>
                <w:rFonts w:ascii="仿宋_GB2312" w:hAnsi="仿宋_GB2312" w:cs="仿宋_GB2312" w:eastAsia="仿宋_GB2312"/>
                <w:sz w:val="24"/>
              </w:rPr>
              <w:t>5）技术专家填写问题报告</w:t>
            </w:r>
          </w:p>
          <w:p>
            <w:pPr>
              <w:pStyle w:val="null3"/>
              <w:ind w:firstLine="480"/>
              <w:jc w:val="both"/>
            </w:pPr>
            <w:r>
              <w:rPr>
                <w:rFonts w:ascii="仿宋_GB2312" w:hAnsi="仿宋_GB2312" w:cs="仿宋_GB2312" w:eastAsia="仿宋_GB2312"/>
                <w:sz w:val="24"/>
              </w:rPr>
              <w:t>系统责任人处理完成并编制处理方案后，由技术专家进行根据该方案对问题进行处理。</w:t>
            </w:r>
          </w:p>
          <w:p>
            <w:pPr>
              <w:pStyle w:val="null3"/>
              <w:ind w:firstLine="480"/>
              <w:jc w:val="both"/>
            </w:pPr>
            <w:r>
              <w:rPr>
                <w:rFonts w:ascii="仿宋_GB2312" w:hAnsi="仿宋_GB2312" w:cs="仿宋_GB2312" w:eastAsia="仿宋_GB2312"/>
                <w:sz w:val="24"/>
              </w:rPr>
              <w:t>技术专家完成后，为保证下一次不再出现该问题，或者能够更加快捷的解决问题，需要填写问题报告。其内容主要包括处理的时间、当前该问题的状态等信息。</w:t>
            </w:r>
          </w:p>
          <w:p>
            <w:pPr>
              <w:pStyle w:val="null3"/>
              <w:ind w:firstLine="480"/>
              <w:jc w:val="both"/>
            </w:pPr>
            <w:r>
              <w:rPr>
                <w:rFonts w:ascii="仿宋_GB2312" w:hAnsi="仿宋_GB2312" w:cs="仿宋_GB2312" w:eastAsia="仿宋_GB2312"/>
                <w:sz w:val="24"/>
              </w:rPr>
              <w:t>6）问题管理员填写问题报告</w:t>
            </w:r>
          </w:p>
          <w:p>
            <w:pPr>
              <w:pStyle w:val="null3"/>
              <w:ind w:firstLine="480"/>
              <w:jc w:val="both"/>
            </w:pPr>
            <w:r>
              <w:rPr>
                <w:rFonts w:ascii="仿宋_GB2312" w:hAnsi="仿宋_GB2312" w:cs="仿宋_GB2312" w:eastAsia="仿宋_GB2312"/>
                <w:sz w:val="24"/>
              </w:rPr>
              <w:t>问题管理员对整个问题处理流程进行审核，若审核无误可进行相应的归档工作，保证问题处理的闭环。</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4）服务请求工单服务流程</w:t>
            </w:r>
          </w:p>
          <w:p>
            <w:pPr>
              <w:pStyle w:val="null3"/>
              <w:ind w:firstLine="480"/>
              <w:jc w:val="both"/>
            </w:pPr>
            <w:r>
              <w:rPr>
                <w:rFonts w:ascii="仿宋_GB2312" w:hAnsi="仿宋_GB2312" w:cs="仿宋_GB2312" w:eastAsia="仿宋_GB2312"/>
                <w:sz w:val="24"/>
              </w:rPr>
              <w:t>1）建单人提交服务请求工单</w:t>
            </w:r>
          </w:p>
          <w:p>
            <w:pPr>
              <w:pStyle w:val="null3"/>
              <w:ind w:firstLine="480"/>
              <w:jc w:val="both"/>
            </w:pPr>
            <w:r>
              <w:rPr>
                <w:rFonts w:ascii="仿宋_GB2312" w:hAnsi="仿宋_GB2312" w:cs="仿宋_GB2312" w:eastAsia="仿宋_GB2312"/>
                <w:sz w:val="24"/>
              </w:rPr>
              <w:t>建单人填写相应的服务请求工单，服务请求工单的内容主要包括所需要提供服务的客户系统的信息、维保的对象以及需要提供服务的内容，完成后流转到相应的维保人员进行处理，或提交给总监进行审核。</w:t>
            </w:r>
          </w:p>
          <w:p>
            <w:pPr>
              <w:pStyle w:val="null3"/>
              <w:ind w:firstLine="480"/>
              <w:jc w:val="both"/>
            </w:pPr>
            <w:r>
              <w:rPr>
                <w:rFonts w:ascii="仿宋_GB2312" w:hAnsi="仿宋_GB2312" w:cs="仿宋_GB2312" w:eastAsia="仿宋_GB2312"/>
                <w:sz w:val="24"/>
              </w:rPr>
              <w:t>2）审批环节</w:t>
            </w:r>
          </w:p>
          <w:p>
            <w:pPr>
              <w:pStyle w:val="null3"/>
              <w:ind w:firstLine="480"/>
              <w:jc w:val="both"/>
            </w:pPr>
            <w:r>
              <w:rPr>
                <w:rFonts w:ascii="仿宋_GB2312" w:hAnsi="仿宋_GB2312" w:cs="仿宋_GB2312" w:eastAsia="仿宋_GB2312"/>
                <w:sz w:val="24"/>
              </w:rPr>
              <w:t>若是单次维保服务，需要总监及厂商管理员、技术组长进行相应的审批工作，否则直接由维保工程师进行处理。</w:t>
            </w:r>
          </w:p>
          <w:p>
            <w:pPr>
              <w:pStyle w:val="null3"/>
              <w:ind w:firstLine="480"/>
              <w:jc w:val="both"/>
            </w:pPr>
            <w:r>
              <w:rPr>
                <w:rFonts w:ascii="仿宋_GB2312" w:hAnsi="仿宋_GB2312" w:cs="仿宋_GB2312" w:eastAsia="仿宋_GB2312"/>
                <w:sz w:val="24"/>
              </w:rPr>
              <w:t>3）维保工程师</w:t>
            </w:r>
          </w:p>
          <w:p>
            <w:pPr>
              <w:pStyle w:val="null3"/>
              <w:ind w:firstLine="480"/>
              <w:jc w:val="both"/>
            </w:pPr>
            <w:r>
              <w:rPr>
                <w:rFonts w:ascii="仿宋_GB2312" w:hAnsi="仿宋_GB2312" w:cs="仿宋_GB2312" w:eastAsia="仿宋_GB2312"/>
                <w:sz w:val="24"/>
              </w:rPr>
              <w:t>维保工程师接到工单后，按照服务工单的要求，提供相应的维保服务。若在服务的过程中需要使用备品备件的相关信息，可以申请备品备件的出库，并能在维保服务详情的备件使用记录中查看到备件的调用情况。</w:t>
            </w:r>
          </w:p>
          <w:p>
            <w:pPr>
              <w:pStyle w:val="null3"/>
              <w:ind w:firstLine="480"/>
              <w:jc w:val="both"/>
            </w:pPr>
            <w:r>
              <w:rPr>
                <w:rFonts w:ascii="仿宋_GB2312" w:hAnsi="仿宋_GB2312" w:cs="仿宋_GB2312" w:eastAsia="仿宋_GB2312"/>
                <w:sz w:val="24"/>
              </w:rPr>
              <w:t>同工作日志一样，在完成维保服务后，相应的维保人员也要填写相应的维保工作日志。</w:t>
            </w:r>
          </w:p>
          <w:p>
            <w:pPr>
              <w:pStyle w:val="null3"/>
              <w:ind w:firstLine="480"/>
              <w:jc w:val="both"/>
            </w:pPr>
            <w:r>
              <w:rPr>
                <w:rFonts w:ascii="仿宋_GB2312" w:hAnsi="仿宋_GB2312" w:cs="仿宋_GB2312" w:eastAsia="仿宋_GB2312"/>
                <w:sz w:val="24"/>
              </w:rPr>
              <w:t>4）建单人确认</w:t>
            </w:r>
          </w:p>
          <w:p>
            <w:pPr>
              <w:pStyle w:val="null3"/>
              <w:ind w:firstLine="480"/>
              <w:jc w:val="both"/>
            </w:pPr>
            <w:r>
              <w:rPr>
                <w:rFonts w:ascii="仿宋_GB2312" w:hAnsi="仿宋_GB2312" w:cs="仿宋_GB2312" w:eastAsia="仿宋_GB2312"/>
                <w:sz w:val="24"/>
              </w:rPr>
              <w:t>在完成相应的服务后，建单人对服务过程进行确认，若服务满意则可进行归档处理。</w:t>
            </w:r>
          </w:p>
          <w:p>
            <w:pPr>
              <w:pStyle w:val="null3"/>
              <w:ind w:firstLine="480"/>
              <w:jc w:val="both"/>
            </w:pPr>
            <w:r>
              <w:rPr>
                <w:rFonts w:ascii="仿宋_GB2312" w:hAnsi="仿宋_GB2312" w:cs="仿宋_GB2312" w:eastAsia="仿宋_GB2312"/>
                <w:sz w:val="24"/>
              </w:rPr>
              <w:t>5.值班管理服务</w:t>
            </w:r>
          </w:p>
          <w:p>
            <w:pPr>
              <w:pStyle w:val="null3"/>
              <w:ind w:firstLine="480"/>
              <w:jc w:val="both"/>
            </w:pPr>
            <w:r>
              <w:rPr>
                <w:rFonts w:ascii="仿宋_GB2312" w:hAnsi="仿宋_GB2312" w:cs="仿宋_GB2312" w:eastAsia="仿宋_GB2312"/>
                <w:sz w:val="24"/>
              </w:rPr>
              <w:t>值班管理服务提供对运维人员综合性的值班排班管理能力，包括值班室管理、值班组管理、班次管理和手动排班。</w:t>
            </w:r>
          </w:p>
          <w:p>
            <w:pPr>
              <w:pStyle w:val="null3"/>
              <w:ind w:firstLine="480"/>
              <w:jc w:val="both"/>
            </w:pPr>
            <w:r>
              <w:rPr>
                <w:rFonts w:ascii="仿宋_GB2312" w:hAnsi="仿宋_GB2312" w:cs="仿宋_GB2312" w:eastAsia="仿宋_GB2312"/>
                <w:sz w:val="24"/>
              </w:rPr>
              <w:t>值班室管理服务展示当前所有的值班室信息，提供多种检索方式对值班室进行搜索，能够直观的查看值班室的名称、管理员、值班室地点等情况，值班室的新增功能主要包括值班室的名称、值班室地点、值班室所属的责任部门以及是否启用该值班室等内容。</w:t>
            </w:r>
          </w:p>
          <w:p>
            <w:pPr>
              <w:pStyle w:val="null3"/>
              <w:ind w:firstLine="480"/>
              <w:jc w:val="both"/>
            </w:pPr>
            <w:r>
              <w:rPr>
                <w:rFonts w:ascii="仿宋_GB2312" w:hAnsi="仿宋_GB2312" w:cs="仿宋_GB2312" w:eastAsia="仿宋_GB2312"/>
                <w:sz w:val="24"/>
              </w:rPr>
              <w:t>6.作业计划管理服务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1）年度作业计划管理服务</w:t>
            </w:r>
          </w:p>
          <w:p>
            <w:pPr>
              <w:pStyle w:val="null3"/>
              <w:ind w:firstLine="480"/>
              <w:jc w:val="both"/>
            </w:pPr>
            <w:r>
              <w:rPr>
                <w:rFonts w:ascii="仿宋_GB2312" w:hAnsi="仿宋_GB2312" w:cs="仿宋_GB2312" w:eastAsia="仿宋_GB2312"/>
                <w:sz w:val="24"/>
              </w:rPr>
              <w:t>根据制定人基于本年度的要求，进行年度作业计划的编制。用户可以在面板上新建、查询作业计划。新建年度计划可按年份对要进行的作业进行新建；看板可按年份查看年度作业计划，对于每项作业计划，可查看其作业信息和要进行的作业项。对于已配置完成的年度作业计划，系统</w:t>
            </w:r>
            <w:r>
              <w:rPr>
                <w:rFonts w:ascii="仿宋_GB2312" w:hAnsi="仿宋_GB2312" w:cs="仿宋_GB2312" w:eastAsia="仿宋_GB2312"/>
                <w:sz w:val="24"/>
              </w:rPr>
              <w:t>具有</w:t>
            </w:r>
            <w:r>
              <w:rPr>
                <w:rFonts w:ascii="仿宋_GB2312" w:hAnsi="仿宋_GB2312" w:cs="仿宋_GB2312" w:eastAsia="仿宋_GB2312"/>
                <w:sz w:val="24"/>
              </w:rPr>
              <w:t>全年的作业计划的查看，年度作业计划查询可按年份、所属系统、计划状态、所属组对年度作业计划进行查看。</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2）月度作业计划管理服务</w:t>
            </w:r>
          </w:p>
          <w:p>
            <w:pPr>
              <w:pStyle w:val="null3"/>
              <w:ind w:firstLine="480"/>
              <w:jc w:val="both"/>
            </w:pPr>
            <w:r>
              <w:rPr>
                <w:rFonts w:ascii="仿宋_GB2312" w:hAnsi="仿宋_GB2312" w:cs="仿宋_GB2312" w:eastAsia="仿宋_GB2312"/>
                <w:sz w:val="24"/>
              </w:rPr>
              <w:t>提供根据具体系统的具体作业项进行月度作业计划配置，根据年度作业计划中每月计划的情况，自动的生成排班列表，同时可以通过拖拽的方式选择特定的人员进行作业项的执行。在月度作业计划看板内可以看到配置好的月度作业计划，月度作业计划查询页面可按查询年份、查询月份、所属系统、计划状态、所属组对月度作业计划进行查询。</w:t>
            </w:r>
          </w:p>
          <w:p>
            <w:pPr>
              <w:pStyle w:val="null3"/>
              <w:ind w:firstLine="480"/>
              <w:jc w:val="both"/>
            </w:pPr>
            <w:r>
              <w:rPr>
                <w:rFonts w:ascii="仿宋_GB2312" w:hAnsi="仿宋_GB2312" w:cs="仿宋_GB2312" w:eastAsia="仿宋_GB2312"/>
                <w:sz w:val="24"/>
              </w:rPr>
              <w:t>7.运维知识库管理服务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）知识查询服务</w:t>
            </w:r>
          </w:p>
          <w:p>
            <w:pPr>
              <w:pStyle w:val="null3"/>
              <w:ind w:firstLine="480"/>
              <w:jc w:val="both"/>
            </w:pPr>
            <w:r>
              <w:rPr>
                <w:rFonts w:ascii="仿宋_GB2312" w:hAnsi="仿宋_GB2312" w:cs="仿宋_GB2312" w:eastAsia="仿宋_GB2312"/>
                <w:sz w:val="24"/>
              </w:rPr>
              <w:t>进入知识库后，在首页可以快捷的查看近期的知识情况。服务提供按照时间顺序展示知识库中所有知识，也可以通过选择上方的导航栏，快捷的查看分类下的相关知识。并可以通过关键字检索的方式，查找知识库中的相关知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2）知识新建服务</w:t>
            </w:r>
          </w:p>
          <w:p>
            <w:pPr>
              <w:pStyle w:val="null3"/>
              <w:ind w:firstLine="480"/>
              <w:jc w:val="both"/>
            </w:pPr>
            <w:r>
              <w:rPr>
                <w:rFonts w:ascii="仿宋_GB2312" w:hAnsi="仿宋_GB2312" w:cs="仿宋_GB2312" w:eastAsia="仿宋_GB2312"/>
                <w:sz w:val="24"/>
              </w:rPr>
              <w:t>系统可以方便的对知识进行排版，插入相关的链接、图片、音频及附件等，全方位的对知识进行记录。同时提供标签功能，为知识添加相应的标签，方便知识的管理。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3）知识审核服务</w:t>
            </w:r>
          </w:p>
          <w:p>
            <w:pPr>
              <w:pStyle w:val="null3"/>
              <w:ind w:firstLine="480"/>
              <w:jc w:val="both"/>
            </w:pPr>
            <w:r>
              <w:rPr>
                <w:rFonts w:ascii="仿宋_GB2312" w:hAnsi="仿宋_GB2312" w:cs="仿宋_GB2312" w:eastAsia="仿宋_GB2312"/>
                <w:sz w:val="24"/>
              </w:rPr>
              <w:t>对于用户提交的知识，为保证该知识的合规性，需要进行知识的审核。</w:t>
            </w:r>
            <w:r>
              <w:rPr>
                <w:rFonts w:ascii="仿宋_GB2312" w:hAnsi="仿宋_GB2312" w:cs="仿宋_GB2312" w:eastAsia="仿宋_GB2312"/>
                <w:sz w:val="24"/>
              </w:rPr>
              <w:t>具有</w:t>
            </w:r>
            <w:r>
              <w:rPr>
                <w:rFonts w:ascii="仿宋_GB2312" w:hAnsi="仿宋_GB2312" w:cs="仿宋_GB2312" w:eastAsia="仿宋_GB2312"/>
                <w:sz w:val="24"/>
              </w:rPr>
              <w:t>对每一条知识按照设计的流程进行审核。可以在系统中查看知识的审核情况，审核完成后会展示在知识库中。</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）知识标签管理服务</w:t>
            </w:r>
          </w:p>
          <w:p>
            <w:pPr>
              <w:pStyle w:val="null3"/>
              <w:ind w:firstLine="480"/>
              <w:jc w:val="both"/>
            </w:pPr>
            <w:r>
              <w:rPr>
                <w:rFonts w:ascii="仿宋_GB2312" w:hAnsi="仿宋_GB2312" w:cs="仿宋_GB2312" w:eastAsia="仿宋_GB2312"/>
                <w:sz w:val="24"/>
              </w:rPr>
              <w:t>为了方便知识的管理，知识库管理员可以配置多个知识标签，用户在填写知识时，可以为知识选择多个相应的标签。</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）知识分类列表管理服务</w:t>
            </w:r>
          </w:p>
          <w:p>
            <w:pPr>
              <w:pStyle w:val="null3"/>
              <w:ind w:firstLine="480"/>
              <w:jc w:val="both"/>
            </w:pPr>
            <w:r>
              <w:rPr>
                <w:rFonts w:ascii="仿宋_GB2312" w:hAnsi="仿宋_GB2312" w:cs="仿宋_GB2312" w:eastAsia="仿宋_GB2312"/>
                <w:sz w:val="24"/>
              </w:rPr>
              <w:t>为了方便知识的管理，知识库管理员可以配置多个知识分类，用户在填写知识时，可以将知识选择为相应的类别。</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）知识统计服务</w:t>
            </w:r>
          </w:p>
          <w:p>
            <w:pPr>
              <w:pStyle w:val="null3"/>
              <w:ind w:firstLine="480"/>
              <w:jc w:val="both"/>
            </w:pPr>
            <w:r>
              <w:rPr>
                <w:rFonts w:ascii="仿宋_GB2312" w:hAnsi="仿宋_GB2312" w:cs="仿宋_GB2312" w:eastAsia="仿宋_GB2312"/>
                <w:sz w:val="24"/>
              </w:rPr>
              <w:t>为了能快捷的了解当前知识库中各类知识的情况，提供了知识统计功能，可以将近期的知识发布情况、浏览情况、故障转化知识数量、知识发布合规量等指标进行展示，也可以进行动态的配置。</w:t>
            </w:r>
          </w:p>
          <w:p>
            <w:pPr>
              <w:pStyle w:val="null3"/>
              <w:numPr>
                <w:ilvl w:val="4"/>
                <w:numId w:val="3"/>
              </w:numPr>
            </w:pPr>
            <w:r>
              <w:rPr>
                <w:rFonts w:ascii="仿宋_GB2312" w:hAnsi="仿宋_GB2312" w:cs="仿宋_GB2312" w:eastAsia="仿宋_GB2312"/>
                <w:sz w:val="24"/>
                <w:b/>
              </w:rPr>
              <w:t>机房可视管理服务</w:t>
            </w:r>
          </w:p>
          <w:p>
            <w:pPr>
              <w:pStyle w:val="null3"/>
              <w:ind w:firstLine="480"/>
              <w:jc w:val="both"/>
            </w:pPr>
            <w:r>
              <w:rPr>
                <w:rFonts w:ascii="仿宋_GB2312" w:hAnsi="仿宋_GB2312" w:cs="仿宋_GB2312" w:eastAsia="仿宋_GB2312"/>
                <w:sz w:val="24"/>
              </w:rPr>
              <w:t>机房可视管理服务</w:t>
            </w:r>
            <w:r>
              <w:rPr>
                <w:rFonts w:ascii="仿宋_GB2312" w:hAnsi="仿宋_GB2312" w:cs="仿宋_GB2312" w:eastAsia="仿宋_GB2312"/>
                <w:sz w:val="24"/>
              </w:rPr>
              <w:t>的目标是对机房的全方位监控与管理，实现资产管理可视化、故障检测与预警，提高运维效率与智能化水平、降低人工成本与风险。</w:t>
            </w:r>
          </w:p>
          <w:p>
            <w:pPr>
              <w:pStyle w:val="null3"/>
              <w:ind w:firstLine="480"/>
              <w:jc w:val="both"/>
            </w:pPr>
            <w:r>
              <w:rPr>
                <w:rFonts w:ascii="仿宋_GB2312" w:hAnsi="仿宋_GB2312" w:cs="仿宋_GB2312" w:eastAsia="仿宋_GB2312"/>
                <w:sz w:val="24"/>
              </w:rPr>
              <w:t>大屏可视化展示与决策支持：该服务通常配备大屏可视化界面，将机房内的各种监控要素以图形化的方式展示在屏幕上。通过实时状态展示、历史数据查询以及数据分析与报表等功能，运维人员可以直观地了解机房的整体运行情况，及时发现并处理潜在问题。同时，大屏可视化界面还可以为管理层提供决策支持，帮助他们更好地了解机房的运行状况并做出科学决策。</w:t>
            </w:r>
          </w:p>
          <w:p>
            <w:pPr>
              <w:pStyle w:val="null3"/>
              <w:ind w:firstLine="480"/>
              <w:jc w:val="both"/>
            </w:pPr>
            <w:r>
              <w:rPr>
                <w:rFonts w:ascii="仿宋_GB2312" w:hAnsi="仿宋_GB2312" w:cs="仿宋_GB2312" w:eastAsia="仿宋_GB2312"/>
                <w:sz w:val="24"/>
              </w:rPr>
              <w:t>1、机房模型服务</w:t>
            </w:r>
          </w:p>
          <w:p>
            <w:pPr>
              <w:pStyle w:val="null3"/>
              <w:ind w:firstLine="480"/>
              <w:jc w:val="both"/>
            </w:pPr>
            <w:r>
              <w:rPr>
                <w:rFonts w:ascii="仿宋_GB2312" w:hAnsi="仿宋_GB2312" w:cs="仿宋_GB2312" w:eastAsia="仿宋_GB2312"/>
                <w:sz w:val="24"/>
              </w:rPr>
              <w:t>提供市级政务数据中心（凤八节点）核心资产空间模型环境服务，包括机房区域布局、消防、</w:t>
            </w:r>
            <w:r>
              <w:rPr>
                <w:rFonts w:ascii="仿宋_GB2312" w:hAnsi="仿宋_GB2312" w:cs="仿宋_GB2312" w:eastAsia="仿宋_GB2312"/>
                <w:sz w:val="24"/>
              </w:rPr>
              <w:t>UPS、服务器、交换机、网络设备等。消防设施包含在用感知感温探测器点位、灭火器、灭火剂、呼吸器的区域分布点位；机柜包含在用的设备机柜、列头柜三维模型；动环监控所接设备的点位；UPS主机点位及三维模型；网络设备点位；在用服务器及存储的三维模型。定期更新机房区域范围内的场景布局及硬件设备点位及三维模型</w:t>
            </w:r>
            <w:r>
              <w:rPr>
                <w:rFonts w:ascii="仿宋_GB2312" w:hAnsi="仿宋_GB2312" w:cs="仿宋_GB2312" w:eastAsia="仿宋_GB2312"/>
                <w:sz w:val="24"/>
              </w:rPr>
              <w:t>。机房数字孪生模型服务按照宏观、中观、微观的划分，体现不同层次的细节和管理需求。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1）机房宏观模型服务</w:t>
            </w:r>
          </w:p>
          <w:p>
            <w:pPr>
              <w:pStyle w:val="null3"/>
              <w:ind w:firstLine="480"/>
              <w:jc w:val="both"/>
            </w:pPr>
            <w:r>
              <w:rPr>
                <w:rFonts w:ascii="仿宋_GB2312" w:hAnsi="仿宋_GB2312" w:cs="仿宋_GB2312" w:eastAsia="仿宋_GB2312"/>
                <w:sz w:val="24"/>
              </w:rPr>
              <w:t>提供机房在整体环境、位置和布局模型服务，包括：市级政务数据中心（凤八节点</w:t>
            </w:r>
            <w:r>
              <w:rPr>
                <w:rFonts w:ascii="仿宋_GB2312" w:hAnsi="仿宋_GB2312" w:cs="仿宋_GB2312" w:eastAsia="仿宋_GB2312"/>
                <w:sz w:val="24"/>
              </w:rPr>
              <w:t>）</w:t>
            </w:r>
            <w:r>
              <w:rPr>
                <w:rFonts w:ascii="仿宋_GB2312" w:hAnsi="仿宋_GB2312" w:cs="仿宋_GB2312" w:eastAsia="仿宋_GB2312"/>
                <w:sz w:val="24"/>
              </w:rPr>
              <w:t>设施的相对关系。</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2）机房中观模型服务</w:t>
            </w:r>
          </w:p>
          <w:p>
            <w:pPr>
              <w:pStyle w:val="null3"/>
              <w:ind w:firstLine="480"/>
              <w:jc w:val="both"/>
            </w:pPr>
            <w:r>
              <w:rPr>
                <w:rFonts w:ascii="仿宋_GB2312" w:hAnsi="仿宋_GB2312" w:cs="仿宋_GB2312" w:eastAsia="仿宋_GB2312"/>
                <w:sz w:val="24"/>
              </w:rPr>
              <w:t>提供市级政务数据中心（凤八节点）机房内部的整体布局和关键设施模型，包括机房内部的各个区域分布模型，如设备区、操作区、存储区等，突出显示机柜、</w:t>
            </w:r>
            <w:r>
              <w:rPr>
                <w:rFonts w:ascii="仿宋_GB2312" w:hAnsi="仿宋_GB2312" w:cs="仿宋_GB2312" w:eastAsia="仿宋_GB2312"/>
                <w:sz w:val="24"/>
              </w:rPr>
              <w:t>UPS电源、空调等关键设备模型的位置和状态。</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3）机房微观模型服务</w:t>
            </w:r>
          </w:p>
          <w:p>
            <w:pPr>
              <w:pStyle w:val="null3"/>
              <w:ind w:firstLine="480"/>
              <w:jc w:val="both"/>
            </w:pPr>
            <w:r>
              <w:rPr>
                <w:rFonts w:ascii="仿宋_GB2312" w:hAnsi="仿宋_GB2312" w:cs="仿宋_GB2312" w:eastAsia="仿宋_GB2312"/>
                <w:sz w:val="24"/>
              </w:rPr>
              <w:t>提供市级政务数据中心（凤八节点）机房内部的具体设备和细节模型，这包括对机柜、服务器、网络设备等进行建模，展示其外观；对每个</w:t>
            </w:r>
            <w:r>
              <w:rPr>
                <w:rFonts w:ascii="仿宋_GB2312" w:hAnsi="仿宋_GB2312" w:cs="仿宋_GB2312" w:eastAsia="仿宋_GB2312"/>
                <w:sz w:val="24"/>
              </w:rPr>
              <w:t>U位的位置、大小和当前安装的设备模型。</w:t>
            </w:r>
          </w:p>
          <w:p>
            <w:pPr>
              <w:pStyle w:val="null3"/>
              <w:ind w:firstLine="480"/>
              <w:jc w:val="both"/>
            </w:pPr>
            <w:r>
              <w:rPr>
                <w:rFonts w:ascii="仿宋_GB2312" w:hAnsi="仿宋_GB2312" w:cs="仿宋_GB2312" w:eastAsia="仿宋_GB2312"/>
                <w:sz w:val="24"/>
              </w:rPr>
              <w:t>2、模型调试服务</w:t>
            </w:r>
          </w:p>
          <w:p>
            <w:pPr>
              <w:pStyle w:val="null3"/>
              <w:ind w:firstLine="480"/>
              <w:jc w:val="both"/>
            </w:pPr>
            <w:r>
              <w:rPr>
                <w:rFonts w:ascii="仿宋_GB2312" w:hAnsi="仿宋_GB2312" w:cs="仿宋_GB2312" w:eastAsia="仿宋_GB2312"/>
                <w:sz w:val="24"/>
              </w:rPr>
              <w:t>提供机房模型调试服务，根据监测设备的类型和功能用途，设计相应的参数和阈值。通过模拟不同的故障和异常情况，测试监测设备的数据采集和报警功能，确保设备能够及时准确地反映机房的运行状态。将监测设备采集的数据与三维模型进行关联，在三维模型中，可以实时查看设备的状态信息、环境参数等。测试监测设备的报警，确保在设备出现故障或异常情况时，能够及时发出报警信息，并引导运维人员快速定位和处理问题。</w:t>
            </w:r>
          </w:p>
          <w:p>
            <w:pPr>
              <w:pStyle w:val="null3"/>
              <w:numPr>
                <w:ilvl w:val="0"/>
                <w:numId w:val="3"/>
              </w:numPr>
              <w:jc w:val="both"/>
            </w:pPr>
            <w:r>
              <w:rPr>
                <w:rFonts w:ascii="仿宋_GB2312" w:hAnsi="仿宋_GB2312" w:cs="仿宋_GB2312" w:eastAsia="仿宋_GB2312"/>
                <w:sz w:val="24"/>
              </w:rPr>
              <w:t>数据采集服务</w:t>
            </w:r>
          </w:p>
          <w:p>
            <w:pPr>
              <w:pStyle w:val="null3"/>
              <w:ind w:firstLine="480"/>
              <w:jc w:val="both"/>
            </w:pPr>
            <w:r>
              <w:rPr>
                <w:rFonts w:ascii="仿宋_GB2312" w:hAnsi="仿宋_GB2312" w:cs="仿宋_GB2312" w:eastAsia="仿宋_GB2312"/>
                <w:sz w:val="24"/>
              </w:rPr>
              <w:t>机房设备数据采集服务是确保机房稳定运行、优化运维策略的关键环节。该服务主要涉及对机房内各类设备，包括各类</w:t>
            </w:r>
            <w:r>
              <w:rPr>
                <w:rFonts w:ascii="仿宋_GB2312" w:hAnsi="仿宋_GB2312" w:cs="仿宋_GB2312" w:eastAsia="仿宋_GB2312"/>
                <w:sz w:val="24"/>
              </w:rPr>
              <w:t>IT设备的运行数据进行全面、实时、准确的采集。</w:t>
            </w:r>
          </w:p>
          <w:p>
            <w:pPr>
              <w:pStyle w:val="null3"/>
              <w:numPr>
                <w:ilvl w:val="0"/>
                <w:numId w:val="3"/>
              </w:numPr>
              <w:jc w:val="both"/>
            </w:pPr>
            <w:r>
              <w:rPr>
                <w:rFonts w:ascii="仿宋_GB2312" w:hAnsi="仿宋_GB2312" w:cs="仿宋_GB2312" w:eastAsia="仿宋_GB2312"/>
                <w:sz w:val="24"/>
              </w:rPr>
              <w:t>模型调试服务</w:t>
            </w:r>
          </w:p>
          <w:p>
            <w:pPr>
              <w:pStyle w:val="null3"/>
              <w:ind w:firstLine="480"/>
              <w:jc w:val="both"/>
            </w:pPr>
            <w:r>
              <w:rPr>
                <w:rFonts w:ascii="仿宋_GB2312" w:hAnsi="仿宋_GB2312" w:cs="仿宋_GB2312" w:eastAsia="仿宋_GB2312"/>
                <w:sz w:val="24"/>
              </w:rPr>
              <w:t>提供模型调试服务，将监测设备采集的数据与三维模型进行关联，在三维模型中，可以实时查看设备的状态信息，并同步监测参数信息是否一致。测试监测设备的报警，确保在设备出现故障或异常情况时，能够及时发出报警信息，并引导运维人员快速定位和处理问题。</w:t>
            </w:r>
          </w:p>
          <w:p>
            <w:pPr>
              <w:pStyle w:val="null3"/>
              <w:ind w:firstLine="480"/>
              <w:jc w:val="both"/>
            </w:pPr>
            <w:r>
              <w:rPr>
                <w:rFonts w:ascii="仿宋_GB2312" w:hAnsi="仿宋_GB2312" w:cs="仿宋_GB2312" w:eastAsia="仿宋_GB2312"/>
                <w:sz w:val="24"/>
              </w:rPr>
              <w:t>3、资产监测请求服务</w:t>
            </w:r>
          </w:p>
          <w:p>
            <w:pPr>
              <w:pStyle w:val="null3"/>
              <w:ind w:firstLine="480"/>
              <w:jc w:val="both"/>
            </w:pPr>
            <w:r>
              <w:rPr>
                <w:rFonts w:ascii="仿宋_GB2312" w:hAnsi="仿宋_GB2312" w:cs="仿宋_GB2312" w:eastAsia="仿宋_GB2312"/>
                <w:sz w:val="24"/>
              </w:rPr>
              <w:t>提供资产监测请求服务，对机房</w:t>
            </w:r>
            <w:r>
              <w:rPr>
                <w:rFonts w:ascii="仿宋_GB2312" w:hAnsi="仿宋_GB2312" w:cs="仿宋_GB2312" w:eastAsia="仿宋_GB2312"/>
                <w:sz w:val="24"/>
              </w:rPr>
              <w:t>IT</w:t>
            </w:r>
            <w:r>
              <w:rPr>
                <w:rFonts w:ascii="仿宋_GB2312" w:hAnsi="仿宋_GB2312" w:cs="仿宋_GB2312" w:eastAsia="仿宋_GB2312"/>
                <w:sz w:val="24"/>
              </w:rPr>
              <w:t>资产进行综合监测。根据机房模型服务还原机房三维现场情况；</w:t>
            </w:r>
            <w:r>
              <w:rPr>
                <w:rFonts w:ascii="仿宋_GB2312" w:hAnsi="仿宋_GB2312" w:cs="仿宋_GB2312" w:eastAsia="仿宋_GB2312"/>
                <w:sz w:val="24"/>
              </w:rPr>
              <w:t>具有</w:t>
            </w:r>
            <w:r>
              <w:rPr>
                <w:rFonts w:ascii="仿宋_GB2312" w:hAnsi="仿宋_GB2312" w:cs="仿宋_GB2312" w:eastAsia="仿宋_GB2312"/>
                <w:sz w:val="24"/>
              </w:rPr>
              <w:t>实时对机房核心资产要素进行运维参数信息汇总统计。统计当前的资产类型统计情况、资产的状态、资产的分布状况、资产的状态等信息。</w:t>
            </w:r>
          </w:p>
          <w:p>
            <w:pPr>
              <w:pStyle w:val="null3"/>
              <w:numPr>
                <w:ilvl w:val="0"/>
                <w:numId w:val="3"/>
              </w:numPr>
              <w:jc w:val="both"/>
            </w:pPr>
            <w:r>
              <w:rPr>
                <w:rFonts w:ascii="仿宋_GB2312" w:hAnsi="仿宋_GB2312" w:cs="仿宋_GB2312" w:eastAsia="仿宋_GB2312"/>
                <w:sz w:val="24"/>
              </w:rPr>
              <w:t>机房资产综合监测服务</w:t>
            </w:r>
          </w:p>
          <w:p>
            <w:pPr>
              <w:pStyle w:val="null3"/>
              <w:ind w:firstLine="480"/>
              <w:jc w:val="both"/>
            </w:pPr>
            <w:r>
              <w:rPr>
                <w:rFonts w:ascii="仿宋_GB2312" w:hAnsi="仿宋_GB2312" w:cs="仿宋_GB2312" w:eastAsia="仿宋_GB2312"/>
                <w:sz w:val="24"/>
              </w:rPr>
              <w:t>机房资产综合监测服务是一项针对机房内各类资产及环境进行实时监测、管理和维护的服务。实现对机房内设备、环境以及安全等多个方面的全面监控，确保机房资产的安全、稳定和高效运行。机房资产综合监测服务内容包括：</w:t>
            </w:r>
          </w:p>
          <w:p>
            <w:pPr>
              <w:pStyle w:val="null3"/>
              <w:numPr>
                <w:ilvl w:val="0"/>
                <w:numId w:val="3"/>
              </w:numPr>
              <w:jc w:val="both"/>
            </w:pPr>
            <w:r>
              <w:rPr>
                <w:rFonts w:ascii="仿宋_GB2312" w:hAnsi="仿宋_GB2312" w:cs="仿宋_GB2312" w:eastAsia="仿宋_GB2312"/>
                <w:sz w:val="24"/>
              </w:rPr>
              <w:t>设备监控：对机房内的服务器、路由器、交换机等关键设备进行实时监控，监测其运行状态、性能参数以及故障情况。通过实时数据分析，及时发现设备异常，预警潜在故障，确保设备的稳定运行。</w:t>
            </w:r>
          </w:p>
          <w:p>
            <w:pPr>
              <w:pStyle w:val="null3"/>
              <w:numPr>
                <w:ilvl w:val="0"/>
                <w:numId w:val="3"/>
              </w:numPr>
              <w:jc w:val="both"/>
            </w:pPr>
            <w:r>
              <w:rPr>
                <w:rFonts w:ascii="仿宋_GB2312" w:hAnsi="仿宋_GB2312" w:cs="仿宋_GB2312" w:eastAsia="仿宋_GB2312"/>
                <w:sz w:val="24"/>
              </w:rPr>
              <w:t>环境监控：对机房内的温度、湿度、空气质量、漏水情况等进行实时监测。通过安装温湿度传感器、空气质量监测仪、漏水检测系统等设备，确保机房环境处于最佳状态，避免因环境因素导致的设备故障或数据丢失。</w:t>
            </w:r>
          </w:p>
          <w:p>
            <w:pPr>
              <w:pStyle w:val="null3"/>
              <w:numPr>
                <w:ilvl w:val="0"/>
                <w:numId w:val="3"/>
              </w:numPr>
              <w:jc w:val="both"/>
            </w:pPr>
            <w:r>
              <w:rPr>
                <w:rFonts w:ascii="仿宋_GB2312" w:hAnsi="仿宋_GB2312" w:cs="仿宋_GB2312" w:eastAsia="仿宋_GB2312"/>
                <w:sz w:val="24"/>
              </w:rPr>
              <w:t>动环</w:t>
            </w:r>
            <w:r>
              <w:rPr>
                <w:rFonts w:ascii="仿宋_GB2312" w:hAnsi="仿宋_GB2312" w:cs="仿宋_GB2312" w:eastAsia="仿宋_GB2312"/>
                <w:sz w:val="24"/>
              </w:rPr>
              <w:t>监控：通过视频监控、门禁系统、入侵检测系统等手段，对机房的安全进行实时监控。记录人员进出情况，防止非法入侵，确保机房资产的安全。同时，监控烟雾探测器、火灾报警按钮等消防设施的状态，确保在火灾发生时能够迅速响应，减少损失。</w:t>
            </w:r>
          </w:p>
          <w:p>
            <w:pPr>
              <w:pStyle w:val="null3"/>
              <w:numPr>
                <w:ilvl w:val="0"/>
                <w:numId w:val="3"/>
              </w:numPr>
              <w:jc w:val="both"/>
            </w:pPr>
            <w:r>
              <w:rPr>
                <w:rFonts w:ascii="仿宋_GB2312" w:hAnsi="仿宋_GB2312" w:cs="仿宋_GB2312" w:eastAsia="仿宋_GB2312"/>
                <w:sz w:val="24"/>
              </w:rPr>
              <w:t>机房资产统计分析服务</w:t>
            </w:r>
          </w:p>
          <w:p>
            <w:pPr>
              <w:pStyle w:val="null3"/>
              <w:ind w:firstLine="480"/>
              <w:jc w:val="both"/>
            </w:pPr>
            <w:r>
              <w:rPr>
                <w:rFonts w:ascii="仿宋_GB2312" w:hAnsi="仿宋_GB2312" w:cs="仿宋_GB2312" w:eastAsia="仿宋_GB2312"/>
                <w:sz w:val="24"/>
              </w:rPr>
              <w:t>根据收集的资产信息</w:t>
            </w:r>
            <w:r>
              <w:rPr>
                <w:rFonts w:ascii="仿宋_GB2312" w:hAnsi="仿宋_GB2312" w:cs="仿宋_GB2312" w:eastAsia="仿宋_GB2312"/>
                <w:sz w:val="24"/>
              </w:rPr>
              <w:t>、</w:t>
            </w:r>
            <w:r>
              <w:rPr>
                <w:rFonts w:ascii="仿宋_GB2312" w:hAnsi="仿宋_GB2312" w:cs="仿宋_GB2312" w:eastAsia="仿宋_GB2312"/>
                <w:sz w:val="24"/>
              </w:rPr>
              <w:t>资产的分布情况、使用状态、维保情况等，为机房的运维决策提供数据支持。同时，通过对资产数据的分析，可以发现潜在的优化空间，以提高资源利用率和工作效率。</w:t>
            </w:r>
          </w:p>
          <w:p>
            <w:pPr>
              <w:pStyle w:val="null3"/>
              <w:ind w:firstLine="480"/>
              <w:jc w:val="both"/>
            </w:pPr>
            <w:r>
              <w:rPr>
                <w:rFonts w:ascii="仿宋_GB2312" w:hAnsi="仿宋_GB2312" w:cs="仿宋_GB2312" w:eastAsia="仿宋_GB2312"/>
                <w:sz w:val="24"/>
              </w:rPr>
              <w:t>4、运维管理监测服务</w:t>
            </w:r>
          </w:p>
          <w:p>
            <w:pPr>
              <w:pStyle w:val="null3"/>
              <w:ind w:firstLine="480"/>
              <w:jc w:val="both"/>
            </w:pPr>
            <w:r>
              <w:rPr>
                <w:rFonts w:ascii="仿宋_GB2312" w:hAnsi="仿宋_GB2312" w:cs="仿宋_GB2312" w:eastAsia="仿宋_GB2312"/>
                <w:sz w:val="24"/>
              </w:rPr>
              <w:t>运维管理监测服务提供运维管理</w:t>
            </w:r>
            <w:r>
              <w:rPr>
                <w:rFonts w:ascii="仿宋_GB2312" w:hAnsi="仿宋_GB2312" w:cs="仿宋_GB2312" w:eastAsia="仿宋_GB2312"/>
                <w:sz w:val="24"/>
              </w:rPr>
              <w:t>请求的数量、类型和处理时间等信息，帮助了解服务水</w:t>
            </w:r>
            <w:r>
              <w:rPr>
                <w:rFonts w:ascii="仿宋_GB2312" w:hAnsi="仿宋_GB2312" w:cs="仿宋_GB2312" w:eastAsia="仿宋_GB2312"/>
                <w:sz w:val="24"/>
              </w:rPr>
              <w:t>平和满足度，并及时调整资源和策略，以确保服务质量。收集当前运维平台的流程工单管理数据，按照不同部门</w:t>
            </w:r>
            <w:r>
              <w:rPr>
                <w:rFonts w:ascii="仿宋_GB2312" w:hAnsi="仿宋_GB2312" w:cs="仿宋_GB2312" w:eastAsia="仿宋_GB2312"/>
                <w:sz w:val="24"/>
              </w:rPr>
              <w:t>/租户 维度进行统计，展示频次较高的单位名称和工单数量，实现流程工单管理数据可视化管控。运维管理请求服务包含但不限于工单汇总服务、本月新增工单统计服务、整体关单率、处理</w:t>
            </w:r>
            <w:r>
              <w:rPr>
                <w:rFonts w:ascii="仿宋_GB2312" w:hAnsi="仿宋_GB2312" w:cs="仿宋_GB2312" w:eastAsia="仿宋_GB2312"/>
                <w:sz w:val="24"/>
              </w:rPr>
              <w:t>及时率</w:t>
            </w:r>
            <w:r>
              <w:rPr>
                <w:rFonts w:ascii="仿宋_GB2312" w:hAnsi="仿宋_GB2312" w:cs="仿宋_GB2312" w:eastAsia="仿宋_GB2312"/>
                <w:sz w:val="24"/>
              </w:rPr>
              <w:t>、工单列表、工单数量趋势等信息服务。</w:t>
            </w:r>
          </w:p>
          <w:p>
            <w:pPr>
              <w:pStyle w:val="null3"/>
              <w:ind w:firstLine="476"/>
              <w:jc w:val="both"/>
            </w:pPr>
            <w:r>
              <w:rPr>
                <w:rFonts w:ascii="仿宋_GB2312" w:hAnsi="仿宋_GB2312" w:cs="仿宋_GB2312" w:eastAsia="仿宋_GB2312"/>
                <w:sz w:val="24"/>
              </w:rPr>
              <w:t>（</w:t>
            </w:r>
            <w:r>
              <w:rPr>
                <w:rFonts w:ascii="仿宋_GB2312" w:hAnsi="仿宋_GB2312" w:cs="仿宋_GB2312" w:eastAsia="仿宋_GB2312"/>
                <w:sz w:val="24"/>
              </w:rPr>
              <w:t>1）工单信息汇总服务：汇总统计工单信息，对汇总信息进行集中展示上报服务。</w:t>
            </w:r>
          </w:p>
          <w:p>
            <w:pPr>
              <w:pStyle w:val="null3"/>
              <w:ind w:firstLine="476"/>
              <w:jc w:val="both"/>
            </w:pPr>
            <w:r>
              <w:rPr>
                <w:rFonts w:ascii="仿宋_GB2312" w:hAnsi="仿宋_GB2312" w:cs="仿宋_GB2312" w:eastAsia="仿宋_GB2312"/>
                <w:sz w:val="24"/>
              </w:rPr>
              <w:t>（</w:t>
            </w:r>
            <w:r>
              <w:rPr>
                <w:rFonts w:ascii="仿宋_GB2312" w:hAnsi="仿宋_GB2312" w:cs="仿宋_GB2312" w:eastAsia="仿宋_GB2312"/>
                <w:sz w:val="24"/>
              </w:rPr>
              <w:t>2）本月新增工单统计服务：动态统计本月新增工单数量，在每月第一天进行重置工作，对新增工单的统计信息每天今天更新及上报。</w:t>
            </w:r>
          </w:p>
          <w:p>
            <w:pPr>
              <w:pStyle w:val="null3"/>
              <w:ind w:firstLine="476"/>
              <w:jc w:val="both"/>
            </w:pPr>
            <w:r>
              <w:rPr>
                <w:rFonts w:ascii="仿宋_GB2312" w:hAnsi="仿宋_GB2312" w:cs="仿宋_GB2312" w:eastAsia="仿宋_GB2312"/>
                <w:sz w:val="24"/>
              </w:rPr>
              <w:t>（</w:t>
            </w:r>
            <w:r>
              <w:rPr>
                <w:rFonts w:ascii="仿宋_GB2312" w:hAnsi="仿宋_GB2312" w:cs="仿宋_GB2312" w:eastAsia="仿宋_GB2312"/>
                <w:sz w:val="24"/>
              </w:rPr>
              <w:t>3）整体关单率服务：统计全部工单中工单状态为完结状态（关闭、已完成等）的占比，对机房整体工单处置的关单率进行占比分析。</w:t>
            </w:r>
          </w:p>
          <w:p>
            <w:pPr>
              <w:pStyle w:val="null3"/>
              <w:ind w:firstLine="476"/>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）处理</w:t>
            </w:r>
            <w:r>
              <w:rPr>
                <w:rFonts w:ascii="仿宋_GB2312" w:hAnsi="仿宋_GB2312" w:cs="仿宋_GB2312" w:eastAsia="仿宋_GB2312"/>
                <w:sz w:val="24"/>
              </w:rPr>
              <w:t>及时率</w:t>
            </w:r>
            <w:r>
              <w:rPr>
                <w:rFonts w:ascii="仿宋_GB2312" w:hAnsi="仿宋_GB2312" w:cs="仿宋_GB2312" w:eastAsia="仿宋_GB2312"/>
                <w:sz w:val="24"/>
              </w:rPr>
              <w:t>服务：汇总统计工作处置</w:t>
            </w:r>
            <w:r>
              <w:rPr>
                <w:rFonts w:ascii="仿宋_GB2312" w:hAnsi="仿宋_GB2312" w:cs="仿宋_GB2312" w:eastAsia="仿宋_GB2312"/>
                <w:sz w:val="24"/>
              </w:rPr>
              <w:t>及时率</w:t>
            </w:r>
            <w:r>
              <w:rPr>
                <w:rFonts w:ascii="仿宋_GB2312" w:hAnsi="仿宋_GB2312" w:cs="仿宋_GB2312" w:eastAsia="仿宋_GB2312"/>
                <w:sz w:val="24"/>
              </w:rPr>
              <w:t>，对没有</w:t>
            </w:r>
            <w:r>
              <w:rPr>
                <w:rFonts w:ascii="仿宋_GB2312" w:hAnsi="仿宋_GB2312" w:cs="仿宋_GB2312" w:eastAsia="仿宋_GB2312"/>
                <w:sz w:val="24"/>
              </w:rPr>
              <w:t>SLA 超时的工单数量占比以及清单进行汇总统计上报。</w:t>
            </w:r>
          </w:p>
          <w:p>
            <w:pPr>
              <w:pStyle w:val="null3"/>
              <w:ind w:firstLine="476"/>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）工单处理服务：汇总统计当前正在处理和未关闭的工单详情（工单状态、</w:t>
            </w:r>
            <w:r>
              <w:rPr>
                <w:rFonts w:ascii="仿宋_GB2312" w:hAnsi="仿宋_GB2312" w:cs="仿宋_GB2312" w:eastAsia="仿宋_GB2312"/>
                <w:sz w:val="24"/>
              </w:rPr>
              <w:t>工单标题、发起人、处理人、工单时长，对未处理已超时清单进行</w:t>
            </w:r>
            <w:r>
              <w:rPr>
                <w:rFonts w:ascii="仿宋_GB2312" w:hAnsi="仿宋_GB2312" w:cs="仿宋_GB2312" w:eastAsia="仿宋_GB2312"/>
                <w:sz w:val="24"/>
              </w:rPr>
              <w:t>提示</w:t>
            </w:r>
            <w:r>
              <w:rPr>
                <w:rFonts w:ascii="仿宋_GB2312" w:hAnsi="仿宋_GB2312" w:cs="仿宋_GB2312" w:eastAsia="仿宋_GB2312"/>
                <w:sz w:val="24"/>
              </w:rPr>
              <w:t>。</w:t>
            </w:r>
          </w:p>
          <w:p>
            <w:pPr>
              <w:pStyle w:val="null3"/>
              <w:ind w:firstLine="476"/>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）工单趋势服务：汇总每个月的工单数量，按照周月对工单趋势进行分析，对每周</w:t>
            </w:r>
            <w:r>
              <w:rPr>
                <w:rFonts w:ascii="仿宋_GB2312" w:hAnsi="仿宋_GB2312" w:cs="仿宋_GB2312" w:eastAsia="仿宋_GB2312"/>
                <w:sz w:val="24"/>
              </w:rPr>
              <w:t>/月工单数量、整体关单率、整体满意度、处置准确率等趋势进</w:t>
            </w:r>
            <w:r>
              <w:rPr>
                <w:rFonts w:ascii="仿宋_GB2312" w:hAnsi="仿宋_GB2312" w:cs="仿宋_GB2312" w:eastAsia="仿宋_GB2312"/>
                <w:sz w:val="24"/>
              </w:rPr>
              <w:t>行</w:t>
            </w:r>
            <w:r>
              <w:rPr>
                <w:rFonts w:ascii="仿宋_GB2312" w:hAnsi="仿宋_GB2312" w:cs="仿宋_GB2312" w:eastAsia="仿宋_GB2312"/>
                <w:sz w:val="24"/>
              </w:rPr>
              <w:t>整</w:t>
            </w:r>
            <w:r>
              <w:rPr>
                <w:rFonts w:ascii="仿宋_GB2312" w:hAnsi="仿宋_GB2312" w:cs="仿宋_GB2312" w:eastAsia="仿宋_GB2312"/>
                <w:sz w:val="24"/>
              </w:rPr>
              <w:t>体动态汇总更新，并及时上报。</w:t>
            </w:r>
          </w:p>
          <w:p>
            <w:pPr>
              <w:pStyle w:val="null3"/>
              <w:ind w:firstLine="480"/>
              <w:jc w:val="both"/>
            </w:pPr>
            <w:r>
              <w:rPr>
                <w:rFonts w:ascii="仿宋_GB2312" w:hAnsi="仿宋_GB2312" w:cs="仿宋_GB2312" w:eastAsia="仿宋_GB2312"/>
                <w:sz w:val="24"/>
              </w:rPr>
              <w:t>5、资产告警请求服务</w:t>
            </w:r>
          </w:p>
          <w:p>
            <w:pPr>
              <w:pStyle w:val="null3"/>
              <w:ind w:firstLine="480"/>
              <w:jc w:val="both"/>
            </w:pPr>
            <w:r>
              <w:rPr>
                <w:rFonts w:ascii="仿宋_GB2312" w:hAnsi="仿宋_GB2312" w:cs="仿宋_GB2312" w:eastAsia="仿宋_GB2312"/>
                <w:sz w:val="24"/>
              </w:rPr>
              <w:t>提供当前活动告警总数量统计服务、并按照告警等级进行分类汇总（严重、警告、提示），对最近一周告警变化趋势进行综合分析，输出资产告警请求报告。能够实现对温度、湿度、烟雾等关键指标的实时监控，当监控参数超出预设的安全范围时，能够立即触发告警。并对告警信息上报请求处置。资产告警请求服务内容包含告警信息收集、告警信息分析、告警信息统计、告警信息报告生成。</w:t>
            </w:r>
          </w:p>
          <w:p>
            <w:pPr>
              <w:pStyle w:val="null3"/>
              <w:numPr>
                <w:ilvl w:val="0"/>
                <w:numId w:val="3"/>
              </w:numPr>
              <w:jc w:val="both"/>
            </w:pPr>
            <w:r>
              <w:rPr>
                <w:rFonts w:ascii="仿宋_GB2312" w:hAnsi="仿宋_GB2312" w:cs="仿宋_GB2312" w:eastAsia="仿宋_GB2312"/>
                <w:sz w:val="24"/>
              </w:rPr>
              <w:t>告警信息收集：实时收集各类设备的告警信息，包括服务器、网络设备等。</w:t>
            </w:r>
          </w:p>
          <w:p>
            <w:pPr>
              <w:pStyle w:val="null3"/>
              <w:numPr>
                <w:ilvl w:val="0"/>
                <w:numId w:val="3"/>
              </w:numPr>
              <w:jc w:val="both"/>
            </w:pPr>
            <w:r>
              <w:rPr>
                <w:rFonts w:ascii="仿宋_GB2312" w:hAnsi="仿宋_GB2312" w:cs="仿宋_GB2312" w:eastAsia="仿宋_GB2312"/>
                <w:sz w:val="24"/>
              </w:rPr>
              <w:t>告警信息分析</w:t>
            </w:r>
          </w:p>
          <w:p>
            <w:pPr>
              <w:pStyle w:val="null3"/>
              <w:ind w:firstLine="480"/>
              <w:jc w:val="both"/>
            </w:pPr>
            <w:r>
              <w:rPr>
                <w:rFonts w:ascii="仿宋_GB2312" w:hAnsi="仿宋_GB2312" w:cs="仿宋_GB2312" w:eastAsia="仿宋_GB2312"/>
                <w:sz w:val="24"/>
              </w:rPr>
              <w:t>告警类型识别：对收集到的告警信息进行分类，识别告警的具体类型，如硬件故障、软件异常、网络中断等；告警级别评估：根据告警的严重程度，评估告警级别，如紧急、重要、一般等；告警原因诊断：通过数据分析和技术手段，诊断告警产生的根本原因；影响范围评估：评估告警对机房设备和业务的影响范围，确定受影响的设备和系统。</w:t>
            </w:r>
          </w:p>
          <w:p>
            <w:pPr>
              <w:pStyle w:val="null3"/>
              <w:numPr>
                <w:ilvl w:val="0"/>
                <w:numId w:val="3"/>
              </w:numPr>
              <w:jc w:val="both"/>
            </w:pPr>
            <w:r>
              <w:rPr>
                <w:rFonts w:ascii="仿宋_GB2312" w:hAnsi="仿宋_GB2312" w:cs="仿宋_GB2312" w:eastAsia="仿宋_GB2312"/>
                <w:sz w:val="24"/>
              </w:rPr>
              <w:t>告警信息统计：根据分析结果，对告警信息进行统计和分类，生成各类统计报表和图表，如告警次数、告警类型分布、告警级别分布等，帮助用户全面了解机房设备的告警情况。</w:t>
            </w:r>
          </w:p>
          <w:p>
            <w:pPr>
              <w:pStyle w:val="null3"/>
              <w:numPr>
                <w:ilvl w:val="0"/>
                <w:numId w:val="3"/>
              </w:numPr>
              <w:jc w:val="both"/>
            </w:pPr>
            <w:r>
              <w:rPr>
                <w:rFonts w:ascii="仿宋_GB2312" w:hAnsi="仿宋_GB2312" w:cs="仿宋_GB2312" w:eastAsia="仿宋_GB2312"/>
                <w:sz w:val="24"/>
              </w:rPr>
              <w:t>告警报告生成：根据统计结果，生成详细的告警报告，包括告警概述、告警分析、告警处理建议等，为用户提供全面的告警分析服务。</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、网络监测请求服务</w:t>
            </w:r>
          </w:p>
          <w:p>
            <w:pPr>
              <w:pStyle w:val="null3"/>
              <w:ind w:firstLine="480"/>
              <w:jc w:val="both"/>
            </w:pPr>
            <w:r>
              <w:rPr>
                <w:rFonts w:ascii="仿宋_GB2312" w:hAnsi="仿宋_GB2312" w:cs="仿宋_GB2312" w:eastAsia="仿宋_GB2312"/>
                <w:sz w:val="24"/>
              </w:rPr>
              <w:t>提供网络流量监测请求服务，运维人员从多个维度进行流量监控和分析，包括但不限于网络流量、网络时延、流量排名、异常流量统计等关键信息，呈现网络通信链路状态。</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、告警信息过滤服务</w:t>
            </w:r>
          </w:p>
          <w:p>
            <w:pPr>
              <w:pStyle w:val="null3"/>
              <w:ind w:firstLine="480"/>
              <w:jc w:val="both"/>
            </w:pPr>
            <w:r>
              <w:rPr>
                <w:rFonts w:ascii="仿宋_GB2312" w:hAnsi="仿宋_GB2312" w:cs="仿宋_GB2312" w:eastAsia="仿宋_GB2312"/>
                <w:sz w:val="24"/>
              </w:rPr>
              <w:t>提供告警信息过滤请求服务，</w:t>
            </w:r>
            <w:r>
              <w:rPr>
                <w:rFonts w:ascii="仿宋_GB2312" w:hAnsi="仿宋_GB2312" w:cs="仿宋_GB2312" w:eastAsia="仿宋_GB2312"/>
                <w:sz w:val="24"/>
              </w:rPr>
              <w:t>对复杂的机房环境产生的错误数据、波动数据、同源事件以及正常运维保养触发的大量不真实的、重复的以及不必要的告警</w:t>
            </w:r>
            <w:r>
              <w:rPr>
                <w:rFonts w:ascii="仿宋_GB2312" w:hAnsi="仿宋_GB2312" w:cs="仿宋_GB2312" w:eastAsia="仿宋_GB2312"/>
                <w:sz w:val="24"/>
              </w:rPr>
              <w:t>。对错误的告警信息</w:t>
            </w:r>
            <w:r>
              <w:rPr>
                <w:rFonts w:ascii="仿宋_GB2312" w:hAnsi="仿宋_GB2312" w:cs="仿宋_GB2312" w:eastAsia="仿宋_GB2312"/>
                <w:sz w:val="24"/>
              </w:rPr>
              <w:t>进行</w:t>
            </w:r>
            <w:r>
              <w:rPr>
                <w:rFonts w:ascii="仿宋_GB2312" w:hAnsi="仿宋_GB2312" w:cs="仿宋_GB2312" w:eastAsia="仿宋_GB2312"/>
                <w:sz w:val="24"/>
              </w:rPr>
              <w:t>过滤处置措施，帮助管理者清晰准确的认知数据中心的真实状况。</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、数据资源对接服务</w:t>
            </w:r>
          </w:p>
          <w:p>
            <w:pPr>
              <w:pStyle w:val="null3"/>
              <w:ind w:firstLine="480"/>
              <w:jc w:val="both"/>
            </w:pPr>
            <w:r>
              <w:rPr>
                <w:rFonts w:ascii="仿宋_GB2312" w:hAnsi="仿宋_GB2312" w:cs="仿宋_GB2312" w:eastAsia="仿宋_GB2312"/>
                <w:sz w:val="24"/>
              </w:rPr>
              <w:t>提供数据资源对接服务，依据可视化监测服务的实际运行数据分析，本次项目需要从其他平台统一获取配置数据、业务数据、告警数据和性能数据。运维人员根据数据更新频率和实际运维工作中对数据实时性的要求制定定期</w:t>
            </w:r>
            <w:r>
              <w:rPr>
                <w:rFonts w:ascii="仿宋_GB2312" w:hAnsi="仿宋_GB2312" w:cs="仿宋_GB2312" w:eastAsia="仿宋_GB2312"/>
                <w:sz w:val="24"/>
              </w:rPr>
              <w:t>/实时更新制度，并对接数据资源。</w:t>
            </w:r>
          </w:p>
          <w:p>
            <w:pPr>
              <w:pStyle w:val="null3"/>
              <w:ind w:firstLine="480"/>
              <w:jc w:val="both"/>
            </w:pPr>
            <w:r>
              <w:rPr>
                <w:rFonts w:ascii="仿宋_GB2312" w:hAnsi="仿宋_GB2312" w:cs="仿宋_GB2312" w:eastAsia="仿宋_GB2312"/>
                <w:sz w:val="24"/>
              </w:rPr>
              <w:t>1）资产数据接口服务</w:t>
            </w:r>
          </w:p>
          <w:p>
            <w:pPr>
              <w:pStyle w:val="null3"/>
              <w:ind w:firstLine="480"/>
              <w:jc w:val="both"/>
            </w:pPr>
            <w:r>
              <w:rPr>
                <w:rFonts w:ascii="仿宋_GB2312" w:hAnsi="仿宋_GB2312" w:cs="仿宋_GB2312" w:eastAsia="仿宋_GB2312"/>
                <w:sz w:val="24"/>
              </w:rPr>
              <w:t>提供资产数据接口服务，对资源及资产数据描述</w:t>
            </w:r>
            <w:r>
              <w:rPr>
                <w:rFonts w:ascii="仿宋_GB2312" w:hAnsi="仿宋_GB2312" w:cs="仿宋_GB2312" w:eastAsia="仿宋_GB2312"/>
                <w:sz w:val="24"/>
              </w:rPr>
              <w:t>IT 管理对象的基本信息、配置信息以及关联关系进行对接服务，该类数据结构化程度高，通常保存在数据库中，数据根据日常环境变更同步更新。因此针对资源数据，接口服务在同步过程中通过多个步骤保证数据的准确性和统一性。</w:t>
            </w:r>
          </w:p>
          <w:p>
            <w:pPr>
              <w:pStyle w:val="null3"/>
              <w:ind w:firstLine="480"/>
              <w:jc w:val="both"/>
            </w:pPr>
            <w:r>
              <w:rPr>
                <w:rFonts w:ascii="仿宋_GB2312" w:hAnsi="仿宋_GB2312" w:cs="仿宋_GB2312" w:eastAsia="仿宋_GB2312"/>
                <w:sz w:val="24"/>
              </w:rPr>
              <w:t>分类同步：不同类别的资源和资产数据可能来自不同的运维工具平台，因此，在同步过程中，资产数据接口服务可以为不同的配置分类指定不同的数据来源。</w:t>
            </w:r>
          </w:p>
          <w:p>
            <w:pPr>
              <w:pStyle w:val="null3"/>
              <w:ind w:firstLine="480"/>
              <w:jc w:val="both"/>
            </w:pPr>
            <w:r>
              <w:rPr>
                <w:rFonts w:ascii="仿宋_GB2312" w:hAnsi="仿宋_GB2312" w:cs="仿宋_GB2312" w:eastAsia="仿宋_GB2312"/>
                <w:sz w:val="24"/>
              </w:rPr>
              <w:t>标识识别：配置和资产数据均存在全局唯一的标识，不同的运维工具均依据该标识识别具体的资产和配置信息，资产数据接口服务提供了基于规则的标识识别功能，以保证管理对象的全局唯一性。</w:t>
            </w:r>
          </w:p>
          <w:p>
            <w:pPr>
              <w:pStyle w:val="null3"/>
              <w:ind w:firstLine="480"/>
              <w:jc w:val="both"/>
            </w:pPr>
            <w:r>
              <w:rPr>
                <w:rFonts w:ascii="仿宋_GB2312" w:hAnsi="仿宋_GB2312" w:cs="仿宋_GB2312" w:eastAsia="仿宋_GB2312"/>
                <w:sz w:val="24"/>
              </w:rPr>
              <w:t>字段映射：数据库中的配置和资产信息可按照运维需求灵活定义其属性字段，并指定外部运维工具的数据结构与该属性字段的映射规则，确保不同数据结构定义的兼容性。</w:t>
            </w:r>
          </w:p>
          <w:p>
            <w:pPr>
              <w:pStyle w:val="null3"/>
              <w:ind w:firstLine="480"/>
              <w:jc w:val="both"/>
            </w:pPr>
            <w:r>
              <w:rPr>
                <w:rFonts w:ascii="仿宋_GB2312" w:hAnsi="仿宋_GB2312" w:cs="仿宋_GB2312" w:eastAsia="仿宋_GB2312"/>
                <w:sz w:val="24"/>
              </w:rPr>
              <w:t>多数据源调和：对于同一分类的配置和资产信息，可能存在多个不同的数据来源，因此，为了保证数据的完备性和统一性，资产数据接口服务提供了多数据源调和的能力，使得不同数据源的数据能够根据字段进行记录融合，达到整合多源数据的目的。</w:t>
            </w:r>
          </w:p>
          <w:p>
            <w:pPr>
              <w:pStyle w:val="null3"/>
              <w:ind w:firstLine="480"/>
              <w:jc w:val="both"/>
            </w:pPr>
            <w:r>
              <w:rPr>
                <w:rFonts w:ascii="仿宋_GB2312" w:hAnsi="仿宋_GB2312" w:cs="仿宋_GB2312" w:eastAsia="仿宋_GB2312"/>
                <w:sz w:val="24"/>
              </w:rPr>
              <w:t>根据数据粒度和范围需求，数据接口模块提供了两种同步机制：</w:t>
            </w:r>
          </w:p>
          <w:p>
            <w:pPr>
              <w:pStyle w:val="null3"/>
              <w:ind w:firstLine="480"/>
              <w:jc w:val="both"/>
            </w:pPr>
            <w:r>
              <w:rPr>
                <w:rFonts w:ascii="仿宋_GB2312" w:hAnsi="仿宋_GB2312" w:cs="仿宋_GB2312" w:eastAsia="仿宋_GB2312"/>
                <w:sz w:val="24"/>
              </w:rPr>
              <w:t>全量更新：在系统初始化过程中，或为了保证数据全局准确性，资产数据接口服务可以将数据源中的全部配置和资产信息同步。</w:t>
            </w:r>
          </w:p>
          <w:p>
            <w:pPr>
              <w:pStyle w:val="null3"/>
              <w:ind w:firstLine="480"/>
              <w:jc w:val="both"/>
            </w:pPr>
            <w:r>
              <w:rPr>
                <w:rFonts w:ascii="仿宋_GB2312" w:hAnsi="仿宋_GB2312" w:cs="仿宋_GB2312" w:eastAsia="仿宋_GB2312"/>
                <w:sz w:val="24"/>
              </w:rPr>
              <w:t>增量更新：为了提供同步性能，降低冗余的数据操作，资产数据接口服务可以根据数据差异，增量获取自上次同步以来的数据变化并同步。</w:t>
            </w:r>
          </w:p>
          <w:p>
            <w:pPr>
              <w:pStyle w:val="null3"/>
              <w:ind w:firstLine="480"/>
              <w:jc w:val="both"/>
            </w:pPr>
            <w:r>
              <w:rPr>
                <w:rFonts w:ascii="仿宋_GB2312" w:hAnsi="仿宋_GB2312" w:cs="仿宋_GB2312" w:eastAsia="仿宋_GB2312"/>
                <w:sz w:val="24"/>
              </w:rPr>
              <w:t>根据数据更新频率和实际运维工作中对数据实时性的要求，资产数据接口服务提供了两种模式的同步机制：</w:t>
            </w:r>
          </w:p>
          <w:p>
            <w:pPr>
              <w:pStyle w:val="null3"/>
              <w:ind w:firstLine="480"/>
              <w:jc w:val="both"/>
            </w:pPr>
            <w:r>
              <w:rPr>
                <w:rFonts w:ascii="仿宋_GB2312" w:hAnsi="仿宋_GB2312" w:cs="仿宋_GB2312" w:eastAsia="仿宋_GB2312"/>
                <w:sz w:val="24"/>
              </w:rPr>
              <w:t>定时</w:t>
            </w:r>
            <w:r>
              <w:rPr>
                <w:rFonts w:ascii="仿宋_GB2312" w:hAnsi="仿宋_GB2312" w:cs="仿宋_GB2312" w:eastAsia="仿宋_GB2312"/>
                <w:sz w:val="24"/>
              </w:rPr>
              <w:t>/周期更新：制定特定的时间点，或同步时间间隔执行同步任务。</w:t>
            </w:r>
          </w:p>
          <w:p>
            <w:pPr>
              <w:pStyle w:val="null3"/>
              <w:ind w:firstLine="480"/>
              <w:jc w:val="both"/>
            </w:pPr>
            <w:r>
              <w:rPr>
                <w:rFonts w:ascii="仿宋_GB2312" w:hAnsi="仿宋_GB2312" w:cs="仿宋_GB2312" w:eastAsia="仿宋_GB2312"/>
                <w:sz w:val="24"/>
              </w:rPr>
              <w:t>实时更新：数据源发生变化时，实时通知资产数据接口服务，以使得数据更新实时同步。</w:t>
            </w:r>
          </w:p>
          <w:p>
            <w:pPr>
              <w:pStyle w:val="null3"/>
              <w:numPr>
                <w:ilvl w:val="0"/>
                <w:numId w:val="3"/>
              </w:numPr>
              <w:jc w:val="both"/>
            </w:pPr>
            <w:r>
              <w:rPr>
                <w:rFonts w:ascii="仿宋_GB2312" w:hAnsi="仿宋_GB2312" w:cs="仿宋_GB2312" w:eastAsia="仿宋_GB2312"/>
                <w:sz w:val="24"/>
              </w:rPr>
              <w:t>业务数据接口服务</w:t>
            </w:r>
          </w:p>
          <w:p>
            <w:pPr>
              <w:pStyle w:val="null3"/>
              <w:ind w:firstLine="480"/>
              <w:jc w:val="both"/>
            </w:pPr>
            <w:r>
              <w:rPr>
                <w:rFonts w:ascii="仿宋_GB2312" w:hAnsi="仿宋_GB2312" w:cs="仿宋_GB2312" w:eastAsia="仿宋_GB2312"/>
                <w:sz w:val="24"/>
              </w:rPr>
              <w:t>提供业务数据接口服务，业务数据是由业务监控工具采集的各类系统指标，能够综合反映业务系统的运行状态，具备数据量大，周期性强等特征，在同步该类数据时充分考虑海量数据的高性能处理能力。业务数据接口服务提供了两种同步机制：</w:t>
            </w:r>
          </w:p>
          <w:p>
            <w:pPr>
              <w:pStyle w:val="null3"/>
              <w:ind w:firstLine="480"/>
              <w:jc w:val="both"/>
            </w:pPr>
            <w:r>
              <w:rPr>
                <w:rFonts w:ascii="仿宋_GB2312" w:hAnsi="仿宋_GB2312" w:cs="仿宋_GB2312" w:eastAsia="仿宋_GB2312"/>
                <w:sz w:val="24"/>
              </w:rPr>
              <w:t>实时接收：由监控采集工具将监控数据，实时发送给业务数据接口服务模块。</w:t>
            </w:r>
          </w:p>
          <w:p>
            <w:pPr>
              <w:pStyle w:val="null3"/>
              <w:ind w:firstLine="480"/>
              <w:jc w:val="both"/>
            </w:pPr>
            <w:r>
              <w:rPr>
                <w:rFonts w:ascii="仿宋_GB2312" w:hAnsi="仿宋_GB2312" w:cs="仿宋_GB2312" w:eastAsia="仿宋_GB2312"/>
                <w:sz w:val="24"/>
              </w:rPr>
              <w:t>周期轮询：基于监控数据周期性采集的特征，业务数据接口服务通过各类接口或协议根据合理的时间间隔从数据源同步新生成的监控数据。</w:t>
            </w:r>
          </w:p>
          <w:p>
            <w:pPr>
              <w:pStyle w:val="null3"/>
              <w:ind w:firstLine="480"/>
              <w:jc w:val="both"/>
            </w:pPr>
            <w:r>
              <w:rPr>
                <w:rFonts w:ascii="仿宋_GB2312" w:hAnsi="仿宋_GB2312" w:cs="仿宋_GB2312" w:eastAsia="仿宋_GB2312"/>
                <w:sz w:val="24"/>
              </w:rPr>
              <w:t>通用接口</w:t>
            </w:r>
            <w:r>
              <w:rPr>
                <w:rFonts w:ascii="仿宋_GB2312" w:hAnsi="仿宋_GB2312" w:cs="仿宋_GB2312" w:eastAsia="仿宋_GB2312"/>
                <w:sz w:val="24"/>
              </w:rPr>
              <w:t>具有</w:t>
            </w:r>
            <w:r>
              <w:rPr>
                <w:rFonts w:ascii="仿宋_GB2312" w:hAnsi="仿宋_GB2312" w:cs="仿宋_GB2312" w:eastAsia="仿宋_GB2312"/>
                <w:sz w:val="24"/>
              </w:rPr>
              <w:t>：业务数据接口服务针对性能数据，提供了</w:t>
            </w:r>
            <w:r>
              <w:rPr>
                <w:rFonts w:ascii="仿宋_GB2312" w:hAnsi="仿宋_GB2312" w:cs="仿宋_GB2312" w:eastAsia="仿宋_GB2312"/>
                <w:sz w:val="24"/>
              </w:rPr>
              <w:t>SNMP、Socket、MQ 等实时 接收接口，以及 JDBC、Web Service、SOAP、RESTful 等周期轮询接口，可快速构建对特殊数据源的采集能力。</w:t>
            </w:r>
          </w:p>
          <w:p>
            <w:pPr>
              <w:pStyle w:val="null3"/>
              <w:numPr>
                <w:ilvl w:val="0"/>
                <w:numId w:val="3"/>
              </w:numPr>
              <w:jc w:val="both"/>
            </w:pPr>
            <w:r>
              <w:rPr>
                <w:rFonts w:ascii="仿宋_GB2312" w:hAnsi="仿宋_GB2312" w:cs="仿宋_GB2312" w:eastAsia="仿宋_GB2312"/>
                <w:sz w:val="24"/>
              </w:rPr>
              <w:t>告警事件接口服务</w:t>
            </w:r>
          </w:p>
          <w:p>
            <w:pPr>
              <w:pStyle w:val="null3"/>
              <w:ind w:firstLine="480"/>
              <w:jc w:val="both"/>
            </w:pPr>
            <w:r>
              <w:rPr>
                <w:rFonts w:ascii="仿宋_GB2312" w:hAnsi="仿宋_GB2312" w:cs="仿宋_GB2312" w:eastAsia="仿宋_GB2312"/>
                <w:sz w:val="24"/>
              </w:rPr>
              <w:t>提供告警事件接口服务能力，告警事件是重要的运维数据，从不同层次反映</w:t>
            </w:r>
            <w:r>
              <w:rPr>
                <w:rFonts w:ascii="仿宋_GB2312" w:hAnsi="仿宋_GB2312" w:cs="仿宋_GB2312" w:eastAsia="仿宋_GB2312"/>
                <w:sz w:val="24"/>
              </w:rPr>
              <w:t>IT 系统的运行异常，在同步该类数据时，需要保证数据的实时性和准确性</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9、机房</w:t>
            </w:r>
            <w:r>
              <w:rPr>
                <w:rFonts w:ascii="仿宋_GB2312" w:hAnsi="仿宋_GB2312" w:cs="仿宋_GB2312" w:eastAsia="仿宋_GB2312"/>
                <w:sz w:val="24"/>
              </w:rPr>
              <w:t>场景模型服务</w:t>
            </w:r>
          </w:p>
          <w:p>
            <w:pPr>
              <w:pStyle w:val="null3"/>
              <w:ind w:firstLine="480"/>
              <w:jc w:val="both"/>
            </w:pPr>
            <w:r>
              <w:rPr>
                <w:rFonts w:ascii="仿宋_GB2312" w:hAnsi="仿宋_GB2312" w:cs="仿宋_GB2312" w:eastAsia="仿宋_GB2312"/>
                <w:sz w:val="24"/>
              </w:rPr>
              <w:t>提供机房核心资产空间模型环境服务。包括模型场景搭建、模型资产制作、模型资产定期更新服务，输出机房模型场景。</w:t>
            </w:r>
          </w:p>
          <w:p>
            <w:pPr>
              <w:pStyle w:val="null3"/>
              <w:ind w:firstLine="480"/>
              <w:jc w:val="left"/>
            </w:pPr>
            <w:r>
              <w:rPr>
                <w:rFonts w:ascii="仿宋_GB2312" w:hAnsi="仿宋_GB2312" w:cs="仿宋_GB2312" w:eastAsia="仿宋_GB2312"/>
                <w:sz w:val="24"/>
              </w:rPr>
              <w:t>10、三维场景渲染服务</w:t>
            </w:r>
          </w:p>
          <w:p>
            <w:pPr>
              <w:pStyle w:val="null3"/>
              <w:ind w:firstLine="480"/>
              <w:jc w:val="left"/>
            </w:pPr>
            <w:r>
              <w:rPr>
                <w:rFonts w:ascii="仿宋_GB2312" w:hAnsi="仿宋_GB2312" w:cs="仿宋_GB2312" w:eastAsia="仿宋_GB2312"/>
                <w:sz w:val="24"/>
              </w:rPr>
              <w:t>提供三维场景渲染服务，</w:t>
            </w:r>
            <w:r>
              <w:rPr>
                <w:rFonts w:ascii="仿宋_GB2312" w:hAnsi="仿宋_GB2312" w:cs="仿宋_GB2312" w:eastAsia="仿宋_GB2312"/>
                <w:sz w:val="24"/>
              </w:rPr>
              <w:t>实现整体机房可视化监测的高渲染、高性能、高可用</w:t>
            </w:r>
            <w:r>
              <w:rPr>
                <w:rFonts w:ascii="仿宋_GB2312" w:hAnsi="仿宋_GB2312" w:cs="仿宋_GB2312" w:eastAsia="仿宋_GB2312"/>
                <w:sz w:val="24"/>
              </w:rPr>
              <w:t>。</w:t>
            </w:r>
          </w:p>
          <w:p>
            <w:pPr>
              <w:pStyle w:val="null3"/>
              <w:numPr>
                <w:ilvl w:val="3"/>
                <w:numId w:val="3"/>
              </w:numPr>
            </w:pPr>
            <w:r>
              <w:rPr>
                <w:rFonts w:ascii="仿宋_GB2312" w:hAnsi="仿宋_GB2312" w:cs="仿宋_GB2312" w:eastAsia="仿宋_GB2312"/>
                <w:sz w:val="24"/>
                <w:b/>
              </w:rPr>
              <w:t>服务要求</w:t>
            </w:r>
          </w:p>
          <w:p>
            <w:pPr>
              <w:pStyle w:val="null3"/>
              <w:numPr>
                <w:ilvl w:val="4"/>
                <w:numId w:val="3"/>
              </w:numPr>
              <w:spacing w:before="120" w:after="120"/>
              <w:jc w:val="both"/>
            </w:pPr>
            <w:r>
              <w:rPr>
                <w:rFonts w:ascii="仿宋_GB2312" w:hAnsi="仿宋_GB2312" w:cs="仿宋_GB2312" w:eastAsia="仿宋_GB2312"/>
                <w:sz w:val="24"/>
                <w:b/>
              </w:rPr>
              <w:t>资产归属</w:t>
            </w:r>
          </w:p>
          <w:p>
            <w:pPr>
              <w:pStyle w:val="null3"/>
              <w:ind w:firstLine="480"/>
              <w:jc w:val="both"/>
            </w:pPr>
            <w:r>
              <w:rPr>
                <w:rFonts w:ascii="仿宋_GB2312" w:hAnsi="仿宋_GB2312" w:cs="仿宋_GB2312" w:eastAsia="仿宋_GB2312"/>
                <w:sz w:val="24"/>
              </w:rPr>
              <w:t>需要服务方提供满足服务要求的各类工具，工具资产归属为运维服务方，但工具处理的各项数据归属局和中心，因此服务方需提供工具的运维、特征库升级等配套服务，同时需保证处理相关数据时的安全性。</w:t>
            </w:r>
          </w:p>
          <w:p>
            <w:pPr>
              <w:pStyle w:val="null3"/>
              <w:numPr>
                <w:ilvl w:val="4"/>
                <w:numId w:val="3"/>
              </w:numPr>
            </w:pPr>
            <w:r>
              <w:rPr>
                <w:rFonts w:ascii="仿宋_GB2312" w:hAnsi="仿宋_GB2312" w:cs="仿宋_GB2312" w:eastAsia="仿宋_GB2312"/>
                <w:sz w:val="24"/>
                <w:b/>
              </w:rPr>
              <w:t>服务工具</w:t>
            </w:r>
          </w:p>
          <w:p>
            <w:pPr>
              <w:pStyle w:val="null3"/>
              <w:ind w:firstLine="480"/>
              <w:jc w:val="both"/>
            </w:pPr>
            <w:r>
              <w:rPr>
                <w:rFonts w:ascii="仿宋_GB2312" w:hAnsi="仿宋_GB2312" w:cs="仿宋_GB2312" w:eastAsia="仿宋_GB2312"/>
                <w:sz w:val="24"/>
              </w:rPr>
              <w:t>涵盖多种资产类型：需覆盖政务云平台中的各类硬件资产，如服务器、存储设备、网络设备等，以及软件资产，包括操作系统、数据库、中间件、应用软件等，甚至还应包括数据资产、网络带宽资源、</w:t>
            </w:r>
            <w:r>
              <w:rPr>
                <w:rFonts w:ascii="仿宋_GB2312" w:hAnsi="仿宋_GB2312" w:cs="仿宋_GB2312" w:eastAsia="仿宋_GB2312"/>
                <w:sz w:val="24"/>
              </w:rPr>
              <w:t>IP 地址资源等，实现对所有资产的统一管理，避免出现管理漏洞.</w:t>
            </w:r>
          </w:p>
          <w:p>
            <w:pPr>
              <w:pStyle w:val="null3"/>
              <w:ind w:firstLine="480"/>
              <w:jc w:val="both"/>
            </w:pPr>
            <w:r>
              <w:rPr>
                <w:rFonts w:ascii="仿宋_GB2312" w:hAnsi="仿宋_GB2312" w:cs="仿宋_GB2312" w:eastAsia="仿宋_GB2312"/>
                <w:sz w:val="24"/>
              </w:rPr>
              <w:t>资产信息详细记录：对每一项资产的详细信息进行记录，如硬件设备的型号、配置、购置时间、保修期限，软件的版本、授权信息、安装时间，数据资产的类型、规模、存储位置、更新时间等，以便准确掌握资产状况。</w:t>
            </w:r>
          </w:p>
          <w:p>
            <w:pPr>
              <w:pStyle w:val="null3"/>
              <w:numPr>
                <w:ilvl w:val="4"/>
                <w:numId w:val="3"/>
              </w:numPr>
            </w:pPr>
            <w:r>
              <w:rPr>
                <w:rFonts w:ascii="仿宋_GB2312" w:hAnsi="仿宋_GB2312" w:cs="仿宋_GB2312" w:eastAsia="仿宋_GB2312"/>
                <w:sz w:val="24"/>
                <w:b/>
              </w:rPr>
              <w:t>服务工具保障</w:t>
            </w:r>
          </w:p>
          <w:p>
            <w:pPr>
              <w:pStyle w:val="null3"/>
              <w:ind w:firstLine="480"/>
              <w:jc w:val="both"/>
            </w:pPr>
            <w:r>
              <w:rPr>
                <w:rFonts w:ascii="仿宋_GB2312" w:hAnsi="仿宋_GB2312" w:cs="仿宋_GB2312" w:eastAsia="仿宋_GB2312"/>
                <w:sz w:val="24"/>
              </w:rPr>
              <w:t>为本项目所提供的资产管理服务工具在服务期内提供基础保障，包括但不限于定期巡检、按需升级、故障处理、告警处理、日常运维操作、日常管理等保障，保障相关工具能够正常稳定运行。</w:t>
            </w:r>
          </w:p>
          <w:p>
            <w:pPr>
              <w:pStyle w:val="null3"/>
              <w:numPr>
                <w:ilvl w:val="4"/>
                <w:numId w:val="3"/>
              </w:numPr>
            </w:pPr>
            <w:r>
              <w:rPr>
                <w:rFonts w:ascii="仿宋_GB2312" w:hAnsi="仿宋_GB2312" w:cs="仿宋_GB2312" w:eastAsia="仿宋_GB2312"/>
                <w:sz w:val="24"/>
                <w:b/>
              </w:rPr>
              <w:t>分析工具</w:t>
            </w:r>
          </w:p>
          <w:p>
            <w:pPr>
              <w:pStyle w:val="null3"/>
              <w:ind w:firstLine="480"/>
              <w:jc w:val="both"/>
            </w:pPr>
            <w:r>
              <w:rPr>
                <w:rFonts w:ascii="仿宋_GB2312" w:hAnsi="仿宋_GB2312" w:cs="仿宋_GB2312" w:eastAsia="仿宋_GB2312"/>
                <w:sz w:val="24"/>
              </w:rPr>
              <w:t>1）系统需提供内置的基于 B/S 的报表设计器。</w:t>
            </w:r>
          </w:p>
          <w:p>
            <w:pPr>
              <w:pStyle w:val="null3"/>
              <w:ind w:firstLine="480"/>
              <w:jc w:val="both"/>
            </w:pPr>
            <w:r>
              <w:rPr>
                <w:rFonts w:ascii="仿宋_GB2312" w:hAnsi="仿宋_GB2312" w:cs="仿宋_GB2312" w:eastAsia="仿宋_GB2312"/>
                <w:sz w:val="24"/>
              </w:rPr>
              <w:t>2）报表设计器</w:t>
            </w:r>
            <w:r>
              <w:rPr>
                <w:rFonts w:ascii="仿宋_GB2312" w:hAnsi="仿宋_GB2312" w:cs="仿宋_GB2312" w:eastAsia="仿宋_GB2312"/>
                <w:sz w:val="24"/>
              </w:rPr>
              <w:t>具有</w:t>
            </w:r>
            <w:r>
              <w:rPr>
                <w:rFonts w:ascii="仿宋_GB2312" w:hAnsi="仿宋_GB2312" w:cs="仿宋_GB2312" w:eastAsia="仿宋_GB2312"/>
                <w:sz w:val="24"/>
              </w:rPr>
              <w:t>丰富的数据源配置，如系统默认数据源、外部数据库服务</w:t>
            </w:r>
            <w:r>
              <w:rPr>
                <w:rFonts w:ascii="仿宋_GB2312" w:hAnsi="仿宋_GB2312" w:cs="仿宋_GB2312" w:eastAsia="仿宋_GB2312"/>
                <w:sz w:val="24"/>
              </w:rPr>
              <w:t>(</w:t>
            </w:r>
            <w:r>
              <w:rPr>
                <w:rFonts w:ascii="仿宋_GB2312" w:hAnsi="仿宋_GB2312" w:cs="仿宋_GB2312" w:eastAsia="仿宋_GB2312"/>
                <w:sz w:val="24"/>
              </w:rPr>
              <w:t>具有</w:t>
            </w:r>
            <w:r>
              <w:rPr>
                <w:rFonts w:ascii="仿宋_GB2312" w:hAnsi="仿宋_GB2312" w:cs="仿宋_GB2312" w:eastAsia="仿宋_GB2312"/>
                <w:sz w:val="24"/>
              </w:rPr>
              <w:t>人大金仓数据库、</w:t>
            </w:r>
            <w:r>
              <w:rPr>
                <w:rFonts w:ascii="仿宋_GB2312" w:hAnsi="仿宋_GB2312" w:cs="仿宋_GB2312" w:eastAsia="仿宋_GB2312"/>
                <w:sz w:val="24"/>
              </w:rPr>
              <w:t>达梦数据库等</w:t>
            </w:r>
            <w:r>
              <w:rPr>
                <w:rFonts w:ascii="仿宋_GB2312" w:hAnsi="仿宋_GB2312" w:cs="仿宋_GB2312" w:eastAsia="仿宋_GB2312"/>
                <w:sz w:val="24"/>
              </w:rPr>
              <w:t>)、文件型数据源(</w:t>
            </w:r>
            <w:r>
              <w:rPr>
                <w:rFonts w:ascii="仿宋_GB2312" w:hAnsi="仿宋_GB2312" w:cs="仿宋_GB2312" w:eastAsia="仿宋_GB2312"/>
                <w:sz w:val="24"/>
              </w:rPr>
              <w:t>具有</w:t>
            </w:r>
            <w:r>
              <w:rPr>
                <w:rFonts w:ascii="仿宋_GB2312" w:hAnsi="仿宋_GB2312" w:cs="仿宋_GB2312" w:eastAsia="仿宋_GB2312"/>
                <w:sz w:val="24"/>
              </w:rPr>
              <w:t>信创</w:t>
            </w:r>
            <w:r>
              <w:rPr>
                <w:rFonts w:ascii="仿宋_GB2312" w:hAnsi="仿宋_GB2312" w:cs="仿宋_GB2312" w:eastAsia="仿宋_GB2312"/>
                <w:sz w:val="24"/>
              </w:rPr>
              <w:t>Execl</w:t>
            </w:r>
            <w:r>
              <w:rPr>
                <w:rFonts w:ascii="仿宋_GB2312" w:hAnsi="仿宋_GB2312" w:cs="仿宋_GB2312" w:eastAsia="仿宋_GB2312"/>
                <w:sz w:val="24"/>
              </w:rPr>
              <w:t>、</w:t>
            </w:r>
            <w:r>
              <w:rPr>
                <w:rFonts w:ascii="仿宋_GB2312" w:hAnsi="仿宋_GB2312" w:cs="仿宋_GB2312" w:eastAsia="仿宋_GB2312"/>
                <w:sz w:val="24"/>
              </w:rPr>
              <w:t>CSV、XML 等)、第三方接口服务数据源、多数数据源等。</w:t>
            </w:r>
          </w:p>
          <w:p>
            <w:pPr>
              <w:pStyle w:val="null3"/>
              <w:ind w:firstLine="480"/>
              <w:jc w:val="both"/>
            </w:pPr>
            <w:r>
              <w:rPr>
                <w:rFonts w:ascii="仿宋_GB2312" w:hAnsi="仿宋_GB2312" w:cs="仿宋_GB2312" w:eastAsia="仿宋_GB2312"/>
                <w:sz w:val="24"/>
              </w:rPr>
              <w:t>3）报表设计器需</w:t>
            </w:r>
            <w:r>
              <w:rPr>
                <w:rFonts w:ascii="仿宋_GB2312" w:hAnsi="仿宋_GB2312" w:cs="仿宋_GB2312" w:eastAsia="仿宋_GB2312"/>
                <w:sz w:val="24"/>
              </w:rPr>
              <w:t>具有</w:t>
            </w:r>
            <w:r>
              <w:rPr>
                <w:rFonts w:ascii="仿宋_GB2312" w:hAnsi="仿宋_GB2312" w:cs="仿宋_GB2312" w:eastAsia="仿宋_GB2312"/>
                <w:sz w:val="24"/>
              </w:rPr>
              <w:t>所有常见的图形控件，如饼图、折线图、柱状图、矢量图、条码等。</w:t>
            </w:r>
          </w:p>
          <w:p>
            <w:pPr>
              <w:pStyle w:val="null3"/>
              <w:ind w:firstLine="480"/>
              <w:jc w:val="both"/>
            </w:pPr>
            <w:r>
              <w:rPr>
                <w:rFonts w:ascii="仿宋_GB2312" w:hAnsi="仿宋_GB2312" w:cs="仿宋_GB2312" w:eastAsia="仿宋_GB2312"/>
                <w:sz w:val="24"/>
              </w:rPr>
              <w:t>4）需</w:t>
            </w:r>
            <w:r>
              <w:rPr>
                <w:rFonts w:ascii="仿宋_GB2312" w:hAnsi="仿宋_GB2312" w:cs="仿宋_GB2312" w:eastAsia="仿宋_GB2312"/>
                <w:sz w:val="24"/>
              </w:rPr>
              <w:t>具有</w:t>
            </w:r>
            <w:r>
              <w:rPr>
                <w:rFonts w:ascii="仿宋_GB2312" w:hAnsi="仿宋_GB2312" w:cs="仿宋_GB2312" w:eastAsia="仿宋_GB2312"/>
                <w:sz w:val="24"/>
              </w:rPr>
              <w:t>数据钻取、动态</w:t>
            </w:r>
            <w:r>
              <w:rPr>
                <w:rFonts w:ascii="仿宋_GB2312" w:hAnsi="仿宋_GB2312" w:cs="仿宋_GB2312" w:eastAsia="仿宋_GB2312"/>
                <w:sz w:val="24"/>
              </w:rPr>
              <w:t>刷新</w:t>
            </w:r>
            <w:r>
              <w:rPr>
                <w:rFonts w:ascii="仿宋_GB2312" w:hAnsi="仿宋_GB2312" w:cs="仿宋_GB2312" w:eastAsia="仿宋_GB2312"/>
                <w:sz w:val="24"/>
              </w:rPr>
              <w:t>等功能。</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）需</w:t>
            </w:r>
            <w:r>
              <w:rPr>
                <w:rFonts w:ascii="仿宋_GB2312" w:hAnsi="仿宋_GB2312" w:cs="仿宋_GB2312" w:eastAsia="仿宋_GB2312"/>
                <w:sz w:val="24"/>
              </w:rPr>
              <w:t>具有</w:t>
            </w:r>
            <w:r>
              <w:rPr>
                <w:rFonts w:ascii="仿宋_GB2312" w:hAnsi="仿宋_GB2312" w:cs="仿宋_GB2312" w:eastAsia="仿宋_GB2312"/>
                <w:sz w:val="24"/>
              </w:rPr>
              <w:t>交叉表、分组表等多种复杂的表头以及表单设计。</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）需</w:t>
            </w:r>
            <w:r>
              <w:rPr>
                <w:rFonts w:ascii="仿宋_GB2312" w:hAnsi="仿宋_GB2312" w:cs="仿宋_GB2312" w:eastAsia="仿宋_GB2312"/>
                <w:sz w:val="24"/>
              </w:rPr>
              <w:t>具有</w:t>
            </w:r>
            <w:r>
              <w:rPr>
                <w:rFonts w:ascii="仿宋_GB2312" w:hAnsi="仿宋_GB2312" w:cs="仿宋_GB2312" w:eastAsia="仿宋_GB2312"/>
                <w:sz w:val="24"/>
              </w:rPr>
              <w:t>设定复杂的系统变量以及函数计算。</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）需</w:t>
            </w:r>
            <w:r>
              <w:rPr>
                <w:rFonts w:ascii="仿宋_GB2312" w:hAnsi="仿宋_GB2312" w:cs="仿宋_GB2312" w:eastAsia="仿宋_GB2312"/>
                <w:sz w:val="24"/>
              </w:rPr>
              <w:t>具有</w:t>
            </w:r>
            <w:r>
              <w:rPr>
                <w:rFonts w:ascii="仿宋_GB2312" w:hAnsi="仿宋_GB2312" w:cs="仿宋_GB2312" w:eastAsia="仿宋_GB2312"/>
                <w:sz w:val="24"/>
              </w:rPr>
              <w:t>页面分段、交叉式、颜色表达式等多种展示模式。</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）需</w:t>
            </w:r>
            <w:r>
              <w:rPr>
                <w:rFonts w:ascii="仿宋_GB2312" w:hAnsi="仿宋_GB2312" w:cs="仿宋_GB2312" w:eastAsia="仿宋_GB2312"/>
                <w:sz w:val="24"/>
              </w:rPr>
              <w:t>具有</w:t>
            </w:r>
            <w:r>
              <w:rPr>
                <w:rFonts w:ascii="仿宋_GB2312" w:hAnsi="仿宋_GB2312" w:cs="仿宋_GB2312" w:eastAsia="仿宋_GB2312"/>
                <w:sz w:val="24"/>
              </w:rPr>
              <w:t>报表定时调度。</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）需</w:t>
            </w:r>
            <w:r>
              <w:rPr>
                <w:rFonts w:ascii="仿宋_GB2312" w:hAnsi="仿宋_GB2312" w:cs="仿宋_GB2312" w:eastAsia="仿宋_GB2312"/>
                <w:sz w:val="24"/>
              </w:rPr>
              <w:t>具有</w:t>
            </w:r>
            <w:r>
              <w:rPr>
                <w:rFonts w:ascii="仿宋_GB2312" w:hAnsi="仿宋_GB2312" w:cs="仿宋_GB2312" w:eastAsia="仿宋_GB2312"/>
                <w:sz w:val="24"/>
              </w:rPr>
              <w:t>报表输出。</w:t>
            </w:r>
          </w:p>
          <w:p>
            <w:pPr>
              <w:pStyle w:val="null3"/>
              <w:numPr>
                <w:ilvl w:val="4"/>
                <w:numId w:val="3"/>
              </w:numPr>
            </w:pPr>
            <w:r>
              <w:rPr>
                <w:rFonts w:ascii="仿宋_GB2312" w:hAnsi="仿宋_GB2312" w:cs="仿宋_GB2312" w:eastAsia="仿宋_GB2312"/>
                <w:sz w:val="24"/>
                <w:b/>
              </w:rPr>
              <w:t>三维场景渲染</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具有统一的技术标准，原生具备</w:t>
            </w:r>
            <w:r>
              <w:rPr>
                <w:rFonts w:ascii="仿宋_GB2312" w:hAnsi="仿宋_GB2312" w:cs="仿宋_GB2312" w:eastAsia="仿宋_GB2312"/>
                <w:sz w:val="24"/>
              </w:rPr>
              <w:t>GIS 与 BIM 无缝融合的可视化能力，具备可持续开发性与可扩展性。</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具有</w:t>
            </w:r>
            <w:r>
              <w:rPr>
                <w:rFonts w:ascii="仿宋_GB2312" w:hAnsi="仿宋_GB2312" w:cs="仿宋_GB2312" w:eastAsia="仿宋_GB2312"/>
                <w:sz w:val="24"/>
              </w:rPr>
              <w:t>栅格、矢量、倾斜摄影、手工模型、</w:t>
            </w:r>
            <w:r>
              <w:rPr>
                <w:rFonts w:ascii="仿宋_GB2312" w:hAnsi="仿宋_GB2312" w:cs="仿宋_GB2312" w:eastAsia="仿宋_GB2312"/>
                <w:sz w:val="24"/>
              </w:rPr>
              <w:t>BIM、点云等众多数据类型。</w:t>
            </w:r>
            <w:r>
              <w:rPr>
                <w:rFonts w:ascii="仿宋_GB2312" w:hAnsi="仿宋_GB2312" w:cs="仿宋_GB2312" w:eastAsia="仿宋_GB2312"/>
                <w:sz w:val="24"/>
              </w:rPr>
              <w:t>具有</w:t>
            </w:r>
            <w:r>
              <w:rPr>
                <w:rFonts w:ascii="仿宋_GB2312" w:hAnsi="仿宋_GB2312" w:cs="仿宋_GB2312" w:eastAsia="仿宋_GB2312"/>
                <w:sz w:val="24"/>
              </w:rPr>
              <w:t xml:space="preserve"> </w:t>
            </w:r>
            <w:r>
              <w:rPr>
                <w:rFonts w:ascii="仿宋_GB2312" w:hAnsi="仿宋_GB2312" w:cs="仿宋_GB2312" w:eastAsia="仿宋_GB2312"/>
                <w:sz w:val="24"/>
              </w:rPr>
              <w:t>ifc、stp、rvt 等主流 BIM 数据格式加载。</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提供的三维场景画面真实、光影丰富，</w:t>
            </w:r>
            <w:r>
              <w:rPr>
                <w:rFonts w:ascii="仿宋_GB2312" w:hAnsi="仿宋_GB2312" w:cs="仿宋_GB2312" w:eastAsia="仿宋_GB2312"/>
                <w:sz w:val="24"/>
              </w:rPr>
              <w:t>具有</w:t>
            </w:r>
            <w:r>
              <w:rPr>
                <w:rFonts w:ascii="仿宋_GB2312" w:hAnsi="仿宋_GB2312" w:cs="仿宋_GB2312" w:eastAsia="仿宋_GB2312"/>
                <w:sz w:val="24"/>
              </w:rPr>
              <w:t>实时渲染、</w:t>
            </w:r>
            <w:r>
              <w:rPr>
                <w:rFonts w:ascii="仿宋_GB2312" w:hAnsi="仿宋_GB2312" w:cs="仿宋_GB2312" w:eastAsia="仿宋_GB2312"/>
                <w:sz w:val="24"/>
              </w:rPr>
              <w:t>具有</w:t>
            </w:r>
            <w:r>
              <w:rPr>
                <w:rFonts w:ascii="仿宋_GB2312" w:hAnsi="仿宋_GB2312" w:cs="仿宋_GB2312" w:eastAsia="仿宋_GB2312"/>
                <w:sz w:val="24"/>
              </w:rPr>
              <w:t>基于物理特性的渲染。</w:t>
            </w:r>
          </w:p>
          <w:p>
            <w:pPr>
              <w:pStyle w:val="null3"/>
              <w:numPr>
                <w:ilvl w:val="4"/>
                <w:numId w:val="3"/>
              </w:numPr>
            </w:pPr>
            <w:r>
              <w:rPr>
                <w:rFonts w:ascii="仿宋_GB2312" w:hAnsi="仿宋_GB2312" w:cs="仿宋_GB2312" w:eastAsia="仿宋_GB2312"/>
                <w:sz w:val="24"/>
                <w:b/>
              </w:rPr>
              <w:t>可视化监测服务</w:t>
            </w:r>
          </w:p>
          <w:p>
            <w:pPr>
              <w:pStyle w:val="null3"/>
              <w:ind w:firstLine="480"/>
              <w:jc w:val="both"/>
            </w:pPr>
            <w:r>
              <w:rPr>
                <w:rFonts w:ascii="仿宋_GB2312" w:hAnsi="仿宋_GB2312" w:cs="仿宋_GB2312" w:eastAsia="仿宋_GB2312"/>
                <w:sz w:val="24"/>
              </w:rPr>
              <w:t>可视化监测服务随之大量的运维数据监测、汇总、分析，这些数据已经渗透到运维管理的各个职能领域，成为重要的影响因素。但是真正带来价值的并不是数据本身，而是对数据的有效利用。可视化监测服务定位是专业管理和领导决策的窗口，要</w:t>
            </w:r>
            <w:r>
              <w:rPr>
                <w:rFonts w:ascii="仿宋_GB2312" w:hAnsi="仿宋_GB2312" w:cs="仿宋_GB2312" w:eastAsia="仿宋_GB2312"/>
                <w:sz w:val="24"/>
              </w:rPr>
              <w:t>提供</w:t>
            </w:r>
            <w:r>
              <w:rPr>
                <w:rFonts w:ascii="仿宋_GB2312" w:hAnsi="仿宋_GB2312" w:cs="仿宋_GB2312" w:eastAsia="仿宋_GB2312"/>
                <w:sz w:val="24"/>
              </w:rPr>
              <w:t>丰富且必要的数据信息，同时也提供多个联动协同的服务能力。</w:t>
            </w:r>
          </w:p>
          <w:p>
            <w:pPr>
              <w:pStyle w:val="null3"/>
              <w:ind w:firstLine="480"/>
              <w:jc w:val="both"/>
            </w:pPr>
            <w:r>
              <w:rPr>
                <w:rFonts w:ascii="仿宋_GB2312" w:hAnsi="仿宋_GB2312" w:cs="仿宋_GB2312" w:eastAsia="仿宋_GB2312"/>
                <w:sz w:val="24"/>
              </w:rPr>
              <w:t>可视化监测服务需要</w:t>
            </w:r>
            <w:r>
              <w:rPr>
                <w:rFonts w:ascii="仿宋_GB2312" w:hAnsi="仿宋_GB2312" w:cs="仿宋_GB2312" w:eastAsia="仿宋_GB2312"/>
                <w:sz w:val="24"/>
              </w:rPr>
              <w:t>具有</w:t>
            </w:r>
            <w:r>
              <w:rPr>
                <w:rFonts w:ascii="仿宋_GB2312" w:hAnsi="仿宋_GB2312" w:cs="仿宋_GB2312" w:eastAsia="仿宋_GB2312"/>
                <w:sz w:val="24"/>
              </w:rPr>
              <w:t xml:space="preserve"> </w:t>
            </w:r>
            <w:r>
              <w:rPr>
                <w:rFonts w:ascii="仿宋_GB2312" w:hAnsi="仿宋_GB2312" w:cs="仿宋_GB2312" w:eastAsia="仿宋_GB2312"/>
                <w:sz w:val="24"/>
              </w:rPr>
              <w:t>IT 管理现状的统计分析数据的统计呈现，通过数据接口服务获取各运维系统数据，并能够按照既定分类、模板方式进行综合汇总呈现。主要突出展示重要对象、业务、系统、基础设施的整体运行状况等。</w:t>
            </w:r>
          </w:p>
          <w:p>
            <w:pPr>
              <w:pStyle w:val="null3"/>
              <w:numPr>
                <w:ilvl w:val="2"/>
                <w:numId w:val="3"/>
              </w:numPr>
            </w:pPr>
            <w:r>
              <w:rPr>
                <w:rFonts w:ascii="仿宋_GB2312" w:hAnsi="仿宋_GB2312" w:cs="仿宋_GB2312" w:eastAsia="仿宋_GB2312"/>
                <w:sz w:val="24"/>
              </w:rPr>
              <w:t>驻场运维服务</w:t>
            </w:r>
          </w:p>
          <w:p>
            <w:pPr>
              <w:pStyle w:val="null3"/>
              <w:numPr>
                <w:ilvl w:val="3"/>
                <w:numId w:val="3"/>
              </w:numPr>
              <w:spacing w:before="120" w:after="120"/>
              <w:jc w:val="left"/>
            </w:pPr>
            <w:r>
              <w:rPr>
                <w:rFonts w:ascii="仿宋_GB2312" w:hAnsi="仿宋_GB2312" w:cs="仿宋_GB2312" w:eastAsia="仿宋_GB2312"/>
                <w:sz w:val="24"/>
                <w:b/>
              </w:rPr>
              <w:t>监控值守服务</w:t>
            </w:r>
          </w:p>
          <w:p>
            <w:pPr>
              <w:pStyle w:val="null3"/>
              <w:numPr>
                <w:ilvl w:val="4"/>
                <w:numId w:val="3"/>
              </w:numPr>
              <w:spacing w:before="120" w:after="120"/>
              <w:jc w:val="both"/>
            </w:pPr>
            <w:r>
              <w:rPr>
                <w:rFonts w:ascii="仿宋_GB2312" w:hAnsi="仿宋_GB2312" w:cs="仿宋_GB2312" w:eastAsia="仿宋_GB2312"/>
                <w:sz w:val="24"/>
                <w:b/>
              </w:rPr>
              <w:t>服务内容</w:t>
            </w:r>
          </w:p>
          <w:p>
            <w:pPr>
              <w:pStyle w:val="null3"/>
              <w:ind w:firstLine="480"/>
              <w:jc w:val="left"/>
            </w:pPr>
            <w:r>
              <w:rPr>
                <w:rFonts w:ascii="仿宋_GB2312" w:hAnsi="仿宋_GB2312" w:cs="仿宋_GB2312" w:eastAsia="仿宋_GB2312"/>
                <w:sz w:val="24"/>
              </w:rPr>
              <w:t>提供</w:t>
            </w:r>
            <w:r>
              <w:rPr>
                <w:rFonts w:ascii="仿宋_GB2312" w:hAnsi="仿宋_GB2312" w:cs="仿宋_GB2312" w:eastAsia="仿宋_GB2312"/>
                <w:sz w:val="24"/>
              </w:rPr>
              <w:t>5×8小时驻场值守服务，保障7*24小时不间断值守响应，确保值守工作无空档、无死角。值守期间，安排专人负责日常值守工作，保持24小时座机畅通，及时接受各市级单位的咨询、需求反馈、事件上报等相关事宜。接到各类来电后，现场值班人员需准确记录来电时间、来电单位、来电人员、联系电话、事件具体内容、需求要点等核心信息，对咨询类事项，当场能解答的及时给予专业回复，无法当场解答的，明确告知回复时限和联系方式，后续跟踪落实并及时反馈；对需求反馈和事件上报类事项，梳理相关信息，第一时间同步至相关运维负责人，跟进处置进度，及时电话回访处置情况。同时，每日梳理值守记录，汇总当日运维咨询、需求反馈和事件处置情况，形成每日值守总结，每周进行汇总复盘，排查值守工作中存在的问题，优化值守流程，提升服务质量，确保值守工作与整体运维服务高效衔接，保障各项运维工作有序推进。</w:t>
            </w:r>
          </w:p>
          <w:p>
            <w:pPr>
              <w:pStyle w:val="null3"/>
              <w:numPr>
                <w:ilvl w:val="4"/>
                <w:numId w:val="3"/>
              </w:numPr>
            </w:pPr>
            <w:r>
              <w:rPr>
                <w:rFonts w:ascii="仿宋_GB2312" w:hAnsi="仿宋_GB2312" w:cs="仿宋_GB2312" w:eastAsia="仿宋_GB2312"/>
                <w:sz w:val="24"/>
                <w:b/>
              </w:rPr>
              <w:t>服务要求</w:t>
            </w:r>
          </w:p>
          <w:p>
            <w:pPr>
              <w:pStyle w:val="null3"/>
              <w:ind w:firstLine="480"/>
              <w:jc w:val="left"/>
            </w:pPr>
            <w:r>
              <w:rPr>
                <w:rFonts w:ascii="仿宋_GB2312" w:hAnsi="仿宋_GB2312" w:cs="仿宋_GB2312" w:eastAsia="仿宋_GB2312"/>
                <w:sz w:val="24"/>
              </w:rPr>
              <w:t>值守人员需严格遵守项目管理方各项规章制度及运维服务规范。值守保障需达到</w:t>
            </w:r>
            <w:r>
              <w:rPr>
                <w:rFonts w:ascii="仿宋_GB2312" w:hAnsi="仿宋_GB2312" w:cs="仿宋_GB2312" w:eastAsia="仿宋_GB2312"/>
                <w:sz w:val="24"/>
              </w:rPr>
              <w:t>24小时畅通，现场座机设备保持正常开机，确保各类来电信息能够及时接收和响应，严禁出现通讯中断、无人接听等情况。值守记录需做到完整、准确、规范，详细填写各类核心信息、漏记。值守人员需具备良好的专业素养和沟通能力，面对各类咨询和诉求，准确传达相关信息，高效协调相关事宜。每周汇总复盘需按时完成，及时排查并整改值守工作中的问题，持续提升值守服务效能，确保值守工作符合政务运维服务标准。</w:t>
            </w:r>
          </w:p>
          <w:p>
            <w:pPr>
              <w:pStyle w:val="null3"/>
              <w:numPr>
                <w:ilvl w:val="3"/>
                <w:numId w:val="3"/>
              </w:numPr>
            </w:pPr>
            <w:r>
              <w:rPr>
                <w:rFonts w:ascii="仿宋_GB2312" w:hAnsi="仿宋_GB2312" w:cs="仿宋_GB2312" w:eastAsia="仿宋_GB2312"/>
                <w:sz w:val="24"/>
                <w:b/>
              </w:rPr>
              <w:t>环境检查服务</w:t>
            </w:r>
          </w:p>
          <w:p>
            <w:pPr>
              <w:pStyle w:val="null3"/>
              <w:numPr>
                <w:ilvl w:val="4"/>
                <w:numId w:val="3"/>
              </w:numPr>
              <w:spacing w:before="120" w:after="120"/>
              <w:jc w:val="both"/>
            </w:pPr>
            <w:r>
              <w:rPr>
                <w:rFonts w:ascii="仿宋_GB2312" w:hAnsi="仿宋_GB2312" w:cs="仿宋_GB2312" w:eastAsia="仿宋_GB2312"/>
                <w:sz w:val="24"/>
                <w:b/>
              </w:rPr>
              <w:t>服务内容</w:t>
            </w:r>
          </w:p>
          <w:p>
            <w:pPr>
              <w:pStyle w:val="null3"/>
              <w:ind w:firstLine="480"/>
              <w:jc w:val="left"/>
            </w:pPr>
            <w:r>
              <w:rPr>
                <w:rFonts w:ascii="仿宋_GB2312" w:hAnsi="仿宋_GB2312" w:cs="仿宋_GB2312" w:eastAsia="仿宋_GB2312"/>
                <w:sz w:val="24"/>
              </w:rPr>
              <w:t>围绕数据中心机房基础设施和行政办公园区弱电间消防设施提供现场环境检查及维护工作，确保各类设施设备正常运行。</w:t>
            </w:r>
          </w:p>
          <w:p>
            <w:pPr>
              <w:pStyle w:val="null3"/>
              <w:ind w:firstLine="480"/>
              <w:jc w:val="left"/>
            </w:pPr>
            <w:r>
              <w:rPr>
                <w:rFonts w:ascii="仿宋_GB2312" w:hAnsi="仿宋_GB2312" w:cs="仿宋_GB2312" w:eastAsia="仿宋_GB2312"/>
                <w:sz w:val="24"/>
              </w:rPr>
              <w:t>一是数据中心机房基础设施检查，按照每</w:t>
            </w:r>
            <w:r>
              <w:rPr>
                <w:rFonts w:ascii="仿宋_GB2312" w:hAnsi="仿宋_GB2312" w:cs="仿宋_GB2312" w:eastAsia="仿宋_GB2312"/>
                <w:sz w:val="24"/>
              </w:rPr>
              <w:t>3小时一次的检查频次，对机房内消防系统、动环监测系统、空调新风系统、配电系统开展全方位检查。消防系统重点检查火灾报警控制器、烟雾探测器、喷淋系统、灭火器等设备，确认设备运行正常、无故障报警、压力正常、灭火器在有效期内且摆放规范；动环监测系统重点检查温湿度传感器、门禁系统等设备，确认监测数据准确、报警功能正常、门禁权限规范，能够实时监测机房环境及设备状态；空调新风系统重点检查空调运行参数、新风进气量、滤网清洁度等，确保机房温湿度控制在标准范围，新风系统运行正常，保障机房空气质量；配电系统重点检查配电柜、UPS电源、电缆线路等，确认电压、电流稳定，线路无破损、无松动，设备无过热、异响等异常情况，做好检查数据记录。</w:t>
            </w:r>
          </w:p>
          <w:p>
            <w:pPr>
              <w:pStyle w:val="null3"/>
              <w:ind w:firstLine="480"/>
              <w:jc w:val="left"/>
            </w:pPr>
            <w:r>
              <w:rPr>
                <w:rFonts w:ascii="仿宋_GB2312" w:hAnsi="仿宋_GB2312" w:cs="仿宋_GB2312" w:eastAsia="仿宋_GB2312"/>
                <w:sz w:val="24"/>
              </w:rPr>
              <w:t>二是行政办公园区弱电间进行环境检查，按照每月一次的检查频次，对园区内</w:t>
            </w:r>
            <w:r>
              <w:rPr>
                <w:rFonts w:ascii="仿宋_GB2312" w:hAnsi="仿宋_GB2312" w:cs="仿宋_GB2312" w:eastAsia="仿宋_GB2312"/>
                <w:sz w:val="24"/>
              </w:rPr>
              <w:t>208个弱电间的消防设施开展全面排查，重点检查弱电间内消防灭火器、消防栓、应急照明、疏散指示标志等设备，排查线路老化、用电违规、易燃物品堆放等安全隐患，对发现的隐患及时登记并上报；动环监测系统重点检查温湿度传感器、门禁系统等设备，确认监测数据准确、报警功能正常、门禁权限规范，能够实时监测机房环境及设备状态；</w:t>
            </w:r>
          </w:p>
          <w:p>
            <w:pPr>
              <w:pStyle w:val="null3"/>
              <w:ind w:firstLine="480"/>
              <w:jc w:val="left"/>
            </w:pPr>
            <w:r>
              <w:rPr>
                <w:rFonts w:ascii="仿宋_GB2312" w:hAnsi="仿宋_GB2312" w:cs="仿宋_GB2312" w:eastAsia="仿宋_GB2312"/>
                <w:sz w:val="24"/>
              </w:rPr>
              <w:t>三是隐患处置及跟踪，对检查中发现的各类安全隐患和设备异常，第一时间上报项目相关负责人，详细说明隐患位置、具体情况及潜在风险，协助项目管理方制定处置方案，跟踪处置进度，确保隐患及时整改到位，形成隐患处置闭环。</w:t>
            </w:r>
          </w:p>
          <w:p>
            <w:pPr>
              <w:pStyle w:val="null3"/>
              <w:ind w:firstLine="480"/>
              <w:jc w:val="left"/>
            </w:pPr>
            <w:r>
              <w:rPr>
                <w:rFonts w:ascii="仿宋_GB2312" w:hAnsi="仿宋_GB2312" w:cs="仿宋_GB2312" w:eastAsia="仿宋_GB2312"/>
                <w:sz w:val="24"/>
              </w:rPr>
              <w:t>四是月度总结汇报，每月全面梳理机房基础设施环境检查、弱电间检查、隐患处置等各项服务工作开展情况，汇总检查数据、隐患处置结果、设备运行状态等核心信息，编制月度运维服务报告，如实反映服务开展情况并提出针对性改进建议。</w:t>
            </w:r>
          </w:p>
          <w:p>
            <w:pPr>
              <w:pStyle w:val="null3"/>
              <w:numPr>
                <w:ilvl w:val="4"/>
                <w:numId w:val="3"/>
              </w:numPr>
            </w:pPr>
            <w:r>
              <w:rPr>
                <w:rFonts w:ascii="仿宋_GB2312" w:hAnsi="仿宋_GB2312" w:cs="仿宋_GB2312" w:eastAsia="仿宋_GB2312"/>
                <w:sz w:val="24"/>
                <w:b/>
              </w:rPr>
              <w:t>服务要求</w:t>
            </w:r>
          </w:p>
          <w:p>
            <w:pPr>
              <w:pStyle w:val="null3"/>
              <w:jc w:val="left"/>
            </w:pPr>
            <w:r>
              <w:rPr>
                <w:rFonts w:ascii="仿宋_GB2312" w:hAnsi="仿宋_GB2312" w:cs="仿宋_GB2312" w:eastAsia="仿宋_GB2312"/>
                <w:sz w:val="24"/>
              </w:rPr>
              <w:t>环境检查工作需严格遵守既定频次要求，数据中心机房基础设施每</w:t>
            </w:r>
            <w:r>
              <w:rPr>
                <w:rFonts w:ascii="仿宋_GB2312" w:hAnsi="仿宋_GB2312" w:cs="仿宋_GB2312" w:eastAsia="仿宋_GB2312"/>
                <w:sz w:val="24"/>
              </w:rPr>
              <w:t>3小时检查一次，行政办公园区208个弱电间每月检查一次。运维人员需具备专业的巡检能力，熟悉各类设施设备的运行原理和巡检标准，能够准确识别设备异常和安全隐患。巡检记录填写至《日常巡检记录表》，详细记录检查时间、位置、设备状态、运维人员、发现问题等核心信息。隐患处置需遵循“及时发现、及时上报、及时处置”的原则，对发现的安全隐患需第一时间上报并协助处置，跟踪整改落实情况，确保隐患闭环管理。《月度运维服务报告》需每月按时编制内容涵盖检查情况、隐患处置、设备运行状态等。</w:t>
            </w:r>
          </w:p>
          <w:p>
            <w:pPr>
              <w:pStyle w:val="null3"/>
              <w:numPr>
                <w:ilvl w:val="3"/>
                <w:numId w:val="3"/>
              </w:numPr>
            </w:pPr>
            <w:r>
              <w:rPr>
                <w:rFonts w:ascii="仿宋_GB2312" w:hAnsi="仿宋_GB2312" w:cs="仿宋_GB2312" w:eastAsia="仿宋_GB2312"/>
                <w:sz w:val="24"/>
                <w:b/>
              </w:rPr>
              <w:t>业务开通服务</w:t>
            </w:r>
          </w:p>
          <w:p>
            <w:pPr>
              <w:pStyle w:val="null3"/>
              <w:numPr>
                <w:ilvl w:val="4"/>
                <w:numId w:val="3"/>
              </w:numPr>
              <w:spacing w:before="120" w:after="120"/>
              <w:jc w:val="both"/>
            </w:pPr>
            <w:r>
              <w:rPr>
                <w:rFonts w:ascii="仿宋_GB2312" w:hAnsi="仿宋_GB2312" w:cs="仿宋_GB2312" w:eastAsia="仿宋_GB2312"/>
                <w:sz w:val="24"/>
                <w:b/>
              </w:rPr>
              <w:t>服务内容</w:t>
            </w:r>
          </w:p>
          <w:p>
            <w:pPr>
              <w:pStyle w:val="null3"/>
              <w:ind w:firstLine="480"/>
              <w:jc w:val="left"/>
            </w:pPr>
            <w:r>
              <w:rPr>
                <w:rFonts w:ascii="仿宋_GB2312" w:hAnsi="仿宋_GB2312" w:cs="仿宋_GB2312" w:eastAsia="仿宋_GB2312"/>
                <w:sz w:val="24"/>
              </w:rPr>
              <w:t>聚焦政务业务系统基础网络业务开通需求，提供全流程的开通及调试服务，全年不限次数保障项目管理方各类基础业务开通需求。具体服务内容包括端口开通、</w:t>
            </w:r>
            <w:r>
              <w:rPr>
                <w:rFonts w:ascii="仿宋_GB2312" w:hAnsi="仿宋_GB2312" w:cs="仿宋_GB2312" w:eastAsia="仿宋_GB2312"/>
                <w:sz w:val="24"/>
              </w:rPr>
              <w:t>VLAN分配、IP地址绑定、链路聚合配置、终端入网调试等核心业务。接到业务开通需求后，运维人员需确认业务需求细节，包括业务类型、开通范围、技术参数、使用场景等信息，确保开通流程规范、高效。对于端口开通业务，严格按照网络规划和安全规范，完成端口激活、参数配置、测试验证等工作，确保端口正常可用；对于VLAN分配业务，根据各部门、各业务板块的需求，合理分配VLAN网段，划分网络区域，保障网络隔离安全，避免不同业务之间的网络干扰；对于IP地址绑定业务，按照已有IP地址规划方案，完成设备IP地址、MAC地址的绑定工作，规范IP地址使用，防止IP地址冲突，保障网络稳定；对于链路聚合配置业务，根据业务带宽需求，完成链路聚合参数设置，提升网络带宽和传输稳定性，保障大数据量传输需求；对于终端入网调试业务，协助项目管理方完成终端设备的网络配置、驱动安装、连通性测试等工作，确保终端能够正常接入网络、开展业务。同时，严格执行业务开通流程，开通前确认《业务开通需求单》，明确双方责任和需求标准，开通调试完成后，组织项目管理方进行确认，提交《业务开通确认单》，全程做好记录，实现业务开通全流程可追溯。</w:t>
            </w:r>
          </w:p>
          <w:p>
            <w:pPr>
              <w:pStyle w:val="null3"/>
              <w:numPr>
                <w:ilvl w:val="4"/>
                <w:numId w:val="3"/>
              </w:numPr>
            </w:pPr>
            <w:r>
              <w:rPr>
                <w:rFonts w:ascii="仿宋_GB2312" w:hAnsi="仿宋_GB2312" w:cs="仿宋_GB2312" w:eastAsia="仿宋_GB2312"/>
                <w:sz w:val="24"/>
                <w:b/>
              </w:rPr>
              <w:t>服务要求</w:t>
            </w:r>
          </w:p>
          <w:p>
            <w:pPr>
              <w:pStyle w:val="null3"/>
              <w:ind w:firstLine="480"/>
              <w:jc w:val="left"/>
            </w:pPr>
            <w:r>
              <w:rPr>
                <w:rFonts w:ascii="仿宋_GB2312" w:hAnsi="仿宋_GB2312" w:cs="仿宋_GB2312" w:eastAsia="仿宋_GB2312"/>
                <w:sz w:val="24"/>
              </w:rPr>
              <w:t>业务开通服务需严格遵守响应时效要求，工作日</w:t>
            </w:r>
            <w:r>
              <w:rPr>
                <w:rFonts w:ascii="仿宋_GB2312" w:hAnsi="仿宋_GB2312" w:cs="仿宋_GB2312" w:eastAsia="仿宋_GB2312"/>
                <w:sz w:val="24"/>
              </w:rPr>
              <w:t>9:00-18:00期间，接收到项目管理方业务开通需求后，4小时内完成远程响应，详细对接需求细节，48小时内完成业务开通及调试工作，确因复杂业务无法按时完成的，需提前报备，说明原因并明确完成时限，跟踪推进直至完成。</w:t>
            </w:r>
          </w:p>
          <w:p>
            <w:pPr>
              <w:pStyle w:val="null3"/>
              <w:ind w:firstLine="480"/>
              <w:jc w:val="left"/>
            </w:pPr>
            <w:r>
              <w:rPr>
                <w:rFonts w:ascii="仿宋_GB2312" w:hAnsi="仿宋_GB2312" w:cs="仿宋_GB2312" w:eastAsia="仿宋_GB2312"/>
                <w:sz w:val="24"/>
              </w:rPr>
              <w:t>业务开通流程需规范有序，严格执行</w:t>
            </w:r>
            <w:r>
              <w:rPr>
                <w:rFonts w:ascii="仿宋_GB2312" w:hAnsi="仿宋_GB2312" w:cs="仿宋_GB2312" w:eastAsia="仿宋_GB2312"/>
                <w:sz w:val="24"/>
              </w:rPr>
              <w:t>“需求对接-方案制定-开通实施-测试验证-验收确认”的全流程。业务开通过程中，需严格遵循项目管理方网络规划和安全规范，确保配置参数准确、网络安全可控，避免因配置失误导致网络故障或安全隐患。业务开通完成后，需及时组织项目管理方确认，直至符合项目管理方需求。</w:t>
            </w:r>
          </w:p>
          <w:p>
            <w:pPr>
              <w:pStyle w:val="null3"/>
              <w:ind w:firstLine="480"/>
              <w:jc w:val="left"/>
            </w:pPr>
            <w:r>
              <w:rPr>
                <w:rFonts w:ascii="仿宋_GB2312" w:hAnsi="仿宋_GB2312" w:cs="仿宋_GB2312" w:eastAsia="仿宋_GB2312"/>
                <w:sz w:val="24"/>
              </w:rPr>
              <w:t>全年业务开通不限次数，确保项目管理方各类基础网络业务需求得到充分满足，服务过程中保持良好的沟通协调，及时反馈业务开通进度，主动解决开通过程中出现的问题。</w:t>
            </w:r>
          </w:p>
          <w:p>
            <w:pPr>
              <w:pStyle w:val="null3"/>
              <w:numPr>
                <w:ilvl w:val="3"/>
                <w:numId w:val="3"/>
              </w:numPr>
            </w:pPr>
            <w:r>
              <w:rPr>
                <w:rFonts w:ascii="仿宋_GB2312" w:hAnsi="仿宋_GB2312" w:cs="仿宋_GB2312" w:eastAsia="仿宋_GB2312"/>
                <w:sz w:val="24"/>
                <w:b/>
              </w:rPr>
              <w:t>故障处置服务</w:t>
            </w:r>
          </w:p>
          <w:p>
            <w:pPr>
              <w:pStyle w:val="null3"/>
              <w:numPr>
                <w:ilvl w:val="4"/>
                <w:numId w:val="3"/>
              </w:numPr>
              <w:spacing w:before="120" w:after="120"/>
              <w:jc w:val="both"/>
            </w:pPr>
            <w:r>
              <w:rPr>
                <w:rFonts w:ascii="仿宋_GB2312" w:hAnsi="仿宋_GB2312" w:cs="仿宋_GB2312" w:eastAsia="仿宋_GB2312"/>
                <w:sz w:val="24"/>
                <w:b/>
              </w:rPr>
              <w:t>服务内容</w:t>
            </w:r>
          </w:p>
          <w:p>
            <w:pPr>
              <w:pStyle w:val="null3"/>
              <w:ind w:firstLine="480"/>
              <w:jc w:val="left"/>
            </w:pPr>
            <w:r>
              <w:rPr>
                <w:rFonts w:ascii="仿宋_GB2312" w:hAnsi="仿宋_GB2312" w:cs="仿宋_GB2312" w:eastAsia="仿宋_GB2312"/>
                <w:sz w:val="24"/>
              </w:rPr>
              <w:t>覆盖各类网络及设备故障处置，实行分级处置管理，根据故障影响范围、严重程度，将故障分为一级、二级、三级、四级，明确各级故障的处置流程和时限。具体故障场景包括汇聚层交换机宕机、核心链路中断、单栋楼宇网络中断、个别端口故障、硬件设备故障等。故障处置严格执行</w:t>
            </w:r>
            <w:r>
              <w:rPr>
                <w:rFonts w:ascii="仿宋_GB2312" w:hAnsi="仿宋_GB2312" w:cs="仿宋_GB2312" w:eastAsia="仿宋_GB2312"/>
                <w:sz w:val="24"/>
              </w:rPr>
              <w:t>“故障申报-故障诊断-处置实施-验收闭环”四个环节，确保流程规范、高效。</w:t>
            </w:r>
          </w:p>
          <w:p>
            <w:pPr>
              <w:pStyle w:val="null3"/>
              <w:ind w:firstLine="480"/>
              <w:jc w:val="left"/>
            </w:pPr>
            <w:r>
              <w:rPr>
                <w:rFonts w:ascii="仿宋_GB2312" w:hAnsi="仿宋_GB2312" w:cs="仿宋_GB2312" w:eastAsia="仿宋_GB2312"/>
                <w:sz w:val="24"/>
              </w:rPr>
              <w:t>一是故障申报，项目管理方及相关单位通过电话、平台等方式申报故障，运维人员详细记录故障信息，包括故障发生时间、故障位置、故障现象、影响范围等核心内容，第一时间上报故障处置负责人。二是故障诊断，故障处置负责人根据故障等级和故障信息，组织专业技术人员开展故障诊断，远程可诊断的，及时通过远程方式排查故障原因；远程无法诊断的，立即安排技术人员前往现场，通过设备检测、线路排查等方式，定位故障原因，制定处置方案。三是处置实施，根据故障诊断结果和处置方案，组织技术人员开展故障处置工作，硬件故障时，启用备用备件进行替换，确保故障快速恢复；网络故障时，通过参数调整、线路修复、设备重启等方式，及时排除故障，恢复网络及设备正常运行。四是验收闭环，故障处置完成后，组织项目管理方及相关单位进行验收，确认故障已彻底解决、设备及网络运行正常，填写《故障处置报告》，详细记录故障处置全过程，形成故障处置闭环。同时，建立故障处置台账，汇总各类故障信息、处置结果，定期进行复盘分析，排查故障发生的根本原因，提出针对性防范措施，减少故障发生率。</w:t>
            </w:r>
          </w:p>
          <w:p>
            <w:pPr>
              <w:pStyle w:val="null3"/>
              <w:numPr>
                <w:ilvl w:val="4"/>
                <w:numId w:val="3"/>
              </w:numPr>
            </w:pPr>
            <w:r>
              <w:rPr>
                <w:rFonts w:ascii="仿宋_GB2312" w:hAnsi="仿宋_GB2312" w:cs="仿宋_GB2312" w:eastAsia="仿宋_GB2312"/>
                <w:sz w:val="24"/>
                <w:b/>
              </w:rPr>
              <w:t>服务要求</w:t>
            </w:r>
          </w:p>
          <w:p>
            <w:pPr>
              <w:pStyle w:val="null3"/>
              <w:spacing w:before="120" w:after="120"/>
              <w:ind w:firstLine="480"/>
              <w:jc w:val="left"/>
            </w:pPr>
            <w:r>
              <w:rPr>
                <w:rFonts w:ascii="仿宋_GB2312" w:hAnsi="仿宋_GB2312" w:cs="仿宋_GB2312" w:eastAsia="仿宋_GB2312"/>
                <w:sz w:val="24"/>
              </w:rPr>
              <w:t>故障处置实行</w:t>
            </w:r>
            <w:r>
              <w:rPr>
                <w:rFonts w:ascii="仿宋_GB2312" w:hAnsi="仿宋_GB2312" w:cs="仿宋_GB2312" w:eastAsia="仿宋_GB2312"/>
                <w:sz w:val="24"/>
              </w:rPr>
              <w:t>7*24</w:t>
            </w:r>
            <w:r>
              <w:rPr>
                <w:rFonts w:ascii="仿宋_GB2312" w:hAnsi="仿宋_GB2312" w:cs="仿宋_GB2312" w:eastAsia="仿宋_GB2312"/>
                <w:sz w:val="24"/>
              </w:rPr>
              <w:t>小时全覆盖，不分工作日、节假日，确保各类故障能够及时响应、快速处置。</w:t>
            </w:r>
          </w:p>
          <w:p>
            <w:pPr>
              <w:pStyle w:val="null3"/>
              <w:ind w:firstLine="480"/>
              <w:jc w:val="both"/>
            </w:pPr>
            <w:r>
              <w:rPr>
                <w:rFonts w:ascii="仿宋_GB2312" w:hAnsi="仿宋_GB2312" w:cs="仿宋_GB2312" w:eastAsia="仿宋_GB2312"/>
                <w:sz w:val="24"/>
              </w:rPr>
              <w:t>严格按照故障</w:t>
            </w:r>
            <w:r>
              <w:rPr>
                <w:rFonts w:ascii="仿宋_GB2312" w:hAnsi="仿宋_GB2312" w:cs="仿宋_GB2312" w:eastAsia="仿宋_GB2312"/>
                <w:sz w:val="24"/>
              </w:rPr>
              <w:t>事件</w:t>
            </w:r>
            <w:r>
              <w:rPr>
                <w:rFonts w:ascii="仿宋_GB2312" w:hAnsi="仿宋_GB2312" w:cs="仿宋_GB2312" w:eastAsia="仿宋_GB2312"/>
                <w:sz w:val="24"/>
              </w:rPr>
              <w:t>分级标准执行响应及处置时效，</w:t>
            </w:r>
            <w:r>
              <w:rPr>
                <w:rFonts w:ascii="仿宋_GB2312" w:hAnsi="仿宋_GB2312" w:cs="仿宋_GB2312" w:eastAsia="仿宋_GB2312"/>
                <w:sz w:val="24"/>
                <w:color w:val="000000"/>
              </w:rPr>
              <w:t>一级事件：重大安全事故或系统崩溃导致多家使用单位的业务彻底无法运行，需要立即采取紧急措施进行处理的故障。</w:t>
            </w:r>
            <w:r>
              <w:rPr>
                <w:rFonts w:ascii="仿宋_GB2312" w:hAnsi="仿宋_GB2312" w:cs="仿宋_GB2312" w:eastAsia="仿宋_GB2312"/>
                <w:sz w:val="24"/>
                <w:color w:val="000000"/>
              </w:rPr>
              <w:t>需在</w:t>
            </w:r>
            <w:r>
              <w:rPr>
                <w:rFonts w:ascii="仿宋_GB2312" w:hAnsi="仿宋_GB2312" w:cs="仿宋_GB2312" w:eastAsia="仿宋_GB2312"/>
                <w:sz w:val="24"/>
                <w:color w:val="000000"/>
              </w:rPr>
              <w:t>5分钟内响应，2小时内恢复；</w:t>
            </w:r>
            <w:r>
              <w:rPr>
                <w:rFonts w:ascii="仿宋_GB2312" w:hAnsi="仿宋_GB2312" w:cs="仿宋_GB2312" w:eastAsia="仿宋_GB2312"/>
                <w:sz w:val="24"/>
                <w:color w:val="000000"/>
              </w:rPr>
              <w:t>二级事件：设备及系统发生处理能力、计费能力、维护能力、紧急情况处理能力等完全或部分丧失的情况，导致网络系统不可操作甚至瘫痪，或对使用单位的业务使用有影响，需要立即采取措施进行处理的故障</w:t>
            </w:r>
            <w:r>
              <w:rPr>
                <w:rFonts w:ascii="仿宋_GB2312" w:hAnsi="仿宋_GB2312" w:cs="仿宋_GB2312" w:eastAsia="仿宋_GB2312"/>
                <w:sz w:val="24"/>
                <w:color w:val="000000"/>
              </w:rPr>
              <w:t>。</w:t>
            </w:r>
            <w:r>
              <w:rPr>
                <w:rFonts w:ascii="仿宋_GB2312" w:hAnsi="仿宋_GB2312" w:cs="仿宋_GB2312" w:eastAsia="仿宋_GB2312"/>
                <w:sz w:val="24"/>
                <w:color w:val="000000"/>
              </w:rPr>
              <w:t>需在</w:t>
            </w:r>
            <w:r>
              <w:rPr>
                <w:rFonts w:ascii="仿宋_GB2312" w:hAnsi="仿宋_GB2312" w:cs="仿宋_GB2312" w:eastAsia="仿宋_GB2312"/>
                <w:sz w:val="24"/>
                <w:color w:val="000000"/>
              </w:rPr>
              <w:t>15分钟内响应，8小时内恢复；</w:t>
            </w:r>
            <w:r>
              <w:rPr>
                <w:rFonts w:ascii="仿宋_GB2312" w:hAnsi="仿宋_GB2312" w:cs="仿宋_GB2312" w:eastAsia="仿宋_GB2312"/>
                <w:sz w:val="24"/>
                <w:color w:val="000000"/>
              </w:rPr>
              <w:t>三级事件：设备及系统发生处理能力、计费能力、维护能力、紧急情况处理能力等降低或恶化，造成部分网络系统设备故障，严重影响和限制了系统维护和管理工作，对部分使用单位的业务使用有较大影响。</w:t>
            </w:r>
            <w:r>
              <w:rPr>
                <w:rFonts w:ascii="仿宋_GB2312" w:hAnsi="仿宋_GB2312" w:cs="仿宋_GB2312" w:eastAsia="仿宋_GB2312"/>
                <w:sz w:val="24"/>
                <w:color w:val="000000"/>
              </w:rPr>
              <w:t>需在</w:t>
            </w:r>
            <w:r>
              <w:rPr>
                <w:rFonts w:ascii="仿宋_GB2312" w:hAnsi="仿宋_GB2312" w:cs="仿宋_GB2312" w:eastAsia="仿宋_GB2312"/>
                <w:sz w:val="24"/>
                <w:color w:val="000000"/>
              </w:rPr>
              <w:t>30分钟内响应，12小时内恢复；</w:t>
            </w:r>
            <w:r>
              <w:rPr>
                <w:rFonts w:ascii="仿宋_GB2312" w:hAnsi="仿宋_GB2312" w:cs="仿宋_GB2312" w:eastAsia="仿宋_GB2312"/>
                <w:sz w:val="24"/>
                <w:color w:val="000000"/>
              </w:rPr>
              <w:t>四级事件：故障对系统业务无明显影响，仅造成系统报错、非关键应用无法启动、使用不便、操作不畅等</w:t>
            </w:r>
            <w:r>
              <w:rPr>
                <w:rFonts w:ascii="仿宋_GB2312" w:hAnsi="仿宋_GB2312" w:cs="仿宋_GB2312" w:eastAsia="仿宋_GB2312"/>
                <w:sz w:val="24"/>
                <w:color w:val="000000"/>
              </w:rPr>
              <w:t>，</w:t>
            </w:r>
            <w:r>
              <w:rPr>
                <w:rFonts w:ascii="仿宋_GB2312" w:hAnsi="仿宋_GB2312" w:cs="仿宋_GB2312" w:eastAsia="仿宋_GB2312"/>
                <w:sz w:val="24"/>
                <w:color w:val="000000"/>
              </w:rPr>
              <w:t>使用单位大部分业务仍可正常工作</w:t>
            </w:r>
            <w:r>
              <w:rPr>
                <w:rFonts w:ascii="仿宋_GB2312" w:hAnsi="仿宋_GB2312" w:cs="仿宋_GB2312" w:eastAsia="仿宋_GB2312"/>
                <w:sz w:val="24"/>
                <w:color w:val="000000"/>
              </w:rPr>
              <w:t>。</w:t>
            </w:r>
            <w:r>
              <w:rPr>
                <w:rFonts w:ascii="仿宋_GB2312" w:hAnsi="仿宋_GB2312" w:cs="仿宋_GB2312" w:eastAsia="仿宋_GB2312"/>
                <w:sz w:val="24"/>
                <w:color w:val="000000"/>
              </w:rPr>
              <w:t>需在</w:t>
            </w:r>
            <w:r>
              <w:rPr>
                <w:rFonts w:ascii="仿宋_GB2312" w:hAnsi="仿宋_GB2312" w:cs="仿宋_GB2312" w:eastAsia="仿宋_GB2312"/>
                <w:sz w:val="24"/>
                <w:color w:val="000000"/>
              </w:rPr>
              <w:t>30分钟内响应，24小时内恢复。</w:t>
            </w:r>
          </w:p>
          <w:p>
            <w:pPr>
              <w:pStyle w:val="null3"/>
              <w:ind w:firstLine="480"/>
              <w:jc w:val="both"/>
            </w:pPr>
            <w:r>
              <w:rPr>
                <w:rFonts w:ascii="仿宋_GB2312" w:hAnsi="仿宋_GB2312" w:cs="仿宋_GB2312" w:eastAsia="仿宋_GB2312"/>
                <w:sz w:val="24"/>
              </w:rPr>
              <w:t>故障诊断需精准高效，技术人员需具备扎实的专业技能，能够快速定位故障原因，制定科学合理的处置方案，避免因诊断失误导致故障处置延误。硬件故障替换需使用符合项目管理方标准的备用备件，确保替换后设备运行稳定，替换下来的故障硬件按项目管理方要求进行返厂维修或合规报废。故障处置完成后，必须经项目管理方验收合格，形成闭环管理，填写《故障处置报告》，详细记录故障处置全过程，定期对故障处置情况进行复盘，总结经验教训，优化故障处置流程，提升故障处置效率和质量。</w:t>
            </w:r>
          </w:p>
          <w:p>
            <w:pPr>
              <w:pStyle w:val="null3"/>
              <w:numPr>
                <w:ilvl w:val="3"/>
                <w:numId w:val="3"/>
              </w:numPr>
            </w:pPr>
            <w:r>
              <w:rPr>
                <w:rFonts w:ascii="仿宋_GB2312" w:hAnsi="仿宋_GB2312" w:cs="仿宋_GB2312" w:eastAsia="仿宋_GB2312"/>
                <w:sz w:val="24"/>
                <w:b/>
              </w:rPr>
              <w:t>关键重保服务</w:t>
            </w:r>
          </w:p>
          <w:p>
            <w:pPr>
              <w:pStyle w:val="null3"/>
              <w:numPr>
                <w:ilvl w:val="4"/>
                <w:numId w:val="3"/>
              </w:numPr>
              <w:spacing w:before="120" w:after="120"/>
              <w:jc w:val="both"/>
            </w:pPr>
            <w:r>
              <w:rPr>
                <w:rFonts w:ascii="仿宋_GB2312" w:hAnsi="仿宋_GB2312" w:cs="仿宋_GB2312" w:eastAsia="仿宋_GB2312"/>
                <w:sz w:val="24"/>
                <w:b/>
              </w:rPr>
              <w:t>服务内容</w:t>
            </w:r>
          </w:p>
          <w:p>
            <w:pPr>
              <w:pStyle w:val="null3"/>
              <w:spacing w:before="120" w:after="120"/>
              <w:ind w:firstLine="480"/>
              <w:jc w:val="left"/>
            </w:pPr>
            <w:r>
              <w:rPr>
                <w:rFonts w:ascii="仿宋_GB2312" w:hAnsi="仿宋_GB2312" w:cs="仿宋_GB2312" w:eastAsia="仿宋_GB2312"/>
                <w:sz w:val="24"/>
              </w:rPr>
              <w:t>本服务分为重大活动保障和视频会议专项保障两部分，严格按照保障标准和频次要求开展工作。</w:t>
            </w:r>
          </w:p>
          <w:p>
            <w:pPr>
              <w:pStyle w:val="null3"/>
              <w:spacing w:before="120" w:after="120"/>
              <w:ind w:firstLine="480"/>
              <w:jc w:val="left"/>
            </w:pPr>
            <w:r>
              <w:rPr>
                <w:rFonts w:ascii="仿宋_GB2312" w:hAnsi="仿宋_GB2312" w:cs="仿宋_GB2312" w:eastAsia="仿宋_GB2312"/>
                <w:sz w:val="24"/>
              </w:rPr>
              <w:t>一是重大活动保障，全年提供不少于</w:t>
            </w:r>
            <w:r>
              <w:rPr>
                <w:rFonts w:ascii="仿宋_GB2312" w:hAnsi="仿宋_GB2312" w:cs="仿宋_GB2312" w:eastAsia="仿宋_GB2312"/>
                <w:sz w:val="24"/>
              </w:rPr>
              <w:t>10次重大活动保障服务，重点覆盖春节、国庆、五一、两会等关键政务时段，针对每一次重大活动，提前制定专项重保方案，明确保障目标、工作任务、责任分工、时间节点和保障措施，梳理保障范围内的设备、系统及网络，提前开展全面巡检，排查安全隐患，对核心设备、关键链路进行重点监测，安排专人24小时值守，及时处置突发问题。同时，制定应急处置预案，针对可能出现的设备故障、网络中断、安全隐患等突发情况，明确处置流程、责任人员和处置时限，确保突发情况能够快速响应、有效处置。</w:t>
            </w:r>
          </w:p>
          <w:p>
            <w:pPr>
              <w:pStyle w:val="null3"/>
              <w:spacing w:before="120" w:after="120"/>
              <w:ind w:firstLine="480"/>
              <w:jc w:val="left"/>
            </w:pPr>
            <w:r>
              <w:rPr>
                <w:rFonts w:ascii="仿宋_GB2312" w:hAnsi="仿宋_GB2312" w:cs="仿宋_GB2312" w:eastAsia="仿宋_GB2312"/>
                <w:sz w:val="24"/>
              </w:rPr>
              <w:t>二是视频会议专项保障，全年提供不少于</w:t>
            </w:r>
            <w:r>
              <w:rPr>
                <w:rFonts w:ascii="仿宋_GB2312" w:hAnsi="仿宋_GB2312" w:cs="仿宋_GB2312" w:eastAsia="仿宋_GB2312"/>
                <w:sz w:val="24"/>
              </w:rPr>
              <w:t>50次专业化视频会议保障服务，覆盖项目管理方各类工作部署会、应急调度会、专题研讨会等政务视频会议场景。会议前，提前与项目管理方对接会议特点及需求，制定专项保障方案，对会议网络进行测试，确保会议网络通畅；会议期间，安排专人全程值守，实时监测网络时延抖动、带宽等指标，及时处置突发故障，确保会议顺畅进行，做好会议保障记录；会议后，梳理保障情况，总结经验，优化保障流程。同时，每次重大活动和视频会议保障完成后，及时整理保障资料，形成保障总结报告并上报。</w:t>
            </w:r>
          </w:p>
          <w:p>
            <w:pPr>
              <w:pStyle w:val="null3"/>
              <w:numPr>
                <w:ilvl w:val="4"/>
                <w:numId w:val="3"/>
              </w:numPr>
            </w:pPr>
            <w:r>
              <w:rPr>
                <w:rFonts w:ascii="仿宋_GB2312" w:hAnsi="仿宋_GB2312" w:cs="仿宋_GB2312" w:eastAsia="仿宋_GB2312"/>
                <w:sz w:val="24"/>
                <w:b/>
              </w:rPr>
              <w:t>服务要求</w:t>
            </w:r>
          </w:p>
          <w:p>
            <w:pPr>
              <w:pStyle w:val="null3"/>
              <w:spacing w:before="120" w:after="120"/>
              <w:ind w:firstLine="480"/>
              <w:jc w:val="left"/>
            </w:pPr>
            <w:r>
              <w:rPr>
                <w:rFonts w:ascii="仿宋_GB2312" w:hAnsi="仿宋_GB2312" w:cs="仿宋_GB2312" w:eastAsia="仿宋_GB2312"/>
                <w:sz w:val="24"/>
              </w:rPr>
              <w:t>重大活动保障次数</w:t>
            </w:r>
            <w:r>
              <w:rPr>
                <w:rFonts w:ascii="仿宋_GB2312" w:hAnsi="仿宋_GB2312" w:cs="仿宋_GB2312" w:eastAsia="仿宋_GB2312"/>
                <w:sz w:val="24"/>
              </w:rPr>
              <w:t>≥10次，视频会议保障次数≥50次。</w:t>
            </w:r>
          </w:p>
          <w:p>
            <w:pPr>
              <w:pStyle w:val="null3"/>
              <w:spacing w:before="120" w:after="120"/>
              <w:ind w:firstLine="480"/>
              <w:jc w:val="left"/>
            </w:pPr>
            <w:r>
              <w:rPr>
                <w:rFonts w:ascii="仿宋_GB2312" w:hAnsi="仿宋_GB2312" w:cs="仿宋_GB2312" w:eastAsia="仿宋_GB2312"/>
                <w:sz w:val="24"/>
              </w:rPr>
              <w:t>重保方案及应急处置预案需贴合活动特点和实际需求，内容详实、可操作性强，明确责任分工和处置流程，提前组织演练，确保相关人员熟练掌握处置流程。重大活动期间，核心设备、关键链路需实行</w:t>
            </w:r>
            <w:r>
              <w:rPr>
                <w:rFonts w:ascii="仿宋_GB2312" w:hAnsi="仿宋_GB2312" w:cs="仿宋_GB2312" w:eastAsia="仿宋_GB2312"/>
                <w:sz w:val="24"/>
              </w:rPr>
              <w:t>24小时重点监测，确保突发问题能够及时响应。</w:t>
            </w:r>
          </w:p>
          <w:p>
            <w:pPr>
              <w:pStyle w:val="null3"/>
              <w:numPr>
                <w:ilvl w:val="3"/>
                <w:numId w:val="3"/>
              </w:numPr>
            </w:pPr>
            <w:r>
              <w:rPr>
                <w:rFonts w:ascii="仿宋_GB2312" w:hAnsi="仿宋_GB2312" w:cs="仿宋_GB2312" w:eastAsia="仿宋_GB2312"/>
                <w:sz w:val="24"/>
                <w:b/>
              </w:rPr>
              <w:t>应急演练服务</w:t>
            </w:r>
          </w:p>
          <w:p>
            <w:pPr>
              <w:pStyle w:val="null3"/>
              <w:numPr>
                <w:ilvl w:val="4"/>
                <w:numId w:val="3"/>
              </w:numPr>
              <w:spacing w:before="120" w:after="120"/>
              <w:jc w:val="both"/>
            </w:pPr>
            <w:r>
              <w:rPr>
                <w:rFonts w:ascii="仿宋_GB2312" w:hAnsi="仿宋_GB2312" w:cs="仿宋_GB2312" w:eastAsia="仿宋_GB2312"/>
                <w:sz w:val="24"/>
                <w:b/>
              </w:rPr>
              <w:t>服务内容</w:t>
            </w:r>
          </w:p>
          <w:p>
            <w:pPr>
              <w:pStyle w:val="null3"/>
              <w:spacing w:before="120" w:after="120"/>
              <w:ind w:firstLine="480"/>
              <w:jc w:val="left"/>
            </w:pPr>
            <w:r>
              <w:rPr>
                <w:rFonts w:ascii="仿宋_GB2312" w:hAnsi="仿宋_GB2312" w:cs="仿宋_GB2312" w:eastAsia="仿宋_GB2312"/>
                <w:sz w:val="24"/>
              </w:rPr>
              <w:t>本服务组织开展应急演练工作，围绕项目管理方日常业务中可能出现的重大故障场景，制定科学合理的演练计划和演练脚本，确保演练贴合实际、具有针对性。演练场景主要包括核心链路中断、汇聚层交换机宕机、机房火灾、设备硬件重大故障、网络大面积中断等各类突发情况。</w:t>
            </w:r>
          </w:p>
          <w:p>
            <w:pPr>
              <w:pStyle w:val="null3"/>
              <w:spacing w:before="120" w:after="120"/>
              <w:ind w:firstLine="480"/>
              <w:jc w:val="left"/>
            </w:pPr>
            <w:r>
              <w:rPr>
                <w:rFonts w:ascii="仿宋_GB2312" w:hAnsi="仿宋_GB2312" w:cs="仿宋_GB2312" w:eastAsia="仿宋_GB2312"/>
                <w:sz w:val="24"/>
              </w:rPr>
              <w:t>演练前，组织相关人员开展演练培训，讲解演练方案、演练流程、责任分工和注意事项，确保参与人员熟练掌握演练内容和处置流程。演练过程中，严格按照演练脚本执行，模拟故障发生、上报、诊断、处置、恢复的全流程，安排专人负责现场指挥、流程记录、效果评估等工作，真实还原应急处置场景，检验应急处置预案的可行性和应急队伍的处置能力。</w:t>
            </w:r>
          </w:p>
          <w:p>
            <w:pPr>
              <w:pStyle w:val="null3"/>
              <w:spacing w:before="120" w:after="120"/>
              <w:ind w:firstLine="480"/>
              <w:jc w:val="left"/>
            </w:pPr>
            <w:r>
              <w:rPr>
                <w:rFonts w:ascii="仿宋_GB2312" w:hAnsi="仿宋_GB2312" w:cs="仿宋_GB2312" w:eastAsia="仿宋_GB2312"/>
                <w:sz w:val="24"/>
              </w:rPr>
              <w:t>演练结束后，及时组织召开复盘会议，梳理演练过程中存在的问题，包括应急响应不及时、处置流程不规范、责任分工不明确、设备操作不熟练等，深入分析问题产生的原因，提出针对性改进措施，优化应急处置流程和预案，完善应急处置机制。同时，整理演练相关资料，形成演练总结报告，详细记录演练全过程、存在的问题及改进措施，上报项目管理方备案，为后续应急处置工作提供参考。</w:t>
            </w:r>
          </w:p>
          <w:p>
            <w:pPr>
              <w:pStyle w:val="null3"/>
              <w:numPr>
                <w:ilvl w:val="4"/>
                <w:numId w:val="3"/>
              </w:numPr>
            </w:pPr>
            <w:r>
              <w:rPr>
                <w:rFonts w:ascii="仿宋_GB2312" w:hAnsi="仿宋_GB2312" w:cs="仿宋_GB2312" w:eastAsia="仿宋_GB2312"/>
                <w:sz w:val="24"/>
                <w:b/>
              </w:rPr>
              <w:t>服务要求</w:t>
            </w:r>
          </w:p>
          <w:p>
            <w:pPr>
              <w:pStyle w:val="null3"/>
              <w:spacing w:before="120" w:after="120"/>
              <w:ind w:firstLine="480"/>
              <w:jc w:val="left"/>
            </w:pPr>
            <w:r>
              <w:rPr>
                <w:rFonts w:ascii="仿宋_GB2312" w:hAnsi="仿宋_GB2312" w:cs="仿宋_GB2312" w:eastAsia="仿宋_GB2312"/>
                <w:sz w:val="24"/>
              </w:rPr>
              <w:t>应急演练需严格按照</w:t>
            </w:r>
            <w:r>
              <w:rPr>
                <w:rFonts w:ascii="仿宋_GB2312" w:hAnsi="仿宋_GB2312" w:cs="仿宋_GB2312" w:eastAsia="仿宋_GB2312"/>
                <w:sz w:val="24"/>
              </w:rPr>
              <w:t>1次/年</w:t>
            </w:r>
            <w:r>
              <w:rPr>
                <w:rFonts w:ascii="仿宋_GB2312" w:hAnsi="仿宋_GB2312" w:cs="仿宋_GB2312" w:eastAsia="仿宋_GB2312"/>
                <w:sz w:val="24"/>
              </w:rPr>
              <w:t>的频次开展。演练计划、演练脚本需科学合理，贴合项目管理方实际故障场景，具有针对性和可操作性。演练前需组织相关人员开展培训，确保参与人员熟悉演练流程和处置要求，能够熟练开展应急处置操作。演练过程中，需严格按照演练脚本执行，真实还原应急场景，做好演练记录，确保演练过程可追溯。演练结束后，需及时召开复盘会议，全面梳理存在的问题，深入分析原因，提出的改进措施需具体、可行，能够有效解决演练中发现的问题，优化应急处置流程和预案。演练总结报告需内容完整、逻辑清晰，详细记录演练全过程、存在的问题、改进措施等核心信息，按时上报项目管理方备案。</w:t>
            </w:r>
          </w:p>
          <w:p>
            <w:pPr>
              <w:pStyle w:val="null3"/>
              <w:numPr>
                <w:ilvl w:val="3"/>
                <w:numId w:val="3"/>
              </w:numPr>
            </w:pPr>
            <w:r>
              <w:rPr>
                <w:rFonts w:ascii="仿宋_GB2312" w:hAnsi="仿宋_GB2312" w:cs="仿宋_GB2312" w:eastAsia="仿宋_GB2312"/>
                <w:sz w:val="24"/>
                <w:b/>
              </w:rPr>
              <w:t>硬件更换服务</w:t>
            </w:r>
          </w:p>
          <w:p>
            <w:pPr>
              <w:pStyle w:val="null3"/>
              <w:numPr>
                <w:ilvl w:val="4"/>
                <w:numId w:val="3"/>
              </w:numPr>
              <w:spacing w:before="120" w:after="120"/>
              <w:jc w:val="both"/>
            </w:pPr>
            <w:r>
              <w:rPr>
                <w:rFonts w:ascii="仿宋_GB2312" w:hAnsi="仿宋_GB2312" w:cs="仿宋_GB2312" w:eastAsia="仿宋_GB2312"/>
                <w:sz w:val="24"/>
                <w:b/>
              </w:rPr>
              <w:t>服务内容</w:t>
            </w:r>
          </w:p>
          <w:p>
            <w:pPr>
              <w:pStyle w:val="null3"/>
              <w:spacing w:before="120" w:after="120"/>
              <w:ind w:firstLine="480"/>
              <w:jc w:val="left"/>
            </w:pPr>
            <w:r>
              <w:rPr>
                <w:rFonts w:ascii="仿宋_GB2312" w:hAnsi="仿宋_GB2312" w:cs="仿宋_GB2312" w:eastAsia="仿宋_GB2312"/>
                <w:sz w:val="24"/>
              </w:rPr>
              <w:t>本服务覆盖数据中心及园区各类核心硬件设备的检测、更换及后续处理，具体包括交换机、防火墙、服务器整机、电源模块、风扇模块、光模块、端口板卡等硬件设备。接到项目管理方硬件故障报修后，安排专业技术人员前往现场，对故障硬件进行全面检测，通过设备测试、参数排查、部件检查等方式，准确判断故障原因，明确故障部件、故障原因及处理建议。根据故障检测结果，若需更换硬件，及时调配符合标准的备用备件，按照规范流程开展硬件更换工作，更换过程中严格遵守设备操作规范，做好设备拆卸、安装、调试等工作，确保更换后的硬件设备运行正常，参数符合标准。更换完成后，对设备进行全面测试，确认无故障后，组织项目管理方验收。对于更换下来的故障硬件，按照项目管理方要求进行处理，如需返厂维修，需严格把控维修周期，确保维修质量；如需合规报废，协助项目管理方按照政务资产报废相关规范，完成报废手续。</w:t>
            </w:r>
          </w:p>
          <w:p>
            <w:pPr>
              <w:pStyle w:val="null3"/>
              <w:numPr>
                <w:ilvl w:val="4"/>
                <w:numId w:val="3"/>
              </w:numPr>
            </w:pPr>
            <w:r>
              <w:rPr>
                <w:rFonts w:ascii="仿宋_GB2312" w:hAnsi="仿宋_GB2312" w:cs="仿宋_GB2312" w:eastAsia="仿宋_GB2312"/>
                <w:sz w:val="24"/>
                <w:b/>
              </w:rPr>
              <w:t>服务要求</w:t>
            </w:r>
          </w:p>
          <w:p>
            <w:pPr>
              <w:pStyle w:val="null3"/>
              <w:spacing w:before="120" w:after="120"/>
              <w:ind w:firstLine="480"/>
              <w:jc w:val="left"/>
            </w:pPr>
            <w:r>
              <w:rPr>
                <w:rFonts w:ascii="仿宋_GB2312" w:hAnsi="仿宋_GB2312" w:cs="仿宋_GB2312" w:eastAsia="仿宋_GB2312"/>
                <w:sz w:val="24"/>
              </w:rPr>
              <w:t>故障硬件检测需及时、精准，技术人员需具备扎实的硬件检测能力，能够快速定位故障原因，故障硬件现场检测后，</w:t>
            </w:r>
            <w:r>
              <w:rPr>
                <w:rFonts w:ascii="仿宋_GB2312" w:hAnsi="仿宋_GB2312" w:cs="仿宋_GB2312" w:eastAsia="仿宋_GB2312"/>
                <w:sz w:val="24"/>
              </w:rPr>
              <w:t>3个工作日内出具《</w:t>
            </w:r>
            <w:r>
              <w:rPr>
                <w:rFonts w:ascii="仿宋_GB2312" w:hAnsi="仿宋_GB2312" w:cs="仿宋_GB2312" w:eastAsia="仿宋_GB2312"/>
                <w:sz w:val="24"/>
              </w:rPr>
              <w:t>故障处理记录</w:t>
            </w:r>
            <w:r>
              <w:rPr>
                <w:rFonts w:ascii="仿宋_GB2312" w:hAnsi="仿宋_GB2312" w:cs="仿宋_GB2312" w:eastAsia="仿宋_GB2312"/>
                <w:sz w:val="24"/>
              </w:rPr>
              <w:t>》，报告内容完整、数据准确，明确故障部件、故障原因及处理建议。硬件更换需严格遵守时限要求，核心硬件故障（如核心交换机、防火墙、服务器等）需</w:t>
            </w:r>
            <w:r>
              <w:rPr>
                <w:rFonts w:ascii="仿宋_GB2312" w:hAnsi="仿宋_GB2312" w:cs="仿宋_GB2312" w:eastAsia="仿宋_GB2312"/>
                <w:sz w:val="24"/>
              </w:rPr>
              <w:t>2小时内完成更换，一般硬件故障（如电源模块、风扇模块等）需4小时内完成更换。更换所用的备用备件需符合项目管理方标准，确保质量合格、与原有设备兼容。硬件更换流程需规范，做好拆卸、安装、调试等各环节记录，确保更换过程可追溯，更换完成后需经项目管理方验收合格，形成闭环管理。</w:t>
            </w:r>
          </w:p>
          <w:p>
            <w:pPr>
              <w:pStyle w:val="null3"/>
              <w:numPr>
                <w:ilvl w:val="3"/>
                <w:numId w:val="3"/>
              </w:numPr>
            </w:pPr>
            <w:r>
              <w:rPr>
                <w:rFonts w:ascii="仿宋_GB2312" w:hAnsi="仿宋_GB2312" w:cs="仿宋_GB2312" w:eastAsia="仿宋_GB2312"/>
                <w:sz w:val="24"/>
                <w:b/>
              </w:rPr>
              <w:t>综合布线服务</w:t>
            </w:r>
          </w:p>
          <w:p>
            <w:pPr>
              <w:pStyle w:val="null3"/>
              <w:numPr>
                <w:ilvl w:val="4"/>
                <w:numId w:val="3"/>
              </w:numPr>
              <w:spacing w:before="120" w:after="120"/>
              <w:jc w:val="both"/>
            </w:pPr>
            <w:r>
              <w:rPr>
                <w:rFonts w:ascii="仿宋_GB2312" w:hAnsi="仿宋_GB2312" w:cs="仿宋_GB2312" w:eastAsia="仿宋_GB2312"/>
                <w:sz w:val="24"/>
                <w:b/>
              </w:rPr>
              <w:t>服务内容</w:t>
            </w:r>
          </w:p>
          <w:p>
            <w:pPr>
              <w:pStyle w:val="null3"/>
              <w:spacing w:before="120" w:after="120"/>
              <w:ind w:firstLine="480"/>
              <w:jc w:val="left"/>
            </w:pPr>
            <w:r>
              <w:rPr>
                <w:rFonts w:ascii="仿宋_GB2312" w:hAnsi="仿宋_GB2312" w:cs="仿宋_GB2312" w:eastAsia="仿宋_GB2312"/>
                <w:sz w:val="24"/>
              </w:rPr>
              <w:t>本服务覆盖凤八新行政中心市委、市政府、综合（人大、政协、武警后勤、政务大厅、地震监测中心）各园区，劳动南路集中办公区等区域的核心层、汇聚层、接入层网络，以及相关的</w:t>
            </w:r>
            <w:r>
              <w:rPr>
                <w:rFonts w:ascii="仿宋_GB2312" w:hAnsi="仿宋_GB2312" w:cs="仿宋_GB2312" w:eastAsia="仿宋_GB2312"/>
                <w:sz w:val="24"/>
              </w:rPr>
              <w:t>5万余信息点位的综合布线服务，具体包括数据中心各机房之间的中继光缆、各园区至数据中心之间的中继光缆、各园区内部核心、汇聚、接入层中继光缆，以及园区接入层设备至办公室墙壁模块的综合布线。建立常态化巡检机制，定期对各类布线进行全面巡检，重点检查布线的连接情况、线缆损耗、外皮破损、固定情况等，排查布线松动、脱落、破损、老化等安全隐患，对发现的松动布线及时加固，对破损、老化线缆及时更换，对存在的隐患及时处置。巡检过程中，做好布线标识的检查和维护，确保布线标识清晰、规范，便于后续维护和排查。接到布线相关故障报修后，及时安排技术人员前往现场，排查故障原因，通过线缆修复、重新连接、更换线缆等方式，及时解决布线故障，恢复布线系统正常运行。同时，定期梳理综合布线维保情况，做好维保记录，汇总巡检及故障处置情况，形成综合布线维保总结，上报项目管理方，为项目管理方布线系统管理提供参考。此外，协助项目管理方做好布线系统的日常管理，规范布线布局，避免布线混乱、交叉干扰等问题，提升布线系统的稳定性和可维护性。</w:t>
            </w:r>
          </w:p>
          <w:p>
            <w:pPr>
              <w:pStyle w:val="null3"/>
              <w:numPr>
                <w:ilvl w:val="4"/>
                <w:numId w:val="3"/>
              </w:numPr>
            </w:pPr>
            <w:r>
              <w:rPr>
                <w:rFonts w:ascii="仿宋_GB2312" w:hAnsi="仿宋_GB2312" w:cs="仿宋_GB2312" w:eastAsia="仿宋_GB2312"/>
                <w:sz w:val="24"/>
                <w:b/>
              </w:rPr>
              <w:t>服务要求</w:t>
            </w:r>
          </w:p>
          <w:p>
            <w:pPr>
              <w:pStyle w:val="null3"/>
              <w:spacing w:before="120" w:after="120"/>
              <w:ind w:firstLine="480"/>
              <w:jc w:val="left"/>
            </w:pPr>
            <w:r>
              <w:rPr>
                <w:rFonts w:ascii="仿宋_GB2312" w:hAnsi="仿宋_GB2312" w:cs="仿宋_GB2312" w:eastAsia="仿宋_GB2312"/>
                <w:sz w:val="24"/>
              </w:rPr>
              <w:t>综合布线服务需定期对各类布线进行全面排查，确保隐患早发现、早处置。巡检记录需规范、详实，详细记录巡检时间、巡检位置、布线状态、发现的问题及处置情况。接到布线故障报修后，需及时响应，快速前往现场处置，确保布线系统尽快恢复正常。布线标识需保持清晰、规范，对模糊、脱落的标识及时更换、补充，便于后续维护和排查。维保工作全程留痕，做好各项记录，确保可追溯，定期汇总维保情况，按时上报项目管理方。</w:t>
            </w:r>
          </w:p>
          <w:p>
            <w:pPr>
              <w:pStyle w:val="null3"/>
              <w:numPr>
                <w:ilvl w:val="3"/>
                <w:numId w:val="3"/>
              </w:numPr>
            </w:pPr>
            <w:r>
              <w:rPr>
                <w:rFonts w:ascii="仿宋_GB2312" w:hAnsi="仿宋_GB2312" w:cs="仿宋_GB2312" w:eastAsia="仿宋_GB2312"/>
                <w:sz w:val="24"/>
                <w:b/>
              </w:rPr>
              <w:t>专线治理服务</w:t>
            </w:r>
          </w:p>
          <w:p>
            <w:pPr>
              <w:pStyle w:val="null3"/>
              <w:numPr>
                <w:ilvl w:val="4"/>
                <w:numId w:val="3"/>
              </w:numPr>
              <w:spacing w:before="120" w:after="120"/>
              <w:jc w:val="both"/>
            </w:pPr>
            <w:r>
              <w:rPr>
                <w:rFonts w:ascii="仿宋_GB2312" w:hAnsi="仿宋_GB2312" w:cs="仿宋_GB2312" w:eastAsia="仿宋_GB2312"/>
                <w:sz w:val="24"/>
                <w:b/>
              </w:rPr>
              <w:t>服务内容</w:t>
            </w:r>
          </w:p>
          <w:p>
            <w:pPr>
              <w:pStyle w:val="null3"/>
              <w:spacing w:before="120" w:after="120"/>
              <w:ind w:firstLine="480"/>
              <w:jc w:val="left"/>
            </w:pPr>
            <w:r>
              <w:rPr>
                <w:rFonts w:ascii="仿宋_GB2312" w:hAnsi="仿宋_GB2312" w:cs="仿宋_GB2312" w:eastAsia="仿宋_GB2312"/>
                <w:sz w:val="24"/>
              </w:rPr>
              <w:t>本服务主要提供以下内容，一是数据中心运营商传输设备现场管理，负责电信、移动、联通、广电等多家运营商在凤八数据中心的传输设备日常管理工作，安排专人定期对各类传输设备进行巡检，检查设备运行状态、参数设置、连接情况等，确认设备运行正常、无故障报警、传输稳定，做好设备运行记录。同时，对接各运营商，及时反馈设备运行异常情况，协调运营商开展设备维护和故障处置，确保运营商传输设备稳定运行，保障数据传输畅通。</w:t>
            </w:r>
          </w:p>
          <w:p>
            <w:pPr>
              <w:pStyle w:val="null3"/>
              <w:spacing w:before="120" w:after="120"/>
              <w:ind w:firstLine="480"/>
              <w:jc w:val="left"/>
            </w:pPr>
            <w:r>
              <w:rPr>
                <w:rFonts w:ascii="仿宋_GB2312" w:hAnsi="仿宋_GB2312" w:cs="仿宋_GB2312" w:eastAsia="仿宋_GB2312"/>
                <w:sz w:val="24"/>
              </w:rPr>
              <w:t>二是政务网非</w:t>
            </w:r>
            <w:r>
              <w:rPr>
                <w:rFonts w:ascii="仿宋_GB2312" w:hAnsi="仿宋_GB2312" w:cs="仿宋_GB2312" w:eastAsia="仿宋_GB2312"/>
                <w:sz w:val="24"/>
              </w:rPr>
              <w:t>OTN线路迁改，根据政务网建设及业务发展需求，对政务网非OTN线路进行规范迁改，迁改前制定详细的迁改方案，明确迁改范围、迁改流程、时间节点、责任分工和安全措施，对接相关单位，做好迁改前的准备工作，包括线路勘察、设备调试、人员安排等。迁改过程中，严格按照迁改方案执行，规范操作，减少对现有业务的影响，确保迁改过程安全、高效，迁改完成后，对线路进行全面测试，确认线路通畅、传输稳定，组织项目管理方验收。</w:t>
            </w:r>
          </w:p>
          <w:p>
            <w:pPr>
              <w:pStyle w:val="null3"/>
              <w:spacing w:before="120" w:after="120"/>
              <w:ind w:firstLine="480"/>
              <w:jc w:val="left"/>
            </w:pPr>
            <w:r>
              <w:rPr>
                <w:rFonts w:ascii="仿宋_GB2312" w:hAnsi="仿宋_GB2312" w:cs="仿宋_GB2312" w:eastAsia="仿宋_GB2312"/>
                <w:sz w:val="24"/>
              </w:rPr>
              <w:t>三是现有传输设备优化整合，梳理现有传输设备的运行状态、配置情况及使用效率，结合项目管理方业务需求，制定设备优化整合方案，对冗余设备、低效设备进行合理整合，优化设备配置，调整设备运行参数，提升设备运行效率和线路传输质量，减少设备能耗和维护成本。同时，做好设备优化整合后的调试和测试工作，确保设备运行正常，满足项目管理方业务需求，做好相关记录，汇总优化整合情况，上报项目管理方。</w:t>
            </w:r>
          </w:p>
          <w:p>
            <w:pPr>
              <w:pStyle w:val="null3"/>
              <w:numPr>
                <w:ilvl w:val="4"/>
                <w:numId w:val="3"/>
              </w:numPr>
            </w:pPr>
            <w:r>
              <w:rPr>
                <w:rFonts w:ascii="仿宋_GB2312" w:hAnsi="仿宋_GB2312" w:cs="仿宋_GB2312" w:eastAsia="仿宋_GB2312"/>
                <w:sz w:val="24"/>
                <w:b/>
              </w:rPr>
              <w:t>服务要求</w:t>
            </w:r>
          </w:p>
          <w:p>
            <w:pPr>
              <w:pStyle w:val="null3"/>
              <w:spacing w:before="120" w:after="120"/>
              <w:ind w:firstLine="480"/>
              <w:jc w:val="left"/>
            </w:pPr>
            <w:r>
              <w:rPr>
                <w:rFonts w:ascii="仿宋_GB2312" w:hAnsi="仿宋_GB2312" w:cs="仿宋_GB2312" w:eastAsia="仿宋_GB2312"/>
                <w:sz w:val="24"/>
              </w:rPr>
              <w:t>运营商传输设备现场管理需常态化开展，定期巡检，及时排查设备异常，对接运营商高效处置设备故障，确保设备运行稳定。政务网非</w:t>
            </w:r>
            <w:r>
              <w:rPr>
                <w:rFonts w:ascii="仿宋_GB2312" w:hAnsi="仿宋_GB2312" w:cs="仿宋_GB2312" w:eastAsia="仿宋_GB2312"/>
                <w:sz w:val="24"/>
              </w:rPr>
              <w:t>OTN线路迁改需严格遵循规范流程，迁改方案需科学合理、可操作性强，迁改过程中规范操作，减少对现有业务的影响，迁改完成后必须经过全面测试和项目管理方验收，确保线路通畅、传输稳定。现有传输设备优化整合需结合项目管理方实际业务需求，优化方案需贴合实际，能够有效提升设备运行效率和线路传输质量，减少能耗和维护成本，优化整合后需做好调试和测试工作，确保设备运行正常。各项工作需做好详细记录，全程留痕，可追溯，定期汇总工作开展情况，上报项目管理方，确保项目管理方及时掌握线路及设备维护情况。</w:t>
            </w:r>
          </w:p>
          <w:p>
            <w:pPr>
              <w:pStyle w:val="null3"/>
              <w:numPr>
                <w:ilvl w:val="3"/>
                <w:numId w:val="3"/>
              </w:numPr>
            </w:pPr>
            <w:r>
              <w:rPr>
                <w:rFonts w:ascii="仿宋_GB2312" w:hAnsi="仿宋_GB2312" w:cs="仿宋_GB2312" w:eastAsia="仿宋_GB2312"/>
                <w:sz w:val="24"/>
                <w:b/>
              </w:rPr>
              <w:t>优化升级服务</w:t>
            </w:r>
          </w:p>
          <w:p>
            <w:pPr>
              <w:pStyle w:val="null3"/>
              <w:numPr>
                <w:ilvl w:val="4"/>
                <w:numId w:val="3"/>
              </w:numPr>
              <w:spacing w:before="120" w:after="120"/>
              <w:jc w:val="both"/>
            </w:pPr>
            <w:r>
              <w:rPr>
                <w:rFonts w:ascii="仿宋_GB2312" w:hAnsi="仿宋_GB2312" w:cs="仿宋_GB2312" w:eastAsia="仿宋_GB2312"/>
                <w:sz w:val="24"/>
                <w:b/>
              </w:rPr>
              <w:t>服务内容</w:t>
            </w:r>
          </w:p>
          <w:p>
            <w:pPr>
              <w:pStyle w:val="null3"/>
              <w:spacing w:before="120" w:after="120"/>
              <w:ind w:firstLine="480"/>
              <w:jc w:val="left"/>
            </w:pPr>
            <w:r>
              <w:rPr>
                <w:rFonts w:ascii="仿宋_GB2312" w:hAnsi="仿宋_GB2312" w:cs="仿宋_GB2312" w:eastAsia="仿宋_GB2312"/>
                <w:sz w:val="24"/>
              </w:rPr>
              <w:t>按照每半年提供一次网络架构优化建议、每年提供一次网络升级改造方案的频次开展工作，确保优化升级工作贴合项目管理方实际、具有针对性。每半年，全面梳理日常巡检数据、故障处置记录、网络运行参数等核心信息，深入分析项目管理方网络架构存在的问题，包括网络拥堵、传输效率低、安全隐患、资源配置不合理等，结合当前业务需求，提出科学合理的网络架构优化建议，明确优化方向、优化措施、实施步骤和预期效果，为政务网络架构优化提供专业支撑。每年，全面总结全年网络运行情况，深入分析网络架构、设备配置、传输质量等方面与业务发展需求的差距，结合政务业务发展趋势和技术发展方向，制定完整的网络升级改造方案，方案涵盖升级改造目标、升级范围、技术选型、风险评估及应对措施等内容。同时，协助项目管理方对接相关技术单位，解读优化建议和升级改造方案，提供技术支持，跟踪优化及升级改造实施进度，及时解决实施过程中出现的问题，确保优化建议落地见效、升级改造工作顺利推进。</w:t>
            </w:r>
          </w:p>
          <w:p>
            <w:pPr>
              <w:pStyle w:val="null3"/>
              <w:numPr>
                <w:ilvl w:val="4"/>
                <w:numId w:val="3"/>
              </w:numPr>
            </w:pPr>
            <w:r>
              <w:rPr>
                <w:rFonts w:ascii="仿宋_GB2312" w:hAnsi="仿宋_GB2312" w:cs="仿宋_GB2312" w:eastAsia="仿宋_GB2312"/>
                <w:sz w:val="24"/>
                <w:b/>
              </w:rPr>
              <w:t>服务要求</w:t>
            </w:r>
          </w:p>
          <w:p>
            <w:pPr>
              <w:pStyle w:val="null3"/>
              <w:spacing w:before="120" w:after="120"/>
              <w:ind w:firstLine="480"/>
              <w:jc w:val="left"/>
            </w:pPr>
            <w:r>
              <w:rPr>
                <w:rFonts w:ascii="仿宋_GB2312" w:hAnsi="仿宋_GB2312" w:cs="仿宋_GB2312" w:eastAsia="仿宋_GB2312"/>
                <w:sz w:val="24"/>
              </w:rPr>
              <w:t>网络架构优化建议需每半年按时提交，网络升级改造方案需每年按时提交。优化建议和升级改造方案需基于日常巡检数据和网络运行实际，贴合政务业务需求，具有针对性、可操作性和科学性。优化建议需明确优化措施和预期效果，升级改造方案需涵盖各项内容，风险评估及应对措施需全面、具体，能够有效规避升级改造过程中的各类风险。协助项目管理方推进优化及升级改造工作时，需提供专业的技术支持，及时解决实施过程中出现的问题，确保优化建议落地见效、升级改造工作顺利完成。优化建议和升级改造方案需经项目管理方审核确认，根据项目管理方意见及时调整完善，确保符合项目管理方需求。</w:t>
            </w:r>
          </w:p>
          <w:p>
            <w:pPr>
              <w:pStyle w:val="null3"/>
              <w:numPr>
                <w:ilvl w:val="3"/>
                <w:numId w:val="3"/>
              </w:numPr>
            </w:pPr>
            <w:r>
              <w:rPr>
                <w:rFonts w:ascii="仿宋_GB2312" w:hAnsi="仿宋_GB2312" w:cs="仿宋_GB2312" w:eastAsia="仿宋_GB2312"/>
                <w:sz w:val="24"/>
                <w:b/>
              </w:rPr>
              <w:t>版本评估服务</w:t>
            </w:r>
          </w:p>
          <w:p>
            <w:pPr>
              <w:pStyle w:val="null3"/>
              <w:numPr>
                <w:ilvl w:val="4"/>
                <w:numId w:val="3"/>
              </w:numPr>
              <w:spacing w:before="120" w:after="120"/>
              <w:jc w:val="both"/>
            </w:pPr>
            <w:r>
              <w:rPr>
                <w:rFonts w:ascii="仿宋_GB2312" w:hAnsi="仿宋_GB2312" w:cs="仿宋_GB2312" w:eastAsia="仿宋_GB2312"/>
                <w:sz w:val="24"/>
                <w:b/>
              </w:rPr>
              <w:t>服务内容</w:t>
            </w:r>
          </w:p>
          <w:p>
            <w:pPr>
              <w:pStyle w:val="null3"/>
              <w:spacing w:before="120" w:after="120"/>
              <w:ind w:firstLine="480"/>
              <w:jc w:val="left"/>
            </w:pPr>
            <w:r>
              <w:rPr>
                <w:rFonts w:ascii="仿宋_GB2312" w:hAnsi="仿宋_GB2312" w:cs="仿宋_GB2312" w:eastAsia="仿宋_GB2312"/>
                <w:sz w:val="24"/>
              </w:rPr>
              <w:t>本服务每半年开展一次，重点针对现网核心设备，包括防火墙、交换机、服务器的固件版本、系统版本进行全面排查评估。排查过程中，组织专业技术人员，通过设备检测、版本比对等方式，全面梳理各类设备的当前版本信息，与最新官方版本、安全版本进行比对，排查版本存在的兼容问题、功能缺陷等，详细记录版本信息、存在的问题及潜在风险。同时，结合现有设备运行现状、业务需求及安全要求，对版本更新的必要性、可行性进行全面分析，提出科学合理的版本更新建议，明确更新范围、更新步骤、更新时间、注意事项及风险应对措施，避免因版本更新导致设备故障或业务中断。此外，对版本评估过程进行详细记录，汇总评估结果和更新建议，形成版本评估报告并上报，为各类设备版本更新决策提供专业支撑。协助项目管理方开展版本更新工作，做好更新前的备份、测试工作，更新过程中的操作规范，更新后的调试、验证工作，确保版本更新顺利完成，设备运行稳定。</w:t>
            </w:r>
          </w:p>
          <w:p>
            <w:pPr>
              <w:pStyle w:val="null3"/>
              <w:numPr>
                <w:ilvl w:val="4"/>
                <w:numId w:val="3"/>
              </w:numPr>
            </w:pPr>
            <w:r>
              <w:rPr>
                <w:rFonts w:ascii="仿宋_GB2312" w:hAnsi="仿宋_GB2312" w:cs="仿宋_GB2312" w:eastAsia="仿宋_GB2312"/>
                <w:sz w:val="24"/>
                <w:b/>
              </w:rPr>
              <w:t>服务要求</w:t>
            </w:r>
          </w:p>
          <w:p>
            <w:pPr>
              <w:pStyle w:val="null3"/>
              <w:spacing w:before="120" w:after="120"/>
              <w:ind w:firstLine="480"/>
              <w:jc w:val="left"/>
            </w:pPr>
            <w:r>
              <w:rPr>
                <w:rFonts w:ascii="仿宋_GB2312" w:hAnsi="仿宋_GB2312" w:cs="仿宋_GB2312" w:eastAsia="仿宋_GB2312"/>
                <w:sz w:val="24"/>
              </w:rPr>
              <w:t>版本评估服务需每半年开展一次，评估范围需覆盖所有核心设备。排查评估需全面、细致，采用专业的检测工具和方法，确保能够精准发现版本漏洞、兼容问题及潜在风险。版本更新建议需贴合现网设备运行实际和业务需求，兼顾安全性、兼容性和稳定性，明确更新的必要性和具体措施。版本评估报告需内容完整、数据准确，详细记录评估过程、版本信息、存在的问题、潜在风险及更新建议，按时上报项目管理方。协助项目管理方开展版本更新工作时，需严格遵守操作规范，做好备份、测试、调试等工作，避免因操作失误导致设备故障或业务中断。</w:t>
            </w:r>
          </w:p>
          <w:p>
            <w:pPr>
              <w:pStyle w:val="null3"/>
              <w:numPr>
                <w:ilvl w:val="3"/>
                <w:numId w:val="3"/>
              </w:numPr>
            </w:pPr>
            <w:r>
              <w:rPr>
                <w:rFonts w:ascii="仿宋_GB2312" w:hAnsi="仿宋_GB2312" w:cs="仿宋_GB2312" w:eastAsia="仿宋_GB2312"/>
                <w:sz w:val="24"/>
                <w:b/>
              </w:rPr>
              <w:t>业务咨询服务</w:t>
            </w:r>
          </w:p>
          <w:p>
            <w:pPr>
              <w:pStyle w:val="null3"/>
              <w:numPr>
                <w:ilvl w:val="4"/>
                <w:numId w:val="3"/>
              </w:numPr>
              <w:spacing w:before="120" w:after="120"/>
              <w:jc w:val="both"/>
            </w:pPr>
            <w:r>
              <w:rPr>
                <w:rFonts w:ascii="仿宋_GB2312" w:hAnsi="仿宋_GB2312" w:cs="仿宋_GB2312" w:eastAsia="仿宋_GB2312"/>
                <w:sz w:val="24"/>
                <w:b/>
              </w:rPr>
              <w:t>服务内容</w:t>
            </w:r>
          </w:p>
          <w:p>
            <w:pPr>
              <w:pStyle w:val="null3"/>
              <w:spacing w:before="120" w:after="120"/>
              <w:ind w:firstLine="480"/>
              <w:jc w:val="left"/>
            </w:pPr>
            <w:r>
              <w:rPr>
                <w:rFonts w:ascii="仿宋_GB2312" w:hAnsi="仿宋_GB2312" w:cs="仿宋_GB2312" w:eastAsia="仿宋_GB2312"/>
                <w:sz w:val="24"/>
              </w:rPr>
              <w:t>本服务聚焦项目管理方网络相关</w:t>
            </w:r>
            <w:r>
              <w:rPr>
                <w:rFonts w:ascii="仿宋_GB2312" w:hAnsi="仿宋_GB2312" w:cs="仿宋_GB2312" w:eastAsia="仿宋_GB2312"/>
                <w:sz w:val="24"/>
              </w:rPr>
              <w:t>业务咨询</w:t>
            </w:r>
            <w:r>
              <w:rPr>
                <w:rFonts w:ascii="仿宋_GB2312" w:hAnsi="仿宋_GB2312" w:cs="仿宋_GB2312" w:eastAsia="仿宋_GB2312"/>
                <w:sz w:val="24"/>
              </w:rPr>
              <w:t>需求，提供全方位、专业化的咨询服务，涵盖网络规划、网络建设、网络运维、网络安全等多个领域。接到项目管理方咨询需求后，安排专业技术人员与项目管理方对接，详细了解咨询事项、核心需求及相关背景，结合现网网络运行现状、业务发展规划及政务相关规范，为项目管理方提供专业、精准的解答。针对网络规划相关需求，全面梳理现有网络架构、设备配置、业务需求等核心信息，结合政务业务发展趋势和技术发展方向，为项目管理方提供科学合理的网络规划建议，明确规划目标、规划内容、实施步骤和保障措施，助力优化网络布局、提升网络效能。同时，协助项目管理方梳理网络规划、建设、运维过程中存在的问题，提出针对性改进建议，协助完善网络管理体系。咨询服务过程中，做好详细记录，梳理咨询内容、解答意见、规划建议等信息，编制《网络</w:t>
            </w:r>
            <w:r>
              <w:rPr>
                <w:rFonts w:ascii="仿宋_GB2312" w:hAnsi="仿宋_GB2312" w:cs="仿宋_GB2312" w:eastAsia="仿宋_GB2312"/>
                <w:sz w:val="24"/>
              </w:rPr>
              <w:t>业务咨询</w:t>
            </w:r>
            <w:r>
              <w:rPr>
                <w:rFonts w:ascii="仿宋_GB2312" w:hAnsi="仿宋_GB2312" w:cs="仿宋_GB2312" w:eastAsia="仿宋_GB2312"/>
                <w:sz w:val="24"/>
              </w:rPr>
              <w:t>合规报告》，为项目管理方网络规划决策提供参考。此外，建立常态化咨询响应机制，及时响应项目管理方各类网络相关咨询需求，确保咨询服务高效、便捷。</w:t>
            </w:r>
          </w:p>
          <w:p>
            <w:pPr>
              <w:pStyle w:val="null3"/>
              <w:numPr>
                <w:ilvl w:val="4"/>
                <w:numId w:val="3"/>
              </w:numPr>
            </w:pPr>
            <w:r>
              <w:rPr>
                <w:rFonts w:ascii="仿宋_GB2312" w:hAnsi="仿宋_GB2312" w:cs="仿宋_GB2312" w:eastAsia="仿宋_GB2312"/>
                <w:sz w:val="24"/>
                <w:b/>
              </w:rPr>
              <w:t>服务要求</w:t>
            </w:r>
          </w:p>
          <w:p>
            <w:pPr>
              <w:pStyle w:val="null3"/>
              <w:spacing w:before="120" w:after="120"/>
              <w:ind w:firstLine="480"/>
              <w:jc w:val="left"/>
            </w:pPr>
            <w:r>
              <w:rPr>
                <w:rFonts w:ascii="仿宋_GB2312" w:hAnsi="仿宋_GB2312" w:cs="仿宋_GB2312" w:eastAsia="仿宋_GB2312"/>
                <w:sz w:val="24"/>
              </w:rPr>
              <w:t>咨询服务需专业、高效，咨询响应及时，接到项目管理方咨询需求后，及时安排专业技术人员对接。解答意见需准确、全面，贴合项目管理方实际和政务规范。网络规划建议需科学合理，结合项目管理方业务发展需求和网络运行现状，具有针对性、可操作性和合规性，符合政务网络建设相关标准。咨询服务过程中，及时反馈咨询进展。</w:t>
            </w:r>
          </w:p>
          <w:p>
            <w:pPr>
              <w:pStyle w:val="null3"/>
              <w:numPr>
                <w:ilvl w:val="3"/>
                <w:numId w:val="3"/>
              </w:numPr>
            </w:pPr>
            <w:r>
              <w:rPr>
                <w:rFonts w:ascii="仿宋_GB2312" w:hAnsi="仿宋_GB2312" w:cs="仿宋_GB2312" w:eastAsia="仿宋_GB2312"/>
                <w:sz w:val="24"/>
                <w:b/>
              </w:rPr>
              <w:t>技术培训服务</w:t>
            </w:r>
          </w:p>
          <w:p>
            <w:pPr>
              <w:pStyle w:val="null3"/>
              <w:numPr>
                <w:ilvl w:val="4"/>
                <w:numId w:val="3"/>
              </w:numPr>
              <w:spacing w:before="120" w:after="120"/>
              <w:jc w:val="both"/>
            </w:pPr>
            <w:r>
              <w:rPr>
                <w:rFonts w:ascii="仿宋_GB2312" w:hAnsi="仿宋_GB2312" w:cs="仿宋_GB2312" w:eastAsia="仿宋_GB2312"/>
                <w:sz w:val="24"/>
                <w:b/>
              </w:rPr>
              <w:t>服务内容</w:t>
            </w:r>
          </w:p>
          <w:p>
            <w:pPr>
              <w:pStyle w:val="null3"/>
              <w:spacing w:before="120" w:after="120"/>
              <w:ind w:firstLine="480"/>
              <w:jc w:val="left"/>
            </w:pPr>
            <w:r>
              <w:rPr>
                <w:rFonts w:ascii="仿宋_GB2312" w:hAnsi="仿宋_GB2312" w:cs="仿宋_GB2312" w:eastAsia="仿宋_GB2312"/>
                <w:sz w:val="24"/>
              </w:rPr>
              <w:t>本服务围绕项目管理方实际工作需求，制定定制化培训方案，针对性开展专项培训，涵盖基础环境消防设施、配电系统、空调新风系统、动环监测边系统、网络设备等领域。培训频次严格按照要求执行，其中基础环境中，消防设施、配电系统、空调新风系统、动环监测系统每年各开展</w:t>
            </w:r>
            <w:r>
              <w:rPr>
                <w:rFonts w:ascii="仿宋_GB2312" w:hAnsi="仿宋_GB2312" w:cs="仿宋_GB2312" w:eastAsia="仿宋_GB2312"/>
                <w:sz w:val="24"/>
              </w:rPr>
              <w:t>2次培训，网络设备每年开展4次培训。培训内容贴合运维工作实际，基础环境消防设施培训重点讲解消防设备的工作原理、操作方法、日常巡检要点、故障排查及应急处置技巧；配电系统培训重点讲解配电柜、UPS电源等设备的运行原理、参数设置、日常维护、故障排查及安全操作规范；空调新风系统培训重点讲解空调、新风设备的运行原理、日常操作、参数调整、维护保养及故障处置方法；动环监测系统培训重点讲解监控设备的安装、调试、日常维护、数据解读及报警处置方法；网络设备培训重点涵盖故障排查、基础配置、应急处置等核心内容。</w:t>
            </w:r>
          </w:p>
          <w:p>
            <w:pPr>
              <w:pStyle w:val="null3"/>
              <w:numPr>
                <w:ilvl w:val="4"/>
                <w:numId w:val="3"/>
              </w:numPr>
            </w:pPr>
            <w:r>
              <w:rPr>
                <w:rFonts w:ascii="仿宋_GB2312" w:hAnsi="仿宋_GB2312" w:cs="仿宋_GB2312" w:eastAsia="仿宋_GB2312"/>
                <w:sz w:val="24"/>
                <w:b/>
              </w:rPr>
              <w:t>服务要求</w:t>
            </w:r>
          </w:p>
          <w:p>
            <w:pPr>
              <w:pStyle w:val="null3"/>
              <w:ind w:firstLine="480"/>
              <w:jc w:val="left"/>
            </w:pPr>
            <w:r>
              <w:rPr>
                <w:rFonts w:ascii="仿宋_GB2312" w:hAnsi="仿宋_GB2312" w:cs="仿宋_GB2312" w:eastAsia="仿宋_GB2312"/>
                <w:sz w:val="24"/>
              </w:rPr>
              <w:t>培训方案需贴合参训人员技术现状及运维服务需求，具备针对性和可操作性；各类培训需严格按照规定频次开展；培训内容需通俗易懂、重点突出，确保运维人员能够熟练掌握相关技能；培训后需及时提交完整的培训相关资料，确保培训工作可追溯。</w:t>
            </w:r>
          </w:p>
          <w:p>
            <w:pPr>
              <w:pStyle w:val="null3"/>
              <w:numPr>
                <w:ilvl w:val="3"/>
                <w:numId w:val="3"/>
              </w:numPr>
            </w:pPr>
            <w:r>
              <w:rPr>
                <w:rFonts w:ascii="仿宋_GB2312" w:hAnsi="仿宋_GB2312" w:cs="仿宋_GB2312" w:eastAsia="仿宋_GB2312"/>
                <w:sz w:val="24"/>
                <w:b/>
              </w:rPr>
              <w:t>变更管理服务</w:t>
            </w:r>
          </w:p>
          <w:p>
            <w:pPr>
              <w:pStyle w:val="null3"/>
              <w:numPr>
                <w:ilvl w:val="4"/>
                <w:numId w:val="3"/>
              </w:numPr>
              <w:spacing w:before="120" w:after="120"/>
              <w:jc w:val="both"/>
            </w:pPr>
            <w:r>
              <w:rPr>
                <w:rFonts w:ascii="仿宋_GB2312" w:hAnsi="仿宋_GB2312" w:cs="仿宋_GB2312" w:eastAsia="仿宋_GB2312"/>
                <w:sz w:val="24"/>
                <w:b/>
              </w:rPr>
              <w:t>服务内容</w:t>
            </w:r>
          </w:p>
          <w:p>
            <w:pPr>
              <w:pStyle w:val="null3"/>
              <w:ind w:firstLine="480"/>
              <w:jc w:val="left"/>
            </w:pPr>
            <w:r>
              <w:rPr>
                <w:rFonts w:ascii="仿宋_GB2312" w:hAnsi="仿宋_GB2312" w:cs="仿宋_GB2312" w:eastAsia="仿宋_GB2312"/>
                <w:sz w:val="24"/>
              </w:rPr>
              <w:t>项目管理方开展业务变更时，同步对相关网络设备业务进行对应变更操作，规范记录变更全过程信息，形成变更记录表；在本年度服务周期内，若项目管理方有新增网络需求，负责提供新增网络规划服务，并协助项目管理方完成网络配置工作，确保新增网络正常投入使用。</w:t>
            </w:r>
          </w:p>
          <w:p>
            <w:pPr>
              <w:pStyle w:val="null3"/>
              <w:numPr>
                <w:ilvl w:val="4"/>
                <w:numId w:val="3"/>
              </w:numPr>
            </w:pPr>
            <w:r>
              <w:rPr>
                <w:rFonts w:ascii="仿宋_GB2312" w:hAnsi="仿宋_GB2312" w:cs="仿宋_GB2312" w:eastAsia="仿宋_GB2312"/>
                <w:sz w:val="24"/>
                <w:b/>
              </w:rPr>
              <w:t>服务要求</w:t>
            </w:r>
          </w:p>
          <w:p>
            <w:pPr>
              <w:pStyle w:val="null3"/>
              <w:ind w:firstLine="480"/>
              <w:jc w:val="left"/>
            </w:pPr>
            <w:r>
              <w:rPr>
                <w:rFonts w:ascii="仿宋_GB2312" w:hAnsi="仿宋_GB2312" w:cs="仿宋_GB2312" w:eastAsia="仿宋_GB2312"/>
                <w:sz w:val="24"/>
              </w:rPr>
              <w:t>网络设备业务变更需严格遵循规范流程，操作严谨细致，避免影响现有业务正常运转；变更记录需完整、准确，明确变更内容、时间、流程及结果，确保可追溯；新增网络规划需结合项目管理方实际需求，科学合理、切实可行，协助网络配置需高效准确，保障新增网络达到预期使用效果。</w:t>
            </w:r>
          </w:p>
          <w:p>
            <w:pPr>
              <w:pStyle w:val="null3"/>
              <w:numPr>
                <w:ilvl w:val="3"/>
                <w:numId w:val="3"/>
              </w:numPr>
            </w:pPr>
            <w:r>
              <w:rPr>
                <w:rFonts w:ascii="仿宋_GB2312" w:hAnsi="仿宋_GB2312" w:cs="仿宋_GB2312" w:eastAsia="仿宋_GB2312"/>
                <w:sz w:val="24"/>
                <w:b/>
              </w:rPr>
              <w:t>资源规划服务</w:t>
            </w:r>
          </w:p>
          <w:p>
            <w:pPr>
              <w:pStyle w:val="null3"/>
              <w:numPr>
                <w:ilvl w:val="4"/>
                <w:numId w:val="3"/>
              </w:numPr>
              <w:spacing w:before="120" w:after="120"/>
              <w:jc w:val="both"/>
            </w:pPr>
            <w:r>
              <w:rPr>
                <w:rFonts w:ascii="仿宋_GB2312" w:hAnsi="仿宋_GB2312" w:cs="仿宋_GB2312" w:eastAsia="仿宋_GB2312"/>
                <w:sz w:val="24"/>
                <w:b/>
              </w:rPr>
              <w:t>服务内容</w:t>
            </w:r>
          </w:p>
          <w:p>
            <w:pPr>
              <w:pStyle w:val="null3"/>
              <w:ind w:firstLine="480"/>
              <w:jc w:val="left"/>
            </w:pPr>
            <w:r>
              <w:rPr>
                <w:rFonts w:ascii="仿宋_GB2312" w:hAnsi="仿宋_GB2312" w:cs="仿宋_GB2312" w:eastAsia="仿宋_GB2312"/>
                <w:sz w:val="24"/>
              </w:rPr>
              <w:t>全面排查梳理项目管理方现有线缆、网络设备等各类相关资源，掌握资源分布、使用状态及闲置情况，结合项目管理方运维工作需求及业务发展规划，对各类资源进行合理规划，提出资源优化配置建议。</w:t>
            </w:r>
          </w:p>
          <w:p>
            <w:pPr>
              <w:pStyle w:val="null3"/>
              <w:numPr>
                <w:ilvl w:val="4"/>
                <w:numId w:val="3"/>
              </w:numPr>
            </w:pPr>
            <w:r>
              <w:rPr>
                <w:rFonts w:ascii="仿宋_GB2312" w:hAnsi="仿宋_GB2312" w:cs="仿宋_GB2312" w:eastAsia="仿宋_GB2312"/>
                <w:sz w:val="24"/>
                <w:b/>
              </w:rPr>
              <w:t>服务要求</w:t>
            </w:r>
          </w:p>
          <w:p>
            <w:pPr>
              <w:pStyle w:val="null3"/>
              <w:ind w:firstLine="480"/>
              <w:jc w:val="left"/>
            </w:pPr>
            <w:r>
              <w:rPr>
                <w:rFonts w:ascii="仿宋_GB2312" w:hAnsi="仿宋_GB2312" w:cs="仿宋_GB2312" w:eastAsia="仿宋_GB2312"/>
                <w:sz w:val="24"/>
              </w:rPr>
              <w:t>资源梳理需全面、细致，不得遗漏核心资源及关键节点；资源规划需科学合理，兼顾当前运维需求与未来业务拓展，具有可操作性；需通过合理规划，有效提升资源利用效率，减少资源闲置和浪费。</w:t>
            </w:r>
          </w:p>
          <w:p>
            <w:pPr>
              <w:pStyle w:val="null3"/>
              <w:numPr>
                <w:ilvl w:val="3"/>
                <w:numId w:val="3"/>
              </w:numPr>
            </w:pPr>
            <w:r>
              <w:rPr>
                <w:rFonts w:ascii="仿宋_GB2312" w:hAnsi="仿宋_GB2312" w:cs="仿宋_GB2312" w:eastAsia="仿宋_GB2312"/>
                <w:sz w:val="24"/>
                <w:b/>
              </w:rPr>
              <w:t>延伸服务</w:t>
            </w:r>
          </w:p>
          <w:p>
            <w:pPr>
              <w:pStyle w:val="null3"/>
              <w:numPr>
                <w:ilvl w:val="4"/>
                <w:numId w:val="3"/>
              </w:numPr>
              <w:spacing w:before="120" w:after="120"/>
              <w:jc w:val="both"/>
            </w:pPr>
            <w:r>
              <w:rPr>
                <w:rFonts w:ascii="仿宋_GB2312" w:hAnsi="仿宋_GB2312" w:cs="仿宋_GB2312" w:eastAsia="仿宋_GB2312"/>
                <w:sz w:val="24"/>
                <w:b/>
              </w:rPr>
              <w:t>服务内容</w:t>
            </w:r>
          </w:p>
          <w:p>
            <w:pPr>
              <w:pStyle w:val="null3"/>
              <w:ind w:firstLine="480"/>
              <w:jc w:val="left"/>
            </w:pPr>
            <w:r>
              <w:rPr>
                <w:rFonts w:ascii="仿宋_GB2312" w:hAnsi="仿宋_GB2312" w:cs="仿宋_GB2312" w:eastAsia="仿宋_GB2312"/>
                <w:sz w:val="24"/>
              </w:rPr>
              <w:t>针对市级机关劳动南路办公区</w:t>
            </w:r>
            <w:r>
              <w:rPr>
                <w:rFonts w:ascii="仿宋_GB2312" w:hAnsi="仿宋_GB2312" w:cs="仿宋_GB2312" w:eastAsia="仿宋_GB2312"/>
                <w:sz w:val="24"/>
              </w:rPr>
              <w:t>2台防火墙、4台汇聚设备、28台接入设备，提供全方位运维服务，具体包括7*24小时服务台值守、设备巡检、业务开通、故障处置、硬件更换、关键重保、应急演练、综合布线、专线治理等，全面覆盖设备运维各环节。</w:t>
            </w:r>
          </w:p>
          <w:p>
            <w:pPr>
              <w:pStyle w:val="null3"/>
              <w:numPr>
                <w:ilvl w:val="4"/>
                <w:numId w:val="3"/>
              </w:numPr>
            </w:pPr>
            <w:r>
              <w:rPr>
                <w:rFonts w:ascii="仿宋_GB2312" w:hAnsi="仿宋_GB2312" w:cs="仿宋_GB2312" w:eastAsia="仿宋_GB2312"/>
                <w:sz w:val="24"/>
                <w:b/>
              </w:rPr>
              <w:t>服务要求</w:t>
            </w:r>
          </w:p>
          <w:p>
            <w:pPr>
              <w:pStyle w:val="null3"/>
              <w:ind w:firstLine="480"/>
              <w:jc w:val="left"/>
            </w:pPr>
            <w:r>
              <w:rPr>
                <w:rFonts w:ascii="仿宋_GB2312" w:hAnsi="仿宋_GB2312" w:cs="仿宋_GB2312" w:eastAsia="仿宋_GB2312"/>
                <w:sz w:val="24"/>
              </w:rPr>
              <w:t>严格落实</w:t>
            </w:r>
            <w:r>
              <w:rPr>
                <w:rFonts w:ascii="仿宋_GB2312" w:hAnsi="仿宋_GB2312" w:cs="仿宋_GB2312" w:eastAsia="仿宋_GB2312"/>
                <w:sz w:val="24"/>
              </w:rPr>
              <w:t>7*24小时服务台值守要求，确保通讯畅通、响应及时；各类运维服务需按规范流程开展，巡检、故障处置等需按时限完成；重点保障指定设备稳定运行，所有服务环节全程留痕，确保可追溯、可复盘。</w:t>
            </w:r>
          </w:p>
          <w:p>
            <w:pPr>
              <w:pStyle w:val="null3"/>
              <w:numPr>
                <w:ilvl w:val="3"/>
                <w:numId w:val="3"/>
              </w:numPr>
            </w:pPr>
            <w:r>
              <w:rPr>
                <w:rFonts w:ascii="仿宋_GB2312" w:hAnsi="仿宋_GB2312" w:cs="仿宋_GB2312" w:eastAsia="仿宋_GB2312"/>
                <w:sz w:val="24"/>
                <w:b/>
              </w:rPr>
              <w:t>商务服务</w:t>
            </w:r>
          </w:p>
          <w:p>
            <w:pPr>
              <w:pStyle w:val="null3"/>
              <w:numPr>
                <w:ilvl w:val="4"/>
                <w:numId w:val="3"/>
              </w:numPr>
              <w:spacing w:before="120" w:after="120"/>
              <w:jc w:val="both"/>
            </w:pPr>
            <w:r>
              <w:rPr>
                <w:rFonts w:ascii="仿宋_GB2312" w:hAnsi="仿宋_GB2312" w:cs="仿宋_GB2312" w:eastAsia="仿宋_GB2312"/>
                <w:sz w:val="24"/>
                <w:b/>
              </w:rPr>
              <w:t>服务内容</w:t>
            </w:r>
          </w:p>
          <w:p>
            <w:pPr>
              <w:pStyle w:val="null3"/>
              <w:ind w:firstLine="480"/>
              <w:jc w:val="left"/>
            </w:pPr>
            <w:r>
              <w:rPr>
                <w:rFonts w:ascii="仿宋_GB2312" w:hAnsi="仿宋_GB2312" w:cs="仿宋_GB2312" w:eastAsia="仿宋_GB2312"/>
                <w:sz w:val="24"/>
              </w:rPr>
              <w:t>提供凤八数据中心</w:t>
            </w:r>
            <w:r>
              <w:rPr>
                <w:rFonts w:ascii="仿宋_GB2312" w:hAnsi="仿宋_GB2312" w:cs="仿宋_GB2312" w:eastAsia="仿宋_GB2312"/>
                <w:sz w:val="24"/>
              </w:rPr>
              <w:t>10部运维座机，专门用于日常运维工作沟通及对外技术支撑服务；提供2辆新能源运维车辆，同时承担车辆使用过程中的电费、油费，以及车辆保养、保险等相关服务，确保车辆正常投入使用。</w:t>
            </w:r>
          </w:p>
          <w:p>
            <w:pPr>
              <w:pStyle w:val="null3"/>
              <w:numPr>
                <w:ilvl w:val="4"/>
                <w:numId w:val="3"/>
              </w:numPr>
            </w:pPr>
            <w:r>
              <w:rPr>
                <w:rFonts w:ascii="仿宋_GB2312" w:hAnsi="仿宋_GB2312" w:cs="仿宋_GB2312" w:eastAsia="仿宋_GB2312"/>
                <w:sz w:val="24"/>
                <w:b/>
              </w:rPr>
              <w:t>服务要求</w:t>
            </w:r>
          </w:p>
          <w:p>
            <w:pPr>
              <w:pStyle w:val="null3"/>
              <w:ind w:firstLine="480"/>
              <w:jc w:val="left"/>
            </w:pPr>
            <w:r>
              <w:rPr>
                <w:rFonts w:ascii="仿宋_GB2312" w:hAnsi="仿宋_GB2312" w:cs="仿宋_GB2312" w:eastAsia="仿宋_GB2312"/>
                <w:sz w:val="24"/>
              </w:rPr>
              <w:t>运维座机需保障通讯畅通，无无故中断、无法接通等情况，满足日常运维及对外技术支撑需求；车辆需保持良好运行状态，按时完成保养、保险办理等工作，确保运维出行需求；车辆相关费用（电费、油费、保养费、保险费）需按约定规范管理、及时结算，做好相关记录。</w:t>
            </w:r>
          </w:p>
          <w:p>
            <w:pPr>
              <w:pStyle w:val="null3"/>
              <w:numPr>
                <w:ilvl w:val="3"/>
                <w:numId w:val="3"/>
              </w:numPr>
            </w:pPr>
            <w:r>
              <w:rPr>
                <w:rFonts w:ascii="仿宋_GB2312" w:hAnsi="仿宋_GB2312" w:cs="仿宋_GB2312" w:eastAsia="仿宋_GB2312"/>
                <w:sz w:val="24"/>
                <w:b/>
              </w:rPr>
              <w:t>人员配置</w:t>
            </w:r>
          </w:p>
          <w:p>
            <w:pPr>
              <w:pStyle w:val="null3"/>
              <w:ind w:firstLine="480"/>
              <w:jc w:val="both"/>
            </w:pPr>
            <w:r>
              <w:rPr>
                <w:rFonts w:ascii="仿宋_GB2312" w:hAnsi="仿宋_GB2312" w:cs="仿宋_GB2312" w:eastAsia="仿宋_GB2312"/>
                <w:sz w:val="24"/>
                <w:color w:val="000000"/>
              </w:rPr>
              <w:t>项目团队需配备不少于</w:t>
            </w:r>
            <w:r>
              <w:rPr>
                <w:rFonts w:ascii="仿宋_GB2312" w:hAnsi="仿宋_GB2312" w:cs="仿宋_GB2312" w:eastAsia="仿宋_GB2312"/>
                <w:sz w:val="24"/>
                <w:color w:val="000000"/>
              </w:rPr>
              <w:t>22人，其中，需配备项目经理1人，具备项目管理经验，技术总监1人，具备运维经验。</w:t>
            </w:r>
          </w:p>
          <w:p>
            <w:pPr>
              <w:pStyle w:val="null3"/>
              <w:ind w:firstLine="480"/>
              <w:jc w:val="both"/>
            </w:pPr>
            <w:r>
              <w:rPr>
                <w:rFonts w:ascii="仿宋_GB2312" w:hAnsi="仿宋_GB2312" w:cs="仿宋_GB2312" w:eastAsia="仿宋_GB2312"/>
                <w:sz w:val="24"/>
                <w:color w:val="000000"/>
              </w:rPr>
              <w:t>项目经理负责统筹规划数据中心一体化运维管理工作，制定运维战略、年度运维计划，并组织实施；建立和完善运维管理制度、流程和规范，监督制度的执行落实情况，确保运维工作标准化、规范化；统筹协调解决运维工作中的重大问题和突发事件，对接相关业务单位和上级主管部门，保障运维工作顺利推进；定期向上级主管部门汇报运维工作情况，包括运维成效、存在问题及改进措施等。</w:t>
            </w:r>
          </w:p>
          <w:p>
            <w:pPr>
              <w:pStyle w:val="null3"/>
              <w:ind w:firstLine="480"/>
              <w:jc w:val="both"/>
            </w:pPr>
            <w:r>
              <w:rPr>
                <w:rFonts w:ascii="仿宋_GB2312" w:hAnsi="仿宋_GB2312" w:cs="仿宋_GB2312" w:eastAsia="仿宋_GB2312"/>
                <w:sz w:val="24"/>
                <w:color w:val="000000"/>
              </w:rPr>
              <w:t>技术总监负责数据中心运维技术体系的建设和完善，主导技术方案的论证、制定和优化，为运维工作提供技术支撑；负责攻克运维工作中的技术难题，指导专业组开展技术创新和优化工作，提升运维技术水平；组织开展技术培训和交流活动，提升运维人员的技术能力和专业素养；参与重大变更方案的评审，监督变更实施过程中的技术可行性和安全性，规避技术风险；负责技术文档的审核和管理，确保技术文档的完整性、准确性和规范性。</w:t>
            </w:r>
          </w:p>
          <w:p>
            <w:pPr>
              <w:pStyle w:val="null3"/>
              <w:ind w:firstLine="480"/>
              <w:jc w:val="both"/>
            </w:pPr>
            <w:r>
              <w:rPr>
                <w:rFonts w:ascii="仿宋_GB2312" w:hAnsi="仿宋_GB2312" w:cs="仿宋_GB2312" w:eastAsia="仿宋_GB2312"/>
                <w:sz w:val="24"/>
                <w:color w:val="000000"/>
              </w:rPr>
              <w:t>为机房及园区环境配置运维人员</w:t>
            </w:r>
            <w:r>
              <w:rPr>
                <w:rFonts w:ascii="仿宋_GB2312" w:hAnsi="仿宋_GB2312" w:cs="仿宋_GB2312" w:eastAsia="仿宋_GB2312"/>
                <w:sz w:val="24"/>
                <w:color w:val="000000"/>
              </w:rPr>
              <w:t>8人，人员需具备电工证、制冷证等专业证书，常驻凤八行政中心，提供5*8小时驻场服务，及提供7*24小时现场值班服务，负责政务网络所涉及的机房及弱电间管理和环境运维服务，以及相对应的系统软件服务；</w:t>
            </w:r>
          </w:p>
          <w:p>
            <w:pPr>
              <w:pStyle w:val="null3"/>
              <w:ind w:firstLine="480"/>
              <w:jc w:val="both"/>
            </w:pPr>
            <w:r>
              <w:rPr>
                <w:rFonts w:ascii="仿宋_GB2312" w:hAnsi="仿宋_GB2312" w:cs="仿宋_GB2312" w:eastAsia="仿宋_GB2312"/>
                <w:sz w:val="24"/>
                <w:color w:val="000000"/>
              </w:rPr>
              <w:t>为网络相关设施配置运维人员</w:t>
            </w:r>
            <w:r>
              <w:rPr>
                <w:rFonts w:ascii="仿宋_GB2312" w:hAnsi="仿宋_GB2312" w:cs="仿宋_GB2312" w:eastAsia="仿宋_GB2312"/>
                <w:sz w:val="24"/>
                <w:color w:val="000000"/>
              </w:rPr>
              <w:t>12人，常驻凤八行政中心，提供5*8小时驻场服务，及提供7*24小时现场值班服务，负责政务网络的驻场服务工作，以及相对应的系统软件服务。</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标的名称：2026年西安市政务数据中心及园区统一运维服务项目监理服务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w:t>
            </w:r>
            <w:r>
              <w:rPr>
                <w:rFonts w:ascii="仿宋_GB2312" w:hAnsi="仿宋_GB2312" w:cs="仿宋_GB2312" w:eastAsia="仿宋_GB2312"/>
                <w:sz w:val="24"/>
                <w:b/>
              </w:rPr>
              <w:t>项目概况</w:t>
            </w:r>
          </w:p>
          <w:p>
            <w:pPr>
              <w:pStyle w:val="null3"/>
              <w:ind w:firstLine="480"/>
              <w:jc w:val="both"/>
            </w:pPr>
            <w:r>
              <w:rPr>
                <w:rFonts w:ascii="仿宋_GB2312" w:hAnsi="仿宋_GB2312" w:cs="仿宋_GB2312" w:eastAsia="仿宋_GB2312"/>
                <w:sz w:val="24"/>
              </w:rPr>
              <w:t>2026年西安市政务数据中心及园区统一运维服务项目包括：基础设施整体保障服务、网络设施统一支撑服务、一体化运维管理软件服务、驻场运维服务和资产盘点的服务。</w:t>
            </w:r>
          </w:p>
          <w:p>
            <w:pPr>
              <w:pStyle w:val="null3"/>
              <w:ind w:firstLine="480"/>
              <w:jc w:val="both"/>
            </w:pPr>
            <w:r>
              <w:rPr>
                <w:rFonts w:ascii="仿宋_GB2312" w:hAnsi="仿宋_GB2312" w:cs="仿宋_GB2312" w:eastAsia="仿宋_GB2312"/>
                <w:sz w:val="24"/>
              </w:rPr>
              <w:t>基础设施整体保障服务：政务数据中心机房包含核心机房、托管机房、屏蔽机房、灾备机房及动力、消防、配线等辅助机房，建筑面积近</w:t>
            </w:r>
            <w:r>
              <w:rPr>
                <w:rFonts w:ascii="仿宋_GB2312" w:hAnsi="仿宋_GB2312" w:cs="仿宋_GB2312" w:eastAsia="仿宋_GB2312"/>
                <w:sz w:val="24"/>
              </w:rPr>
              <w:t>3000平方米，共计机柜407架，其中设备机柜306架;服务内容主要包括涉及机房的消防设施、环境监控、配电系统、精密空调的租赁及维保服务。园区主要包括市委园区、市政府园区、综合园区(人大、政协、武警后勤、政务大厅、地震监测中心)、劳动南路办公区的核心机房、汇聚机房、接入机房、弱电井等。服务内容主要包括涉及弱电井的消防设施、环境监控的租赁服务。目标是保障园区基础设施设备正常、安全、可持续运行，规范日常运行管理工作，对保障园区正常使用环境的设备进行有效监控。</w:t>
            </w:r>
          </w:p>
          <w:p>
            <w:pPr>
              <w:pStyle w:val="null3"/>
              <w:ind w:firstLine="480"/>
              <w:jc w:val="both"/>
            </w:pPr>
            <w:r>
              <w:rPr>
                <w:rFonts w:ascii="仿宋_GB2312" w:hAnsi="仿宋_GB2312" w:cs="仿宋_GB2312" w:eastAsia="仿宋_GB2312"/>
                <w:sz w:val="24"/>
              </w:rPr>
              <w:t>网络设施统一支撑服务：政务外网网络设备主要包括数据中心机房及园区外网网络设备，园区汇聚交换机</w:t>
            </w:r>
            <w:r>
              <w:rPr>
                <w:rFonts w:ascii="仿宋_GB2312" w:hAnsi="仿宋_GB2312" w:cs="仿宋_GB2312" w:eastAsia="仿宋_GB2312"/>
                <w:sz w:val="24"/>
              </w:rPr>
              <w:t>30台、园区接入交换机459台、园区核心交换机2台、总核心交换机1台、数据中心汇聚交换机8台、数据中心接入交换机14台、数据中心核心交换机1台等共566台网络设备。服务内容主要包括针对网络设备的设备租赁服务、维保服务及备品备件服务，以及数据中心流量监控服务、全网统一DNS服务。</w:t>
            </w:r>
          </w:p>
          <w:p>
            <w:pPr>
              <w:pStyle w:val="null3"/>
              <w:ind w:firstLine="480"/>
              <w:jc w:val="both"/>
            </w:pPr>
            <w:r>
              <w:rPr>
                <w:rFonts w:ascii="仿宋_GB2312" w:hAnsi="仿宋_GB2312" w:cs="仿宋_GB2312" w:eastAsia="仿宋_GB2312"/>
                <w:sz w:val="24"/>
              </w:rPr>
              <w:t>一体化运维管理软件服务：一体化运维管理软件服务主要包括统一资产管理服务、统一告警管理服务、统一工单管理服务和机房可视管理服务。其中</w:t>
            </w:r>
            <w:r>
              <w:rPr>
                <w:rFonts w:ascii="仿宋_GB2312" w:hAnsi="仿宋_GB2312" w:cs="仿宋_GB2312" w:eastAsia="仿宋_GB2312"/>
                <w:sz w:val="24"/>
              </w:rPr>
              <w:t>:统一资产管理服务，建立全面准确的资产数据支撑和资产全生命周期管理，通过对资产的精细化管理，及时发现闲置资产和低效资产，进行合理的调配和处置，减少资产浪费;统一告警管理服务，主要对服务器性能、网络端口、中间件、数据库性能等相关监控指标进行监测与分析，探测服务的可用性，并对指标进行告警设置，快速识别、定位、解决设备性能和可用性的问题，有效预防故障的产生，降低运维成本;统一工单管理服务，通过搭建统一工单管理服务，统一用户侧各类运维场景下的工单处理流程，提升运维服务质量;机房可视管理服务，对机房进行全方位监控与管理，实现资产可视化管理，实时故障检测与预警，提高运维效率与智能化管理水平。</w:t>
            </w:r>
          </w:p>
          <w:p>
            <w:pPr>
              <w:pStyle w:val="null3"/>
              <w:ind w:firstLine="480"/>
              <w:jc w:val="both"/>
            </w:pPr>
            <w:r>
              <w:rPr>
                <w:rFonts w:ascii="仿宋_GB2312" w:hAnsi="仿宋_GB2312" w:cs="仿宋_GB2312" w:eastAsia="仿宋_GB2312"/>
                <w:sz w:val="24"/>
              </w:rPr>
              <w:t>驻场运维服务：本项目服务范围为政务数据中心机房包含核心机房、托管机房、屏蔽机房、灾备机房及动力、消防、配线等辅助机房，建筑面积近</w:t>
            </w:r>
            <w:r>
              <w:rPr>
                <w:rFonts w:ascii="仿宋_GB2312" w:hAnsi="仿宋_GB2312" w:cs="仿宋_GB2312" w:eastAsia="仿宋_GB2312"/>
                <w:sz w:val="24"/>
              </w:rPr>
              <w:t>3000平方米，共计机柜407架，其中设备机柜306架，以及市委园区、市政府园区、综合园区(人大、政协、武警后勤、政务大厅、地震监测中心)、劳动南路集中办公区的核心机房、汇聚机房、接入机房、弱电井等，提供22人现场运维服务，主要负责基础设施、网络设施、一体化运维管理平台现场运维工作。主要服务内容为数据中心及各行政办公园区提供监控值守、环境检查、业务开通、故障处置、硬件更换、关键重保、技术咨询、运维培训、应急演练、综合布线、专线治理等共17项服务内容。</w:t>
            </w:r>
          </w:p>
          <w:p>
            <w:pPr>
              <w:pStyle w:val="null3"/>
              <w:ind w:firstLine="480"/>
              <w:jc w:val="both"/>
            </w:pPr>
            <w:r>
              <w:rPr>
                <w:rFonts w:ascii="仿宋_GB2312" w:hAnsi="仿宋_GB2312" w:cs="仿宋_GB2312" w:eastAsia="仿宋_GB2312"/>
                <w:sz w:val="24"/>
              </w:rPr>
              <w:t>资产盘点的服务：资产盘点的服务范围主要包括数据中心及园区的基础环境设备、网络设备相关的软硬件，服务内容包括制定盘点计划、准备盘点工具和资料、资产核实和清点、资产标识与标记、数据整理和分析、核对账目、数据录入和整理、编制盘点报告、结果处理、后续跟进等相关服务。</w:t>
            </w:r>
          </w:p>
          <w:p>
            <w:pPr>
              <w:pStyle w:val="null3"/>
            </w:pPr>
            <w:r>
              <w:rPr>
                <w:rFonts w:ascii="仿宋_GB2312" w:hAnsi="仿宋_GB2312" w:cs="仿宋_GB2312" w:eastAsia="仿宋_GB2312"/>
                <w:sz w:val="24"/>
                <w:b/>
              </w:rPr>
              <w:t>二、</w:t>
            </w:r>
            <w:r>
              <w:rPr>
                <w:rFonts w:ascii="仿宋_GB2312" w:hAnsi="仿宋_GB2312" w:cs="仿宋_GB2312" w:eastAsia="仿宋_GB2312"/>
                <w:sz w:val="24"/>
                <w:b/>
              </w:rPr>
              <w:t>服务内容</w:t>
            </w:r>
          </w:p>
          <w:p>
            <w:pPr>
              <w:pStyle w:val="null3"/>
              <w:ind w:firstLine="480"/>
              <w:jc w:val="both"/>
            </w:pPr>
            <w:r>
              <w:rPr>
                <w:rFonts w:ascii="仿宋_GB2312" w:hAnsi="仿宋_GB2312" w:cs="仿宋_GB2312" w:eastAsia="仿宋_GB2312"/>
                <w:sz w:val="24"/>
              </w:rPr>
              <w:t>为保障</w:t>
            </w:r>
            <w:r>
              <w:rPr>
                <w:rFonts w:ascii="仿宋_GB2312" w:hAnsi="仿宋_GB2312" w:cs="仿宋_GB2312" w:eastAsia="仿宋_GB2312"/>
                <w:sz w:val="24"/>
              </w:rPr>
              <w:t>2026年西安市政务数据中心及园区统一运维服务项目合法合规、高质量实施，使技术方案精准落地，运维过程规范透明，有效规避项目实施过程中存在的各类风险，加强对项目监督管理，促进多方协同提质增效，本运维监理服务对2026年西安市政务数据中心及园区统一运维服务项目实施全流程管控监督，确保项目顺利、高质量实施，并配合西安市数据局完成2026年西安市政务数据中心及园区统一运维服务项目的履约验收、绩效评价等配套性工作。</w:t>
            </w:r>
          </w:p>
          <w:p>
            <w:pPr>
              <w:pStyle w:val="null3"/>
              <w:jc w:val="both"/>
            </w:pPr>
            <w:r>
              <w:rPr>
                <w:rFonts w:ascii="仿宋_GB2312" w:hAnsi="仿宋_GB2312" w:cs="仿宋_GB2312" w:eastAsia="仿宋_GB2312"/>
                <w:sz w:val="24"/>
                <w:b/>
              </w:rPr>
              <w:t>三、服务要求</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4"/>
              </w:rPr>
              <w:t>（一）总目标服务要求目标</w:t>
            </w:r>
          </w:p>
          <w:p>
            <w:pPr>
              <w:pStyle w:val="null3"/>
              <w:ind w:firstLine="480"/>
              <w:jc w:val="both"/>
            </w:pPr>
            <w:r>
              <w:rPr>
                <w:rFonts w:ascii="仿宋_GB2312" w:hAnsi="仿宋_GB2312" w:cs="仿宋_GB2312" w:eastAsia="仿宋_GB2312"/>
                <w:sz w:val="24"/>
              </w:rPr>
              <w:t>本运维监理项目的预期目标是：对项目运维服务过程的监督和管理，依照有关标准规范和法律法规以及建设单位的需求，本着科学、公正、严格、守信、守纪、守法的原则，对</w:t>
            </w:r>
            <w:r>
              <w:rPr>
                <w:rFonts w:ascii="仿宋_GB2312" w:hAnsi="仿宋_GB2312" w:cs="仿宋_GB2312" w:eastAsia="仿宋_GB2312"/>
                <w:sz w:val="24"/>
              </w:rPr>
              <w:t>2026年西安市政务数据中心及园区统一运维服务项目实施全面的、有重点的、精线条的监督管理，包括受建设单位委托负责审核项目运维服务合同条款、运维服务计划、服务等级（SLA）协议及其他运维工作过程资料，实施过程得到有效记录，定期提交服务报告，确保项目顺利实施并通过履约验收，配合建设单位完成绩效评价等工作。</w:t>
            </w:r>
          </w:p>
          <w:p>
            <w:pPr>
              <w:pStyle w:val="null3"/>
              <w:jc w:val="both"/>
            </w:pPr>
            <w:r>
              <w:rPr>
                <w:rFonts w:ascii="仿宋_GB2312" w:hAnsi="仿宋_GB2312" w:cs="仿宋_GB2312" w:eastAsia="仿宋_GB2312"/>
                <w:sz w:val="24"/>
              </w:rPr>
              <w:t>（二）质量控制目标</w:t>
            </w:r>
          </w:p>
          <w:p>
            <w:pPr>
              <w:pStyle w:val="null3"/>
              <w:ind w:firstLine="480"/>
              <w:jc w:val="both"/>
            </w:pPr>
            <w:r>
              <w:rPr>
                <w:rFonts w:ascii="仿宋_GB2312" w:hAnsi="仿宋_GB2312" w:cs="仿宋_GB2312" w:eastAsia="仿宋_GB2312"/>
                <w:sz w:val="24"/>
              </w:rPr>
              <w:t>1.符合国家相关技术标准和规范要求。</w:t>
            </w:r>
          </w:p>
          <w:p>
            <w:pPr>
              <w:pStyle w:val="null3"/>
              <w:ind w:firstLine="480"/>
              <w:jc w:val="both"/>
            </w:pPr>
            <w:r>
              <w:rPr>
                <w:rFonts w:ascii="仿宋_GB2312" w:hAnsi="仿宋_GB2312" w:cs="仿宋_GB2312" w:eastAsia="仿宋_GB2312"/>
                <w:sz w:val="24"/>
              </w:rPr>
              <w:t>2.符合本项目监理委托合同书要求。</w:t>
            </w:r>
          </w:p>
          <w:p>
            <w:pPr>
              <w:pStyle w:val="null3"/>
              <w:ind w:firstLine="480"/>
              <w:jc w:val="both"/>
            </w:pPr>
            <w:r>
              <w:rPr>
                <w:rFonts w:ascii="仿宋_GB2312" w:hAnsi="仿宋_GB2312" w:cs="仿宋_GB2312" w:eastAsia="仿宋_GB2312"/>
                <w:sz w:val="24"/>
              </w:rPr>
              <w:t>3.项目服务质量满足建设单位、使用单位对项目建设内容、系统功能、系统性能及系统安全的要求。</w:t>
            </w:r>
          </w:p>
          <w:p>
            <w:pPr>
              <w:pStyle w:val="null3"/>
              <w:ind w:firstLine="480"/>
              <w:jc w:val="both"/>
            </w:pPr>
            <w:r>
              <w:rPr>
                <w:rFonts w:ascii="仿宋_GB2312" w:hAnsi="仿宋_GB2312" w:cs="仿宋_GB2312" w:eastAsia="仿宋_GB2312"/>
                <w:sz w:val="24"/>
              </w:rPr>
              <w:t>4.符合国家、陕西省、西安市有关信息系统监理、运行维护的相关文件要求。</w:t>
            </w:r>
          </w:p>
          <w:p>
            <w:pPr>
              <w:pStyle w:val="null3"/>
              <w:ind w:firstLine="480"/>
              <w:jc w:val="both"/>
            </w:pPr>
            <w:r>
              <w:rPr>
                <w:rFonts w:ascii="仿宋_GB2312" w:hAnsi="仿宋_GB2312" w:cs="仿宋_GB2312" w:eastAsia="仿宋_GB2312"/>
                <w:sz w:val="24"/>
              </w:rPr>
              <w:t>GB/T19668.1-2014 《信息技术服务 监理 第1部分：总则》</w:t>
            </w:r>
          </w:p>
          <w:p>
            <w:pPr>
              <w:pStyle w:val="null3"/>
              <w:ind w:firstLine="480"/>
              <w:jc w:val="both"/>
            </w:pPr>
            <w:r>
              <w:rPr>
                <w:rFonts w:ascii="仿宋_GB2312" w:hAnsi="仿宋_GB2312" w:cs="仿宋_GB2312" w:eastAsia="仿宋_GB2312"/>
                <w:sz w:val="24"/>
              </w:rPr>
              <w:t>GB/T19668.2-2017 《信息技术服务 监理 第2部分：基础设施工程监理规范》</w:t>
            </w:r>
          </w:p>
          <w:p>
            <w:pPr>
              <w:pStyle w:val="null3"/>
              <w:ind w:firstLine="480"/>
              <w:jc w:val="both"/>
            </w:pPr>
            <w:r>
              <w:rPr>
                <w:rFonts w:ascii="仿宋_GB2312" w:hAnsi="仿宋_GB2312" w:cs="仿宋_GB2312" w:eastAsia="仿宋_GB2312"/>
                <w:sz w:val="24"/>
              </w:rPr>
              <w:t>GB/T19668.3-2017 《信息技术服务 监理 第3部分：运行维护监理规范》</w:t>
            </w:r>
          </w:p>
          <w:p>
            <w:pPr>
              <w:pStyle w:val="null3"/>
              <w:ind w:firstLine="480"/>
              <w:jc w:val="both"/>
            </w:pPr>
            <w:r>
              <w:rPr>
                <w:rFonts w:ascii="仿宋_GB2312" w:hAnsi="仿宋_GB2312" w:cs="仿宋_GB2312" w:eastAsia="仿宋_GB2312"/>
                <w:sz w:val="24"/>
              </w:rPr>
              <w:t>GB/T19668.4-2017 《信息技术服务 监理 第4部分：信息安全监理规范》</w:t>
            </w:r>
          </w:p>
          <w:p>
            <w:pPr>
              <w:pStyle w:val="null3"/>
              <w:ind w:firstLine="480"/>
              <w:jc w:val="both"/>
            </w:pPr>
            <w:r>
              <w:rPr>
                <w:rFonts w:ascii="仿宋_GB2312" w:hAnsi="仿宋_GB2312" w:cs="仿宋_GB2312" w:eastAsia="仿宋_GB2312"/>
                <w:sz w:val="24"/>
              </w:rPr>
              <w:t>GB/T19668.5-2018 《信息技术服务 监理 第5部分：软件工程监理规范》</w:t>
            </w:r>
          </w:p>
          <w:p>
            <w:pPr>
              <w:pStyle w:val="null3"/>
              <w:ind w:firstLine="480"/>
              <w:jc w:val="both"/>
            </w:pPr>
            <w:r>
              <w:rPr>
                <w:rFonts w:ascii="仿宋_GB2312" w:hAnsi="仿宋_GB2312" w:cs="仿宋_GB2312" w:eastAsia="仿宋_GB2312"/>
                <w:sz w:val="24"/>
              </w:rPr>
              <w:t>GB/T19668.6-2019 《信息技术服务 监理 第6部分：应用系统：数据中心工程监理规范》</w:t>
            </w:r>
          </w:p>
          <w:p>
            <w:pPr>
              <w:pStyle w:val="null3"/>
              <w:ind w:firstLine="480"/>
              <w:jc w:val="both"/>
            </w:pPr>
            <w:r>
              <w:rPr>
                <w:rFonts w:ascii="仿宋_GB2312" w:hAnsi="仿宋_GB2312" w:cs="仿宋_GB2312" w:eastAsia="仿宋_GB2312"/>
                <w:sz w:val="24"/>
              </w:rPr>
              <w:t>GB/T19668.7-2022 《信息技术服务 监理 第7部分：监理工作量度量要求》</w:t>
            </w:r>
          </w:p>
          <w:p>
            <w:pPr>
              <w:pStyle w:val="null3"/>
              <w:ind w:firstLine="480"/>
              <w:jc w:val="both"/>
            </w:pPr>
            <w:r>
              <w:rPr>
                <w:rFonts w:ascii="仿宋_GB2312" w:hAnsi="仿宋_GB2312" w:cs="仿宋_GB2312" w:eastAsia="仿宋_GB2312"/>
                <w:sz w:val="24"/>
              </w:rPr>
              <w:t>GB/T 28827.1-2022 信息技术服务 运行维护 第1部分：通用要求</w:t>
            </w:r>
          </w:p>
          <w:p>
            <w:pPr>
              <w:pStyle w:val="null3"/>
              <w:ind w:firstLine="480"/>
              <w:jc w:val="both"/>
            </w:pPr>
            <w:r>
              <w:rPr>
                <w:rFonts w:ascii="仿宋_GB2312" w:hAnsi="仿宋_GB2312" w:cs="仿宋_GB2312" w:eastAsia="仿宋_GB2312"/>
                <w:sz w:val="24"/>
              </w:rPr>
              <w:t>GB/T 28827.2-2012 信息技术服务 运行维护 第2部分：交付规范</w:t>
            </w:r>
          </w:p>
          <w:p>
            <w:pPr>
              <w:pStyle w:val="null3"/>
              <w:ind w:firstLine="480"/>
              <w:jc w:val="both"/>
            </w:pPr>
            <w:r>
              <w:rPr>
                <w:rFonts w:ascii="仿宋_GB2312" w:hAnsi="仿宋_GB2312" w:cs="仿宋_GB2312" w:eastAsia="仿宋_GB2312"/>
                <w:sz w:val="24"/>
              </w:rPr>
              <w:t>GB/T 28827.3-2012 信息技术服务 运行维护 第3部分：应急响应规范</w:t>
            </w:r>
          </w:p>
          <w:p>
            <w:pPr>
              <w:pStyle w:val="null3"/>
              <w:ind w:firstLine="480"/>
              <w:jc w:val="both"/>
            </w:pPr>
            <w:r>
              <w:rPr>
                <w:rFonts w:ascii="仿宋_GB2312" w:hAnsi="仿宋_GB2312" w:cs="仿宋_GB2312" w:eastAsia="仿宋_GB2312"/>
                <w:sz w:val="24"/>
              </w:rPr>
              <w:t>GB/T 28827.4-2019 信息技术服务 运行维护 第4部分：数据中心服务要求</w:t>
            </w:r>
          </w:p>
          <w:p>
            <w:pPr>
              <w:pStyle w:val="null3"/>
              <w:ind w:firstLine="480"/>
              <w:jc w:val="both"/>
            </w:pPr>
            <w:r>
              <w:rPr>
                <w:rFonts w:ascii="仿宋_GB2312" w:hAnsi="仿宋_GB2312" w:cs="仿宋_GB2312" w:eastAsia="仿宋_GB2312"/>
                <w:sz w:val="24"/>
              </w:rPr>
              <w:t>SJ/T 11564.5-2017 信息技术服务 运行维护 第5部分：桌面及外围设备规范</w:t>
            </w:r>
          </w:p>
          <w:p>
            <w:pPr>
              <w:pStyle w:val="null3"/>
              <w:ind w:firstLine="480"/>
              <w:jc w:val="both"/>
            </w:pPr>
            <w:r>
              <w:rPr>
                <w:rFonts w:ascii="仿宋_GB2312" w:hAnsi="仿宋_GB2312" w:cs="仿宋_GB2312" w:eastAsia="仿宋_GB2312"/>
                <w:sz w:val="24"/>
              </w:rPr>
              <w:t>GB/T 28827.6-2019 信息技术服务 运行维护 第6部分：应用系统服务要求</w:t>
            </w:r>
          </w:p>
          <w:p>
            <w:pPr>
              <w:pStyle w:val="null3"/>
              <w:ind w:firstLine="480"/>
              <w:jc w:val="both"/>
            </w:pPr>
            <w:r>
              <w:rPr>
                <w:rFonts w:ascii="仿宋_GB2312" w:hAnsi="仿宋_GB2312" w:cs="仿宋_GB2312" w:eastAsia="仿宋_GB2312"/>
                <w:sz w:val="24"/>
              </w:rPr>
              <w:t>GB/T 28827.7-2022 信息技术服务 运行维护 第7部分：成本度量规范</w:t>
            </w:r>
          </w:p>
          <w:p>
            <w:pPr>
              <w:pStyle w:val="null3"/>
              <w:ind w:firstLine="480"/>
              <w:jc w:val="both"/>
            </w:pPr>
            <w:r>
              <w:rPr>
                <w:rFonts w:ascii="仿宋_GB2312" w:hAnsi="仿宋_GB2312" w:cs="仿宋_GB2312" w:eastAsia="仿宋_GB2312"/>
                <w:sz w:val="24"/>
              </w:rPr>
              <w:t>5.符合项目运行的质量标准和质量要求。</w:t>
            </w:r>
          </w:p>
          <w:p>
            <w:pPr>
              <w:pStyle w:val="null3"/>
              <w:ind w:firstLine="480"/>
              <w:jc w:val="both"/>
            </w:pPr>
            <w:r>
              <w:rPr>
                <w:rFonts w:ascii="仿宋_GB2312" w:hAnsi="仿宋_GB2312" w:cs="仿宋_GB2312" w:eastAsia="仿宋_GB2312"/>
                <w:sz w:val="24"/>
              </w:rPr>
              <w:t>6.工程质量符合项目招标文件的要求及中标单位投标文件的承诺。</w:t>
            </w:r>
          </w:p>
          <w:p>
            <w:pPr>
              <w:pStyle w:val="null3"/>
              <w:ind w:firstLine="480"/>
              <w:jc w:val="both"/>
            </w:pPr>
            <w:r>
              <w:rPr>
                <w:rFonts w:ascii="仿宋_GB2312" w:hAnsi="仿宋_GB2312" w:cs="仿宋_GB2312" w:eastAsia="仿宋_GB2312"/>
                <w:sz w:val="24"/>
              </w:rPr>
              <w:t>7.通过运维服务人员的质量活动，确保质量保证计划的有效实施，按照服务规范交付约定的服务。根据运维服务计划和SLA协议实施，实施过程得到有效记录，定期提交服务报告。定期对现行的各项运维管理制度、流程进行适用性评估，以考核为依据提出整体运维体系评估意见及完善建议。对不符合的行为进行改进并总结分析，确保改进措施得到有效实施。对于重大质量问题，编制专项报告；对于质量实施工作，要接受建设单位的检查。</w:t>
            </w:r>
          </w:p>
          <w:p>
            <w:pPr>
              <w:pStyle w:val="null3"/>
              <w:jc w:val="both"/>
            </w:pPr>
            <w:r>
              <w:rPr>
                <w:rFonts w:ascii="仿宋_GB2312" w:hAnsi="仿宋_GB2312" w:cs="仿宋_GB2312" w:eastAsia="仿宋_GB2312"/>
                <w:sz w:val="24"/>
              </w:rPr>
              <w:t>（三）进度控制目标</w:t>
            </w:r>
          </w:p>
          <w:p>
            <w:pPr>
              <w:pStyle w:val="null3"/>
              <w:ind w:firstLine="480"/>
              <w:jc w:val="both"/>
            </w:pPr>
            <w:r>
              <w:rPr>
                <w:rFonts w:ascii="仿宋_GB2312" w:hAnsi="仿宋_GB2312" w:cs="仿宋_GB2312" w:eastAsia="仿宋_GB2312"/>
                <w:sz w:val="24"/>
              </w:rPr>
              <w:t>保证项目在合同书约定的工期内完成运维服务计划和</w:t>
            </w:r>
            <w:r>
              <w:rPr>
                <w:rFonts w:ascii="仿宋_GB2312" w:hAnsi="仿宋_GB2312" w:cs="仿宋_GB2312" w:eastAsia="仿宋_GB2312"/>
                <w:sz w:val="24"/>
              </w:rPr>
              <w:t>SLA协议实施，并顺利通过履约验收，完成绩效评价。</w:t>
            </w:r>
          </w:p>
          <w:p>
            <w:pPr>
              <w:pStyle w:val="null3"/>
              <w:jc w:val="both"/>
            </w:pPr>
            <w:r>
              <w:rPr>
                <w:rFonts w:ascii="仿宋_GB2312" w:hAnsi="仿宋_GB2312" w:cs="仿宋_GB2312" w:eastAsia="仿宋_GB2312"/>
                <w:sz w:val="24"/>
              </w:rPr>
              <w:t>（四）信息安全控制目标</w:t>
            </w:r>
          </w:p>
          <w:p>
            <w:pPr>
              <w:pStyle w:val="null3"/>
              <w:ind w:firstLine="480"/>
              <w:jc w:val="both"/>
            </w:pPr>
            <w:r>
              <w:rPr>
                <w:rFonts w:ascii="仿宋_GB2312" w:hAnsi="仿宋_GB2312" w:cs="仿宋_GB2312" w:eastAsia="仿宋_GB2312"/>
                <w:sz w:val="24"/>
              </w:rPr>
              <w:t>信息安全符合</w:t>
            </w:r>
            <w:r>
              <w:rPr>
                <w:rFonts w:ascii="仿宋_GB2312" w:hAnsi="仿宋_GB2312" w:cs="仿宋_GB2312" w:eastAsia="仿宋_GB2312"/>
                <w:sz w:val="24"/>
              </w:rPr>
              <w:t>GB 17859-1999•计算机信息系统安全保护等级划分准则、GB/T 9361-2011•计算机场地安全要求、GB/T 22239-2019《信息安全技术 网络安全等级保护基本要求》；满足平台的安全要求，满足合同要求和用户使用需求。</w:t>
            </w:r>
          </w:p>
          <w:p>
            <w:pPr>
              <w:pStyle w:val="null3"/>
              <w:ind w:firstLine="480"/>
              <w:jc w:val="both"/>
            </w:pPr>
            <w:r>
              <w:rPr>
                <w:rFonts w:ascii="仿宋_GB2312" w:hAnsi="仿宋_GB2312" w:cs="仿宋_GB2312" w:eastAsia="仿宋_GB2312"/>
                <w:sz w:val="24"/>
              </w:rPr>
              <w:t>1.信息安全运维监理过程中，保证信息系统的安全在可用性、保密性、完整性与信息系统运维的可维护性技术环节上没有冲突；</w:t>
            </w:r>
          </w:p>
          <w:p>
            <w:pPr>
              <w:pStyle w:val="null3"/>
              <w:ind w:firstLine="480"/>
              <w:jc w:val="both"/>
            </w:pPr>
            <w:r>
              <w:rPr>
                <w:rFonts w:ascii="仿宋_GB2312" w:hAnsi="仿宋_GB2312" w:cs="仿宋_GB2312" w:eastAsia="仿宋_GB2312"/>
                <w:sz w:val="24"/>
              </w:rPr>
              <w:t>2.确保信息安全运维设计上没有漏洞；</w:t>
            </w:r>
          </w:p>
          <w:p>
            <w:pPr>
              <w:pStyle w:val="null3"/>
              <w:ind w:firstLine="480"/>
              <w:jc w:val="both"/>
            </w:pPr>
            <w:r>
              <w:rPr>
                <w:rFonts w:ascii="仿宋_GB2312" w:hAnsi="仿宋_GB2312" w:cs="仿宋_GB2312" w:eastAsia="仿宋_GB2312"/>
                <w:sz w:val="24"/>
              </w:rPr>
              <w:t>3.督促运维的信息安全运维服务人员在安全管理制度和安全规范下严格执行安全操作和管理，建立安全意识；</w:t>
            </w:r>
          </w:p>
          <w:p>
            <w:pPr>
              <w:pStyle w:val="null3"/>
              <w:ind w:firstLine="480"/>
              <w:jc w:val="both"/>
            </w:pPr>
            <w:r>
              <w:rPr>
                <w:rFonts w:ascii="仿宋_GB2312" w:hAnsi="仿宋_GB2312" w:cs="仿宋_GB2312" w:eastAsia="仿宋_GB2312"/>
                <w:sz w:val="24"/>
              </w:rPr>
              <w:t>4.检查运维服务商是否存在设计过程中的安全隐患行为或现象等，确保整个运维管理过程中的安全实施和安全应用。</w:t>
            </w:r>
          </w:p>
          <w:p>
            <w:pPr>
              <w:pStyle w:val="null3"/>
              <w:jc w:val="both"/>
            </w:pPr>
            <w:r>
              <w:rPr>
                <w:rFonts w:ascii="仿宋_GB2312" w:hAnsi="仿宋_GB2312" w:cs="仿宋_GB2312" w:eastAsia="仿宋_GB2312"/>
                <w:sz w:val="24"/>
              </w:rPr>
              <w:t>（五）知识产权保护控制目标</w:t>
            </w:r>
          </w:p>
          <w:p>
            <w:pPr>
              <w:pStyle w:val="null3"/>
              <w:ind w:firstLine="480"/>
              <w:jc w:val="both"/>
            </w:pPr>
            <w:r>
              <w:rPr>
                <w:rFonts w:ascii="仿宋_GB2312" w:hAnsi="仿宋_GB2312" w:cs="仿宋_GB2312" w:eastAsia="仿宋_GB2312"/>
                <w:sz w:val="24"/>
              </w:rPr>
              <w:t>符合国家相关知识产权保护规定和法律。同时保证建设单位、承建单位、监理方和设备</w:t>
            </w:r>
            <w:r>
              <w:rPr>
                <w:rFonts w:ascii="仿宋_GB2312" w:hAnsi="仿宋_GB2312" w:cs="仿宋_GB2312" w:eastAsia="仿宋_GB2312"/>
                <w:sz w:val="24"/>
              </w:rPr>
              <w:t>/软件原厂商各方资料和产品的知识产权不受侵害。</w:t>
            </w:r>
          </w:p>
          <w:p>
            <w:pPr>
              <w:pStyle w:val="null3"/>
              <w:jc w:val="both"/>
            </w:pPr>
            <w:r>
              <w:rPr>
                <w:rFonts w:ascii="仿宋_GB2312" w:hAnsi="仿宋_GB2312" w:cs="仿宋_GB2312" w:eastAsia="仿宋_GB2312"/>
                <w:sz w:val="24"/>
              </w:rPr>
              <w:t>（六）信息文档管理目标</w:t>
            </w:r>
          </w:p>
          <w:p>
            <w:pPr>
              <w:pStyle w:val="null3"/>
              <w:ind w:firstLine="480"/>
              <w:jc w:val="both"/>
            </w:pPr>
            <w:r>
              <w:rPr>
                <w:rFonts w:ascii="仿宋_GB2312" w:hAnsi="仿宋_GB2312" w:cs="仿宋_GB2312" w:eastAsia="仿宋_GB2312"/>
                <w:sz w:val="24"/>
              </w:rPr>
              <w:t>建立以信息系统运维项目作为管理体系，在运维的各个阶段，对所产生的、面向信息系统运维管理业务资料进行收集、传输、加工、储存、维护、使用和整理；协助运维服务商建立文档管理制度，接收信息系统运维资料，对资料进行归整、保管和使用。</w:t>
            </w:r>
          </w:p>
          <w:p>
            <w:pPr>
              <w:pStyle w:val="null3"/>
              <w:jc w:val="both"/>
            </w:pPr>
            <w:r>
              <w:rPr>
                <w:rFonts w:ascii="仿宋_GB2312" w:hAnsi="仿宋_GB2312" w:cs="仿宋_GB2312" w:eastAsia="仿宋_GB2312"/>
                <w:sz w:val="24"/>
              </w:rPr>
              <w:t>（七）合同管理目标</w:t>
            </w:r>
          </w:p>
          <w:p>
            <w:pPr>
              <w:pStyle w:val="null3"/>
              <w:ind w:firstLine="480"/>
              <w:jc w:val="both"/>
            </w:pPr>
            <w:r>
              <w:rPr>
                <w:rFonts w:ascii="仿宋_GB2312" w:hAnsi="仿宋_GB2312" w:cs="仿宋_GB2312" w:eastAsia="仿宋_GB2312"/>
                <w:sz w:val="24"/>
              </w:rPr>
              <w:t>协助用户拟定信息系统运维合同的各类条款，参与用户和运维服务商的谈判活动；及时分析合同的执行情况，并进行跟踪管理；协助用户与运维服务商的有关索赔及合同纠纷事宜，以及实现项目合同规定的质量目标、进度目标和投资目标。</w:t>
            </w:r>
          </w:p>
          <w:p>
            <w:pPr>
              <w:pStyle w:val="null3"/>
              <w:jc w:val="both"/>
            </w:pPr>
            <w:r>
              <w:rPr>
                <w:rFonts w:ascii="仿宋_GB2312" w:hAnsi="仿宋_GB2312" w:cs="仿宋_GB2312" w:eastAsia="仿宋_GB2312"/>
                <w:sz w:val="24"/>
              </w:rPr>
              <w:t>（八）组织协调目标</w:t>
            </w:r>
          </w:p>
          <w:p>
            <w:pPr>
              <w:pStyle w:val="null3"/>
              <w:ind w:firstLine="480"/>
              <w:jc w:val="both"/>
            </w:pPr>
            <w:r>
              <w:rPr>
                <w:rFonts w:ascii="仿宋_GB2312" w:hAnsi="仿宋_GB2312" w:cs="仿宋_GB2312" w:eastAsia="仿宋_GB2312"/>
                <w:sz w:val="24"/>
              </w:rPr>
              <w:t>认真履行建设单位、承建单位、使用单位等各方关系，通过月度、季度例会、报告等制度，通过各种监理方法使本项目顺利、高效进行，保证各相关方的良好沟通和无缝衔接，保证项目相关信息传递的及时性和有效性。</w:t>
            </w:r>
          </w:p>
          <w:p>
            <w:pPr>
              <w:pStyle w:val="null3"/>
              <w:jc w:val="both"/>
            </w:pPr>
            <w:r>
              <w:rPr>
                <w:rFonts w:ascii="仿宋_GB2312" w:hAnsi="仿宋_GB2312" w:cs="仿宋_GB2312" w:eastAsia="仿宋_GB2312"/>
                <w:sz w:val="24"/>
              </w:rPr>
              <w:t>（九）变更控制目标</w:t>
            </w:r>
          </w:p>
          <w:p>
            <w:pPr>
              <w:pStyle w:val="null3"/>
              <w:ind w:firstLine="480"/>
              <w:jc w:val="both"/>
            </w:pPr>
            <w:r>
              <w:rPr>
                <w:rFonts w:ascii="仿宋_GB2312" w:hAnsi="仿宋_GB2312" w:cs="仿宋_GB2312" w:eastAsia="仿宋_GB2312"/>
                <w:sz w:val="24"/>
              </w:rPr>
              <w:t>审核项目各相关方提出的项目变更申请和建议，组织项目变更委员会讨论项目变更方案，确保项目变更的必要性、可行性、合理性、科学性，确定最优化的变更方案，并跟踪、监督变更的执行效果。</w:t>
            </w:r>
          </w:p>
          <w:p>
            <w:pPr>
              <w:pStyle w:val="null3"/>
              <w:jc w:val="both"/>
            </w:pPr>
            <w:r>
              <w:rPr>
                <w:rFonts w:ascii="仿宋_GB2312" w:hAnsi="仿宋_GB2312" w:cs="仿宋_GB2312" w:eastAsia="仿宋_GB2312"/>
                <w:sz w:val="24"/>
              </w:rPr>
              <w:t>（十）配置管理</w:t>
            </w:r>
          </w:p>
          <w:p>
            <w:pPr>
              <w:pStyle w:val="null3"/>
              <w:ind w:firstLine="480"/>
              <w:jc w:val="both"/>
            </w:pPr>
            <w:r>
              <w:rPr>
                <w:rFonts w:ascii="仿宋_GB2312" w:hAnsi="仿宋_GB2312" w:cs="仿宋_GB2312" w:eastAsia="仿宋_GB2312"/>
                <w:sz w:val="24"/>
              </w:rPr>
              <w:t>通过配置管理过程，督导并核实相关的信息化基础架构的配置记录的准确性并维护准确的信息，为服务管理过程提供支持（如事件管理、问题管理、变更管理和发布管理），向用户提供的服务内容和</w:t>
            </w:r>
            <w:r>
              <w:rPr>
                <w:rFonts w:ascii="仿宋_GB2312" w:hAnsi="仿宋_GB2312" w:cs="仿宋_GB2312" w:eastAsia="仿宋_GB2312"/>
                <w:sz w:val="24"/>
              </w:rPr>
              <w:t>SLA（服务级别协议）能够与CI（配置项）相关联。</w:t>
            </w:r>
          </w:p>
          <w:p>
            <w:pPr>
              <w:pStyle w:val="null3"/>
              <w:jc w:val="both"/>
            </w:pPr>
            <w:r>
              <w:rPr>
                <w:rFonts w:ascii="仿宋_GB2312" w:hAnsi="仿宋_GB2312" w:cs="仿宋_GB2312" w:eastAsia="仿宋_GB2312"/>
                <w:sz w:val="24"/>
              </w:rPr>
              <w:t>（十一）效能管理</w:t>
            </w:r>
          </w:p>
          <w:p>
            <w:pPr>
              <w:pStyle w:val="null3"/>
              <w:ind w:firstLine="480"/>
              <w:jc w:val="both"/>
            </w:pPr>
            <w:r>
              <w:rPr>
                <w:rFonts w:ascii="仿宋_GB2312" w:hAnsi="仿宋_GB2312" w:cs="仿宋_GB2312" w:eastAsia="仿宋_GB2312"/>
                <w:sz w:val="24"/>
              </w:rPr>
              <w:t>协助用户对运维服务商进行绩效考核与能力管理。协助用户对运维服务商进行绩效考核工作，制定绩效考核管理办法，明确绩效考核内容（例如日常管理考核、电话服务考核、巡检服务考核、故障</w:t>
            </w:r>
            <w:r>
              <w:rPr>
                <w:rFonts w:ascii="仿宋_GB2312" w:hAnsi="仿宋_GB2312" w:cs="仿宋_GB2312" w:eastAsia="仿宋_GB2312"/>
                <w:sz w:val="24"/>
              </w:rPr>
              <w:t>/问题处理考核、派工服务考核、文档审查、合同执行情况考核、用户满意度与特殊事件考核等），确定考核执行的组织结构，根据考核方法（日常考核、过程考核和事后考核），制定绩效考核指标，并根据绩效考核流程进行绩效考核评分，开展年度绩效考核的评价。协助用户对运维服务商及人员进行能力考核工作，主要包括：能力考察、知识库完善与培训、运维工具改进。</w:t>
            </w:r>
          </w:p>
          <w:p>
            <w:pPr>
              <w:pStyle w:val="null3"/>
              <w:jc w:val="both"/>
            </w:pPr>
            <w:r>
              <w:rPr>
                <w:rFonts w:ascii="仿宋_GB2312" w:hAnsi="仿宋_GB2312" w:cs="仿宋_GB2312" w:eastAsia="仿宋_GB2312"/>
                <w:sz w:val="24"/>
                <w:b/>
              </w:rPr>
              <w:t>四、商务要求</w:t>
            </w:r>
          </w:p>
          <w:p>
            <w:pPr>
              <w:pStyle w:val="null3"/>
              <w:ind w:firstLine="480"/>
              <w:jc w:val="both"/>
            </w:pPr>
            <w:r>
              <w:rPr>
                <w:rFonts w:ascii="仿宋_GB2312" w:hAnsi="仿宋_GB2312" w:cs="仿宋_GB2312" w:eastAsia="仿宋_GB2312"/>
                <w:sz w:val="24"/>
              </w:rPr>
              <w:t>服务期：监理服务期为自合同签订之日起</w:t>
            </w:r>
            <w:r>
              <w:rPr>
                <w:rFonts w:ascii="仿宋_GB2312" w:hAnsi="仿宋_GB2312" w:cs="仿宋_GB2312" w:eastAsia="仿宋_GB2312"/>
                <w:sz w:val="24"/>
              </w:rPr>
              <w:t>12个月。</w:t>
            </w:r>
          </w:p>
          <w:p>
            <w:pPr>
              <w:pStyle w:val="null3"/>
            </w:pPr>
            <w:r>
              <w:rPr>
                <w:rFonts w:ascii="仿宋_GB2312" w:hAnsi="仿宋_GB2312" w:cs="仿宋_GB2312" w:eastAsia="仿宋_GB2312"/>
                <w:sz w:val="24"/>
              </w:rPr>
              <w:t>在服务期内，采购人定期会组织相关专家对监理公司的服务进行考核。考核通过后方可根据采购人要求支付费用；若考核不通过，采购人有权利终止合同</w:t>
            </w:r>
            <w:r>
              <w:rPr>
                <w:rFonts w:ascii="仿宋_GB2312" w:hAnsi="仿宋_GB2312" w:cs="仿宋_GB2312" w:eastAsia="仿宋_GB2312"/>
                <w:sz w:val="24"/>
              </w:rPr>
              <w:t>。</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满足招标文件及采购人要求。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满足招标文件及采购人要求。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满足招标文件及采购人要求。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满足招标文件及采购人要求。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1.根据采购⽂件要求及合同约定执⾏；事业单位参与投标时，可不提供财务状况报告、社会保障资⾦和税收缴纳证明；依 法免税的供应商，应提供相应证明⽂件，证明其依法免税；⾃然⼈（仅限中国公⺠）参与投标时，只须提供⾝份证复印件；2. （响应⽂件格式-标的清单）本项⽬服务范围：2026年西安市政务数据中⼼及园区统⼀运维服务项⽬； 服务要求：符合招标 ⽂件有关技术、商务要求； 服务标准：符合国家及⾏业现⾏标准。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1.根据采购⽂件要求及合同约定执⾏；事业单位参与投标时，可不提供财务状况报告、社会保障资⾦和税收缴纳证明；依 法免税的供应商，应提供相应证明⽂件，证明其依法免税；⾃然⼈（仅限中国公⺠）参与投标时，只须提供⾝份证复印件；2. （响应⽂件格式-标的清单）本项⽬服务范围：2026年西安市政务数据中⼼及园区统⼀运维服务项⽬； 服务要求：符合招标 ⽂件有关技术、商务要求； 服务标准：符合国家及⾏业现⾏标准。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合同签订30日之内中标单位应具备服务能力，服务期为监理单位出具服务能力审核报告之日起12个月。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监理服务期为自合同签订之日起12个月。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成交供应商提交项目所有的成果报告后，由采购人和成交供应商共同对项目进行整体验收。其内容包括是否按照采购人要求进行服务、是否在规定时间内服务完毕。 其他事项： 1、验收合格后，填写政府采购项目验收单作为对本服务的最终认可。 2、服务商向采购人提供服务过程中的所有资料,以便采购人日后管理。 3、验收依据 3.1招标文件、投标文件、澄清表（函）； 3.2本合同及附件文本； 3.3国家相应的标准、规范。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成交供应商提交项目所有的成果报告后，由采购人和成交供应商共同对项目进行整体验收。其内容包括是否按照采购人要求进行服务、是否在规定时间内服务完毕。 其他事项： 1、验收合格后，填写政府采购项目验收单作为对本服务的最终认可。 2、服务商向采购人提供服务过程中的所有资料,以便采购人日后管理。 3、验收依据 3.1招标文件、投标文件、澄清表（函）； 3.2本合同及附件文本； 3.3国家相应的标准、规范。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进度款，服务商具备服务能力，达到付款条件起10个工作日内，支付合同总金额的30.0%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进度款，服务商完成合同约定全部内容的开通、服务期届满6个月后15个工作日内，由采购人组织中期验收，验收通过后，达到付款条件起30个工作日内，支付合同总金额的40.0%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进度款，服务期届满15个工作日内，由采购人组织终验，终验通过后，达到付款条件起30个工作日内，支付合同总金额的30.0%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进度款，合同签订生效后，达到付款条件起15个工作日内，支付合同总金额的30.0%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进度款，被监理项目系统上线试运行，乙方提交阶段性监理报告，甲方审核通过后，达到付款条件起15个工作日内，支付合同总金额的40.0%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进度款，项目完成最终竣工验收、乙方完整移交全部监理档案资料，双方结算完毕后，达到付款条件起15个工作日内，支付合同总金额的30.0%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1.按《中华人民共和国民法典》中的相关条款执行。2.未按合同要求提供服务或服务质量不能满足本次采购要求，甲方会同监督机构、采购代理机构有权终止合同和对乙方违约行为进行追究，同时按有关规定进行相应的处罚。 （二）合同争议解决的方式：本合同在履行过程中发生的争议，由甲、乙双方当事人协商解决，协商不成的按下列第2种方式解决：1.提交西安仲裁委员会仲裁；2.依法向有管辖权的人民法院起诉。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违约责任：1.按《中华人民共和国民法典》中的相关条款执行。2.未按合同要求提供服务或服务质量不能满足本次采购要求，甲方会同监督机构、采购代理机构有权终止合同和对乙方违约行为进行追究，同时按有关规定进行相应的处罚。 （二）合同争议解决的方式：本合同在履行过程中发生的争议，由甲、乙双方当事人协商解决，协商不成的按下列第2种方式解决：1.提交西安仲裁委员会仲裁；2.依法向有管辖权的人民法院起诉。</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3.4.1安全责任:⼄⽅应对其⼯作⼈员在现场⼯作期间的⼀切⾏为负责，如安全事故责任及因此发⽣的⼈⾝损害赔偿和其它 费⽤由⼄⽅承担。 3.4.2保密条款:(1)成交供应商应严格遵守采购单位有关保密规定，不得泄漏⼀切机密;(2)在技术服务期 间，成交供应商对接触到的有关采购单位商业活动、技术情报和技术资料等⽂件进⾏保密。 3.4.3为保障政府采购电⼦化交易 平台项⽬实施，供应商需要在线提交所有通过电⼦化交易平台实施的政府采购项⽬的投标⽂件，中标供应商领取中标通知书时 须提交投标⽂件三套。纸质投标⽂件应与电⼦投标⽂件保持⼀致。递交纸质⽂件地点:商洛市商州区丹江⼀品饮⻝⼀条街2- 22（亿诚公司）。 3.4.4软件和信息技术服务业。从业⼈员300⼈以下或营业收⼊10000万元以下的为中⼩微型企业。其 中，从业⼈员100⼈及以上，且营业收⼊1000万元及以上的为中型企业;从业⼈员10⼈及以上，且营业收⼊50万元及以上的 为⼩型企业;从业⼈员10⼈以下或营业收⼊50万元以下的为微型企业。 3.4.5品⽬编码C16070100（采购包1）；品⽬编码 C16050000（采购包2）。 3.4.6采购⽂件所列标准与国家现⾏标准不⼀致时，以国家现⾏标准为准。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投标人相关资格证明材料.docx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投标人相关资格证明材料.docx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是独立承担民事责任能力的法人、其他组织或自然人：法人需提供合法有效的营业执照，其他组织需提供合法有效的营业执照或事业单位法人证书或民办非企业单位登记证书或非企业专业服务机构执业许可证等证明资料，自然人须提供身份证明；</w:t>
            </w:r>
          </w:p>
        </w:tc>
        <w:tc>
          <w:tcPr>
            <w:tcW w:type="dxa" w:w="1661"/>
          </w:tcPr>
          <w:p>
            <w:pPr>
              <w:pStyle w:val="null3"/>
            </w:pPr>
            <w:r>
              <w:rPr>
                <w:rFonts w:ascii="仿宋_GB2312" w:hAnsi="仿宋_GB2312" w:cs="仿宋_GB2312" w:eastAsia="仿宋_GB2312"/>
              </w:rPr>
              <w:t>投标人相关资格证明材料.docx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财务状况报告（带赋码）</w:t>
            </w:r>
          </w:p>
        </w:tc>
        <w:tc>
          <w:tcPr>
            <w:tcW w:type="dxa" w:w="3322"/>
          </w:tcPr>
          <w:p>
            <w:pPr>
              <w:pStyle w:val="null3"/>
            </w:pPr>
            <w:r>
              <w:rPr>
                <w:rFonts w:ascii="仿宋_GB2312" w:hAnsi="仿宋_GB2312" w:cs="仿宋_GB2312" w:eastAsia="仿宋_GB2312"/>
              </w:rPr>
              <w:t>提供具有财务审计资质单位出具的2025年完整的财务审计报告或提供开标前三个月内由基本账户开户银行出具的资信证明（附开户许可证或开户备案证明或基本账户信息）或成立时间至提交投标文件截止时间不足一年的可提供成立后任意时段的资产负债表、利润表和现金流量表（以上三种形式的资料提供任何一种即可）；</w:t>
            </w:r>
          </w:p>
        </w:tc>
        <w:tc>
          <w:tcPr>
            <w:tcW w:type="dxa" w:w="1661"/>
          </w:tcPr>
          <w:p>
            <w:pPr>
              <w:pStyle w:val="null3"/>
            </w:pPr>
            <w:r>
              <w:rPr>
                <w:rFonts w:ascii="仿宋_GB2312" w:hAnsi="仿宋_GB2312" w:cs="仿宋_GB2312" w:eastAsia="仿宋_GB2312"/>
              </w:rPr>
              <w:t>投标人相关资格证明材料.docx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提供投标人2025年7月至今已缴纳任意一个月完税凭证或税务机关开具的完税证明（时间以税款所属日期为准，凭据应有税务机关或代收机关的公章或业务专用章）；依法免税的应提供相关文件证明；</w:t>
            </w:r>
          </w:p>
        </w:tc>
        <w:tc>
          <w:tcPr>
            <w:tcW w:type="dxa" w:w="1661"/>
          </w:tcPr>
          <w:p>
            <w:pPr>
              <w:pStyle w:val="null3"/>
            </w:pPr>
            <w:r>
              <w:rPr>
                <w:rFonts w:ascii="仿宋_GB2312" w:hAnsi="仿宋_GB2312" w:cs="仿宋_GB2312" w:eastAsia="仿宋_GB2312"/>
              </w:rPr>
              <w:t>投标人相关资格证明材料.docx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提供投标人2025年7月至今已缴纳任意一个月完税凭证或税务机关开具的完税证明（时间以税款所属日期为准，凭据应有税务机关或代收机关的公章或业务专用章）；</w:t>
            </w:r>
          </w:p>
        </w:tc>
        <w:tc>
          <w:tcPr>
            <w:tcW w:type="dxa" w:w="1661"/>
          </w:tcPr>
          <w:p>
            <w:pPr>
              <w:pStyle w:val="null3"/>
            </w:pPr>
            <w:r>
              <w:rPr>
                <w:rFonts w:ascii="仿宋_GB2312" w:hAnsi="仿宋_GB2312" w:cs="仿宋_GB2312" w:eastAsia="仿宋_GB2312"/>
              </w:rPr>
              <w:t>投标人相关资格证明材料.docx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提供具有履行本合同所必需的设备和专业技术能力的书面声明及承诺；</w:t>
            </w:r>
          </w:p>
        </w:tc>
        <w:tc>
          <w:tcPr>
            <w:tcW w:type="dxa" w:w="1661"/>
          </w:tcPr>
          <w:p>
            <w:pPr>
              <w:pStyle w:val="null3"/>
            </w:pPr>
            <w:r>
              <w:rPr>
                <w:rFonts w:ascii="仿宋_GB2312" w:hAnsi="仿宋_GB2312" w:cs="仿宋_GB2312" w:eastAsia="仿宋_GB2312"/>
              </w:rPr>
              <w:t>投标人相关资格证明材料.docx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中国执行信息公开网（https://zxgk.court.gov.cn/）“失信被执行人”；信用中国网站(www.creditchina.gov.cn)“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投标人相关资格证明材料.docx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法人代表授权委托书</w:t>
            </w:r>
          </w:p>
        </w:tc>
        <w:tc>
          <w:tcPr>
            <w:tcW w:type="dxa" w:w="3322"/>
          </w:tcPr>
          <w:p>
            <w:pPr>
              <w:pStyle w:val="null3"/>
            </w:pPr>
            <w:r>
              <w:rPr>
                <w:rFonts w:ascii="仿宋_GB2312" w:hAnsi="仿宋_GB2312" w:cs="仿宋_GB2312" w:eastAsia="仿宋_GB2312"/>
              </w:rPr>
              <w:t>法定代表人授权委托书、被授权人身份证（法定代表人参加开标时,只需提供法定代表人身份证）；</w:t>
            </w:r>
          </w:p>
        </w:tc>
        <w:tc>
          <w:tcPr>
            <w:tcW w:type="dxa" w:w="1661"/>
          </w:tcPr>
          <w:p>
            <w:pPr>
              <w:pStyle w:val="null3"/>
            </w:pPr>
            <w:r>
              <w:rPr>
                <w:rFonts w:ascii="仿宋_GB2312" w:hAnsi="仿宋_GB2312" w:cs="仿宋_GB2312" w:eastAsia="仿宋_GB2312"/>
              </w:rPr>
              <w:t>投标人相关资格证明材料.docx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不接受联合体投标。</w:t>
            </w:r>
          </w:p>
        </w:tc>
        <w:tc>
          <w:tcPr>
            <w:tcW w:type="dxa" w:w="1661"/>
          </w:tcPr>
          <w:p>
            <w:pPr>
              <w:pStyle w:val="null3"/>
            </w:pPr>
            <w:r>
              <w:rPr>
                <w:rFonts w:ascii="仿宋_GB2312" w:hAnsi="仿宋_GB2312" w:cs="仿宋_GB2312" w:eastAsia="仿宋_GB2312"/>
              </w:rPr>
              <w:t>投标人相关资格证明材料.docx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是独立承担民事责任能力的法人、其他组织或自然人：法人需提供合法有效的营业执照，其他组织需提供合法有效的营业执照或事业单位法人证书或民办非企业单位登记证书或非企业专业服务机构执业许可证等证明资料，自然人须提供身份证明；</w:t>
            </w:r>
          </w:p>
        </w:tc>
        <w:tc>
          <w:tcPr>
            <w:tcW w:type="dxa" w:w="1661"/>
          </w:tcPr>
          <w:p>
            <w:pPr>
              <w:pStyle w:val="null3"/>
            </w:pPr>
            <w:r>
              <w:rPr>
                <w:rFonts w:ascii="仿宋_GB2312" w:hAnsi="仿宋_GB2312" w:cs="仿宋_GB2312" w:eastAsia="仿宋_GB2312"/>
              </w:rPr>
              <w:t>投标人相关资格证明材料.docx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财务状况报告（带赋码）</w:t>
            </w:r>
          </w:p>
        </w:tc>
        <w:tc>
          <w:tcPr>
            <w:tcW w:type="dxa" w:w="3322"/>
          </w:tcPr>
          <w:p>
            <w:pPr>
              <w:pStyle w:val="null3"/>
            </w:pPr>
            <w:r>
              <w:rPr>
                <w:rFonts w:ascii="仿宋_GB2312" w:hAnsi="仿宋_GB2312" w:cs="仿宋_GB2312" w:eastAsia="仿宋_GB2312"/>
              </w:rPr>
              <w:t>提供具有财务审计资质单位出具的2025年完整的财务审计报告或提供开标前三个月内由基本账户开户银行出具的资信证明（附开户许可证或开户备案证明或基本账户信息）或成立时间至提交投标文件截止时间不足一年的可提供成立后任意时段的资产负债表、利润表和现金流量表（以上三种形式的资料提供任何一种即可）；</w:t>
            </w:r>
          </w:p>
        </w:tc>
        <w:tc>
          <w:tcPr>
            <w:tcW w:type="dxa" w:w="1661"/>
          </w:tcPr>
          <w:p>
            <w:pPr>
              <w:pStyle w:val="null3"/>
            </w:pPr>
            <w:r>
              <w:rPr>
                <w:rFonts w:ascii="仿宋_GB2312" w:hAnsi="仿宋_GB2312" w:cs="仿宋_GB2312" w:eastAsia="仿宋_GB2312"/>
              </w:rPr>
              <w:t>投标人相关资格证明材料.docx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提供投标人2025年7月至今已缴纳任意一个月完税凭证或税务机关开具的完税证明（时间以税款所属日期为准，凭据应有税务机关或代收机关的公章或业务专用章）；依法免税的应提供相关文件证明；</w:t>
            </w:r>
          </w:p>
        </w:tc>
        <w:tc>
          <w:tcPr>
            <w:tcW w:type="dxa" w:w="1661"/>
          </w:tcPr>
          <w:p>
            <w:pPr>
              <w:pStyle w:val="null3"/>
            </w:pPr>
            <w:r>
              <w:rPr>
                <w:rFonts w:ascii="仿宋_GB2312" w:hAnsi="仿宋_GB2312" w:cs="仿宋_GB2312" w:eastAsia="仿宋_GB2312"/>
              </w:rPr>
              <w:t>投标人相关资格证明材料.docx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提供投标人2025年7月至今已缴纳任意一个月完税凭证或税务机关开具的完税证明（时间以税款所属日期为准，凭据应有税务机关或代收机关的公章或业务专用章）；</w:t>
            </w:r>
          </w:p>
        </w:tc>
        <w:tc>
          <w:tcPr>
            <w:tcW w:type="dxa" w:w="1661"/>
          </w:tcPr>
          <w:p>
            <w:pPr>
              <w:pStyle w:val="null3"/>
            </w:pPr>
            <w:r>
              <w:rPr>
                <w:rFonts w:ascii="仿宋_GB2312" w:hAnsi="仿宋_GB2312" w:cs="仿宋_GB2312" w:eastAsia="仿宋_GB2312"/>
              </w:rPr>
              <w:t>投标人相关资格证明材料.docx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提供具有履行本合同所必需的设备和专业技术能力的书面声明及承诺；</w:t>
            </w:r>
          </w:p>
        </w:tc>
        <w:tc>
          <w:tcPr>
            <w:tcW w:type="dxa" w:w="1661"/>
          </w:tcPr>
          <w:p>
            <w:pPr>
              <w:pStyle w:val="null3"/>
            </w:pPr>
            <w:r>
              <w:rPr>
                <w:rFonts w:ascii="仿宋_GB2312" w:hAnsi="仿宋_GB2312" w:cs="仿宋_GB2312" w:eastAsia="仿宋_GB2312"/>
              </w:rPr>
              <w:t>投标人相关资格证明材料.docx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中国执行信息公开网（https://zxgk.court.gov.cn/）“失信被执行人”；信用中国网站(www.creditchina.gov.cn)“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投标人相关资格证明材料.docx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法人代表授权委托书</w:t>
            </w:r>
          </w:p>
        </w:tc>
        <w:tc>
          <w:tcPr>
            <w:tcW w:type="dxa" w:w="3322"/>
          </w:tcPr>
          <w:p>
            <w:pPr>
              <w:pStyle w:val="null3"/>
            </w:pPr>
            <w:r>
              <w:rPr>
                <w:rFonts w:ascii="仿宋_GB2312" w:hAnsi="仿宋_GB2312" w:cs="仿宋_GB2312" w:eastAsia="仿宋_GB2312"/>
              </w:rPr>
              <w:t>法定代表人授权委托书、被授权人身份证（法定代表人参加开标时,只需提供法定代表人身份证）；</w:t>
            </w:r>
          </w:p>
        </w:tc>
        <w:tc>
          <w:tcPr>
            <w:tcW w:type="dxa" w:w="1661"/>
          </w:tcPr>
          <w:p>
            <w:pPr>
              <w:pStyle w:val="null3"/>
            </w:pPr>
            <w:r>
              <w:rPr>
                <w:rFonts w:ascii="仿宋_GB2312" w:hAnsi="仿宋_GB2312" w:cs="仿宋_GB2312" w:eastAsia="仿宋_GB2312"/>
              </w:rPr>
              <w:t>投标人相关资格证明材料.docx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不接受联合体投标。</w:t>
            </w:r>
          </w:p>
        </w:tc>
        <w:tc>
          <w:tcPr>
            <w:tcW w:type="dxa" w:w="1661"/>
          </w:tcPr>
          <w:p>
            <w:pPr>
              <w:pStyle w:val="null3"/>
            </w:pPr>
            <w:r>
              <w:rPr>
                <w:rFonts w:ascii="仿宋_GB2312" w:hAnsi="仿宋_GB2312" w:cs="仿宋_GB2312" w:eastAsia="仿宋_GB2312"/>
              </w:rPr>
              <w:t>投标人相关资格证明材料.docx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人员配置表.docx 技术要求响应表.docx 中小企业声明函 投标人相关资格证明材料.docx 供应商业绩情况.docx 技术部分.docx 商务响应表.docx 分项报价表.docx 投标函 残疾人福利性单位声明函 标的清单 投标文件封面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人员配置表.docx 技术要求响应表.docx 中小企业声明函 投标人相关资格证明材料.docx 供应商业绩情况.docx 技术部分.docx 商务响应表.docx 分项报价表.docx 投标函 残疾人福利性单位声明函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现状分析</w:t>
            </w:r>
          </w:p>
        </w:tc>
        <w:tc>
          <w:tcPr>
            <w:tcW w:type="dxa" w:w="2492"/>
          </w:tcPr>
          <w:p>
            <w:pPr>
              <w:pStyle w:val="null3"/>
            </w:pPr>
            <w:r>
              <w:rPr>
                <w:rFonts w:ascii="仿宋_GB2312" w:hAnsi="仿宋_GB2312" w:cs="仿宋_GB2312" w:eastAsia="仿宋_GB2312"/>
              </w:rPr>
              <w:t>供应商提供项目背景、包括对政务数据中心机房和园区的基础设施整体保障服务、网络设施统一支撑服务、一体化运维管理软件服务、驻场运维服务以及其他相关服务现状分析资料。 评审标准细化内容： ①对现状情况的调查； ②对西安政务数据中心及园区运维现状的理解； ③对各服务类别现状情况的了解和分析。 评审标准： 1.完整性：现状分析详细全面，符合项目采购要求； 2.可实施性：现状分析切合本项目实际情况，方案全面、实施步骤清晰、合理； 3.针对性：现状分析能够紧扣项目实际情况，内容科学合理。 评审标准量化内容: 对项目的理解、分析等各部分内容全面详细、阐述条理清晰详尽、符合本项目需求得6分。 每缺一项内容扣2分，每有一项内容中有缺陷扣0.5分，评审内容有缺陷的根据情况扣分，扣完为止。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p>
            <w:pPr>
              <w:pStyle w:val="null3"/>
            </w:pPr>
            <w:r>
              <w:rPr>
                <w:rFonts w:ascii="仿宋_GB2312" w:hAnsi="仿宋_GB2312" w:cs="仿宋_GB2312" w:eastAsia="仿宋_GB2312"/>
              </w:rPr>
              <w:t>技术要求响应表.docx</w:t>
            </w:r>
          </w:p>
          <w:p>
            <w:pPr>
              <w:pStyle w:val="null3"/>
            </w:pPr>
            <w:r>
              <w:rPr>
                <w:rFonts w:ascii="仿宋_GB2312" w:hAnsi="仿宋_GB2312" w:cs="仿宋_GB2312" w:eastAsia="仿宋_GB2312"/>
              </w:rPr>
              <w:t>商务响应表.docx</w:t>
            </w:r>
          </w:p>
        </w:tc>
      </w:tr>
      <w:tr>
        <w:tc>
          <w:tcPr>
            <w:tcW w:type="dxa" w:w="831"/>
            <w:vMerge/>
          </w:tcPr>
          <w:p/>
        </w:tc>
        <w:tc>
          <w:tcPr>
            <w:tcW w:type="dxa" w:w="1661"/>
          </w:tcPr>
          <w:p>
            <w:pPr>
              <w:pStyle w:val="null3"/>
            </w:pPr>
            <w:r>
              <w:rPr>
                <w:rFonts w:ascii="仿宋_GB2312" w:hAnsi="仿宋_GB2312" w:cs="仿宋_GB2312" w:eastAsia="仿宋_GB2312"/>
              </w:rPr>
              <w:t>技术服务方案</w:t>
            </w:r>
          </w:p>
        </w:tc>
        <w:tc>
          <w:tcPr>
            <w:tcW w:type="dxa" w:w="2492"/>
          </w:tcPr>
          <w:p>
            <w:pPr>
              <w:pStyle w:val="null3"/>
            </w:pPr>
            <w:r>
              <w:rPr>
                <w:rFonts w:ascii="仿宋_GB2312" w:hAnsi="仿宋_GB2312" w:cs="仿宋_GB2312" w:eastAsia="仿宋_GB2312"/>
              </w:rPr>
              <w:t>供应商提供针对本项目的技术服务方案，方案内容评审标准细化内容：①总体项目建设方案；②主要功能技术方案；③安全技术方案；④实施方案；⑤运行维护技术方案。 评审标准： 1.完整性：技术服务方案详细全面，符合项目采购要求； 2.可实施性：技术服务方案切合本项目实际情况，方案全面、实施步骤清晰、合理； 3.针对性：技术服务方案能够紧扣项目实际情况，内容科学合理。 评审标准量化内容： 方案科学严谨、内容全面详细、目标明确且符合标准要求，计10分。 每缺一项内容扣2分，每有一项内容中有缺陷扣0.5分，评审内容有缺陷的根据情况扣分，扣完为止。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p>
            <w:pPr>
              <w:pStyle w:val="null3"/>
            </w:pPr>
            <w:r>
              <w:rPr>
                <w:rFonts w:ascii="仿宋_GB2312" w:hAnsi="仿宋_GB2312" w:cs="仿宋_GB2312" w:eastAsia="仿宋_GB2312"/>
              </w:rPr>
              <w:t>技术要求响应表.docx</w:t>
            </w:r>
          </w:p>
          <w:p>
            <w:pPr>
              <w:pStyle w:val="null3"/>
            </w:pPr>
            <w:r>
              <w:rPr>
                <w:rFonts w:ascii="仿宋_GB2312" w:hAnsi="仿宋_GB2312" w:cs="仿宋_GB2312" w:eastAsia="仿宋_GB2312"/>
              </w:rPr>
              <w:t>商务响应表.docx</w:t>
            </w:r>
          </w:p>
        </w:tc>
      </w:tr>
      <w:tr>
        <w:tc>
          <w:tcPr>
            <w:tcW w:type="dxa" w:w="831"/>
            <w:vMerge/>
          </w:tcPr>
          <w:p/>
        </w:tc>
        <w:tc>
          <w:tcPr>
            <w:tcW w:type="dxa" w:w="1661"/>
          </w:tcPr>
          <w:p>
            <w:pPr>
              <w:pStyle w:val="null3"/>
            </w:pPr>
            <w:r>
              <w:rPr>
                <w:rFonts w:ascii="仿宋_GB2312" w:hAnsi="仿宋_GB2312" w:cs="仿宋_GB2312" w:eastAsia="仿宋_GB2312"/>
              </w:rPr>
              <w:t>重难点分析及解决思路</w:t>
            </w:r>
          </w:p>
        </w:tc>
        <w:tc>
          <w:tcPr>
            <w:tcW w:type="dxa" w:w="2492"/>
          </w:tcPr>
          <w:p>
            <w:pPr>
              <w:pStyle w:val="null3"/>
            </w:pPr>
            <w:r>
              <w:rPr>
                <w:rFonts w:ascii="仿宋_GB2312" w:hAnsi="仿宋_GB2312" w:cs="仿宋_GB2312" w:eastAsia="仿宋_GB2312"/>
              </w:rPr>
              <w:t>根据本项目需求，提出针对本项目实施过程中的重难点分析及解决思路，并给出解决方案。评审标准细化内容： ①针对本项目实施过程中的重难点分析； ②针对本项目实施过程中的重难点解决思路； ③解决方案。 评审标准： 1 、完整性：重难点分析及解决思路详细全面，符合项目采购要求； 2、可实施性：重难点分析及解决思路切合本项目实际情况，方案全面、实施步骤清晰、合理； 3、针对性：重难点分析及解决思路能够紧扣项目实际情况，内容科学合理。 评审标准量化内容： 重难点内容科学全面、针对性强，解决思路可行性强，计9分。 每缺一项内容扣3分，每有一项内容中有缺陷扣0.5分，评审内容有缺陷的根据情况扣分，扣完为止。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p>
            <w:pPr>
              <w:pStyle w:val="null3"/>
            </w:pPr>
            <w:r>
              <w:rPr>
                <w:rFonts w:ascii="仿宋_GB2312" w:hAnsi="仿宋_GB2312" w:cs="仿宋_GB2312" w:eastAsia="仿宋_GB2312"/>
              </w:rPr>
              <w:t>技术要求响应表.docx</w:t>
            </w:r>
          </w:p>
          <w:p>
            <w:pPr>
              <w:pStyle w:val="null3"/>
            </w:pPr>
            <w:r>
              <w:rPr>
                <w:rFonts w:ascii="仿宋_GB2312" w:hAnsi="仿宋_GB2312" w:cs="仿宋_GB2312" w:eastAsia="仿宋_GB2312"/>
              </w:rPr>
              <w:t>商务响应表.docx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评审标准细化及量化内容： 1、项目经理1名（3分）：具有信息化类高级职称证书或信息系统项目管理师证书得3分。 2、技术总监1名（2分）：具有通信网络类高级职称证书或网络规划设计师证书得2分。 3、团队成员（不包括项目经理及技术总监）：供应商为本项目配备不少于20人的驻场运维团队，且其中5人必须符合①~⑤项要求得7.5分，剩余人员符合①~⑤任意一项得1.5分，满分15分，少于20人不得分。 ①至少1人具备通信网络类中级职称证书或网络工程师证书，得1.5分； ②至少1人具备注册信息安全专业人员证书（CISP），得1.5分； ③至少1人具备特种作业操作（低压电工作业/制冷与空调设备运行操作作业）证书，得1.5分； ④至少1人具备消防设施操作员职业资格证书，得1.5分； ⑤至少1人具备运维对象厂商（华为、华三、中兴等）通信网络相关方向的认证证书，得1.5分。 备注：需提供合法有效的证书扫描件；项目经理、技术总监不可为同一人；单人具有多个证书不重复计分，本项最高计20分。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人员配置表.docx</w:t>
            </w:r>
          </w:p>
        </w:tc>
      </w:tr>
      <w:tr>
        <w:tc>
          <w:tcPr>
            <w:tcW w:type="dxa" w:w="831"/>
            <w:vMerge/>
          </w:tcPr>
          <w:p/>
        </w:tc>
        <w:tc>
          <w:tcPr>
            <w:tcW w:type="dxa" w:w="1661"/>
          </w:tcPr>
          <w:p>
            <w:pPr>
              <w:pStyle w:val="null3"/>
            </w:pPr>
            <w:r>
              <w:rPr>
                <w:rFonts w:ascii="仿宋_GB2312" w:hAnsi="仿宋_GB2312" w:cs="仿宋_GB2312" w:eastAsia="仿宋_GB2312"/>
              </w:rPr>
              <w:t>服务能力</w:t>
            </w:r>
          </w:p>
        </w:tc>
        <w:tc>
          <w:tcPr>
            <w:tcW w:type="dxa" w:w="2492"/>
          </w:tcPr>
          <w:p>
            <w:pPr>
              <w:pStyle w:val="null3"/>
            </w:pPr>
            <w:r>
              <w:rPr>
                <w:rFonts w:ascii="仿宋_GB2312" w:hAnsi="仿宋_GB2312" w:cs="仿宋_GB2312" w:eastAsia="仿宋_GB2312"/>
              </w:rPr>
              <w:t>①投标人针对招标文件中标注“▲”的技术参数情况进行赋分：每有一项完全满足招标文件要求的，得0.5分，本项满分6分。 （备注：提供相关技术参数佐证材料，如第三方检测报告或厂家检测报告或产品说明书或产品彩页或官网介绍截图等内容，并加盖供应商公章，予以证明其技术参数的响应性，未提供相关证明材料，该项不得分。） ②投标人针对招标文件采购需求中标注“◉”的关键设备品牌进行响应： 提供对应设备制造商出具针对本项目维保授权书（授权范围需包含原厂备件供给、官方固件升级、厂商后台技术支撑服务等），每提供一份得2分； 未提供原厂维保授权的，提供加盖投标人公章的约束性服务承诺函，承诺维保服务期间全部使用原厂全新备件，禁止使用拆机件、兼容替代配件，可协调原厂技术支持，若违反承诺，自愿承担相应违约责任，每提供一份承诺函得0.5分； 未提供对应品牌授权书、也未提供对应品牌承诺函的，该项不计分。 本项满分4分。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技术部分.docx</w:t>
            </w:r>
          </w:p>
          <w:p>
            <w:pPr>
              <w:pStyle w:val="null3"/>
            </w:pPr>
            <w:r>
              <w:rPr>
                <w:rFonts w:ascii="仿宋_GB2312" w:hAnsi="仿宋_GB2312" w:cs="仿宋_GB2312" w:eastAsia="仿宋_GB2312"/>
              </w:rPr>
              <w:t>技术要求响应表.docx</w:t>
            </w:r>
          </w:p>
          <w:p>
            <w:pPr>
              <w:pStyle w:val="null3"/>
            </w:pPr>
            <w:r>
              <w:rPr>
                <w:rFonts w:ascii="仿宋_GB2312" w:hAnsi="仿宋_GB2312" w:cs="仿宋_GB2312" w:eastAsia="仿宋_GB2312"/>
              </w:rPr>
              <w:t>商务响应表.docx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投标人具有： ①ISO27001信息安全管理体系认证证书； ②ISO20000信息技术服务管理体系认证证书。 提供1个有效证书得3分，最高得6分。 评审依据：提供证书复印件并加盖公章。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技术部分.docx</w:t>
            </w:r>
          </w:p>
          <w:p>
            <w:pPr>
              <w:pStyle w:val="null3"/>
            </w:pPr>
            <w:r>
              <w:rPr>
                <w:rFonts w:ascii="仿宋_GB2312" w:hAnsi="仿宋_GB2312" w:cs="仿宋_GB2312" w:eastAsia="仿宋_GB2312"/>
              </w:rPr>
              <w:t>技术要求响应表.docx</w:t>
            </w:r>
          </w:p>
          <w:p>
            <w:pPr>
              <w:pStyle w:val="null3"/>
            </w:pPr>
            <w:r>
              <w:rPr>
                <w:rFonts w:ascii="仿宋_GB2312" w:hAnsi="仿宋_GB2312" w:cs="仿宋_GB2312" w:eastAsia="仿宋_GB2312"/>
              </w:rPr>
              <w:t>商务响应表.docx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针对本项目采购需求中的内容，制定质量保证措施内容。评审标准细化内容： ①质量目标；②质量保证方法及措施。 评审标准： 1、完整性：质量保障措施详细全面，符合项目采购要求； 2、可实施性：质量保障措施切合本项目实际情况，方案全面、实施步骤清晰、合理； 3、针对性：质量保障措施能够紧扣项目实际情况，内容科学合理。 评审标准量化内容： 质量保证措施内容全面 详细，目标明确，科学合理、针对性强，计4分。 每缺一项内容扣2分，每有一项内容中有缺陷扣0.5分，评审内容有缺陷的根据情况扣分，扣完为止。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p>
            <w:pPr>
              <w:pStyle w:val="null3"/>
            </w:pPr>
            <w:r>
              <w:rPr>
                <w:rFonts w:ascii="仿宋_GB2312" w:hAnsi="仿宋_GB2312" w:cs="仿宋_GB2312" w:eastAsia="仿宋_GB2312"/>
              </w:rPr>
              <w:t>技术要求响应表.docx</w:t>
            </w:r>
          </w:p>
          <w:p>
            <w:pPr>
              <w:pStyle w:val="null3"/>
            </w:pPr>
            <w:r>
              <w:rPr>
                <w:rFonts w:ascii="仿宋_GB2312" w:hAnsi="仿宋_GB2312" w:cs="仿宋_GB2312" w:eastAsia="仿宋_GB2312"/>
              </w:rPr>
              <w:t>商务响应表.docx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根据本项目采购需求，制定应急方案。 评审标准细化内容： ①应急预案详述；②应急工作流程；③应急措施。 评审标准： 1、完整性：应急方案详细全面，符合项目采购要求； 2、可实施性：应急方案切合本项目实际情况，方案全面、实施步骤清晰、合理； 3、针对性：应急方案能够紧扣项目实际情况，内容科学合理。 评审标准量化内容： 应急方案内容全面、描述详细、可操作性强计6分。 每缺一项内容扣2分，每有一项内容中有缺陷扣0.5分，评审内容有缺陷的根据情况扣分，扣完为止。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p>
            <w:pPr>
              <w:pStyle w:val="null3"/>
            </w:pPr>
            <w:r>
              <w:rPr>
                <w:rFonts w:ascii="仿宋_GB2312" w:hAnsi="仿宋_GB2312" w:cs="仿宋_GB2312" w:eastAsia="仿宋_GB2312"/>
              </w:rPr>
              <w:t>技术要求响应表.docx</w:t>
            </w:r>
          </w:p>
          <w:p>
            <w:pPr>
              <w:pStyle w:val="null3"/>
            </w:pPr>
            <w:r>
              <w:rPr>
                <w:rFonts w:ascii="仿宋_GB2312" w:hAnsi="仿宋_GB2312" w:cs="仿宋_GB2312" w:eastAsia="仿宋_GB2312"/>
              </w:rPr>
              <w:t>商务响应表.docx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根据本项目需求，提出针对项目实施过程中的售后服务方案。 评审标准细化内容： ①售后服务机构的设置； ②服务方案； ③运行维护方案； ④响应能力及响应时间、故障恢复时间等内容。 评审标准： 1、完整性：售后服务方案详细全面，符合项目采购要求； 2、可实施性：售后服务方案切合本项目实际情况，方案全面、实施步骤清晰、合理； 3、针对性：售后服务方案能够紧扣项目实际情况，内容科学合理。 评审标准量化内容： 售后服务方案内容全面详细、科学合理且可操作性强，计4分。 每缺一项内容扣1分，每有一项内容中有缺陷扣0.5分，评审内容有缺陷的根据情况扣分，扣完为止。 注：评审内容“缺陷”是指：内容粗略，逻辑混乱、描述过于简单、与项目特点不匹配、凭空编造、逻辑漏洞、出现常识性错误、存在不适用项目实际情况的情形或只有标题没有实质性内容等。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p>
            <w:pPr>
              <w:pStyle w:val="null3"/>
            </w:pPr>
            <w:r>
              <w:rPr>
                <w:rFonts w:ascii="仿宋_GB2312" w:hAnsi="仿宋_GB2312" w:cs="仿宋_GB2312" w:eastAsia="仿宋_GB2312"/>
              </w:rPr>
              <w:t>技术要求响应表.docx</w:t>
            </w:r>
          </w:p>
          <w:p>
            <w:pPr>
              <w:pStyle w:val="null3"/>
            </w:pPr>
            <w:r>
              <w:rPr>
                <w:rFonts w:ascii="仿宋_GB2312" w:hAnsi="仿宋_GB2312" w:cs="仿宋_GB2312" w:eastAsia="仿宋_GB2312"/>
              </w:rPr>
              <w:t>商务响应表.docx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评审标准细化及量化内容：投标人提供2023年7月至今类似项目业绩合同（以合同签订时间为准）；一个业绩得3分，最高得15分。 评审依据：提供合同复印件并加盖公章。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供应商业绩情况.docx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投标报价采用低价优先法计算，即满足招标文件要求且投标报价最低的报价为评审基准价，其价格分为满分。其他供应商人的价格分统一按照下列公式计算：投标报价得分=（评审基准价/投标报价）×10。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监理方案1</w:t>
            </w:r>
          </w:p>
        </w:tc>
        <w:tc>
          <w:tcPr>
            <w:tcW w:type="dxa" w:w="2492"/>
          </w:tcPr>
          <w:p>
            <w:pPr>
              <w:pStyle w:val="null3"/>
            </w:pPr>
            <w:r>
              <w:rPr>
                <w:rFonts w:ascii="仿宋_GB2312" w:hAnsi="仿宋_GB2312" w:cs="仿宋_GB2312" w:eastAsia="仿宋_GB2312"/>
              </w:rPr>
              <w:t>一、评审内容： ①监理工作目标；②监理服务内容； ③监理工作流程；④监理工作制度。 二、评审标准： 上述各部分内容全面详细、阐述条理清晰详尽、符合且针对本项目采购需求得12分。 每缺一项内容扣3分，每有一项内容中有缺陷扣0.5分，评审内容有缺陷的根据情况扣分，扣完为止。 注：“缺陷”是指：内容不完整或缺少关键点、可操作性差、内容描述过于简单、条理不清晰、非专门针对本项目或不适用本项目特性、套用其他项目内容；对同一问题前后表述矛盾；存在逻辑漏洞；不利于本项目目标的实现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p>
            <w:pPr>
              <w:pStyle w:val="null3"/>
            </w:pPr>
            <w:r>
              <w:rPr>
                <w:rFonts w:ascii="仿宋_GB2312" w:hAnsi="仿宋_GB2312" w:cs="仿宋_GB2312" w:eastAsia="仿宋_GB2312"/>
              </w:rPr>
              <w:t>商务响应表.docx</w:t>
            </w:r>
          </w:p>
          <w:p>
            <w:pPr>
              <w:pStyle w:val="null3"/>
            </w:pPr>
            <w:r>
              <w:rPr>
                <w:rFonts w:ascii="仿宋_GB2312" w:hAnsi="仿宋_GB2312" w:cs="仿宋_GB2312" w:eastAsia="仿宋_GB2312"/>
              </w:rPr>
              <w:t>技术要求响应表.docx</w:t>
            </w:r>
          </w:p>
        </w:tc>
      </w:tr>
      <w:tr>
        <w:tc>
          <w:tcPr>
            <w:tcW w:type="dxa" w:w="831"/>
            <w:vMerge/>
          </w:tcPr>
          <w:p/>
        </w:tc>
        <w:tc>
          <w:tcPr>
            <w:tcW w:type="dxa" w:w="1661"/>
          </w:tcPr>
          <w:p>
            <w:pPr>
              <w:pStyle w:val="null3"/>
            </w:pPr>
            <w:r>
              <w:rPr>
                <w:rFonts w:ascii="仿宋_GB2312" w:hAnsi="仿宋_GB2312" w:cs="仿宋_GB2312" w:eastAsia="仿宋_GB2312"/>
              </w:rPr>
              <w:t>监理方案2</w:t>
            </w:r>
          </w:p>
        </w:tc>
        <w:tc>
          <w:tcPr>
            <w:tcW w:type="dxa" w:w="2492"/>
          </w:tcPr>
          <w:p>
            <w:pPr>
              <w:pStyle w:val="null3"/>
            </w:pPr>
            <w:r>
              <w:rPr>
                <w:rFonts w:ascii="仿宋_GB2312" w:hAnsi="仿宋_GB2312" w:cs="仿宋_GB2312" w:eastAsia="仿宋_GB2312"/>
              </w:rPr>
              <w:t>一、评审内容： ①质量控制；②进度控制；③投资控制，变更控制；④安全和保密管理；⑤合同和信息管理；⑥沟通与协调；⑦配置管理；⑧效能管理。 二、评审标准：上述各部分内容全面详细、阐述条理清晰详尽、符合且针对本项目采购需求得24分。 每缺一项内容扣3分，每有一项内容中有缺陷扣0.5分，评审内容有缺陷的根据情况扣分，扣完为止。 注：“缺陷”是指：内容不完整或缺少关键点、可操作性差、内容描述过于简单、条理不清晰、非专门针对本项目或不适用本项目特性、套用其他项目内容；对同一问题前后表述矛盾；存在逻辑漏洞；不利于本项目目标的实现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p>
            <w:pPr>
              <w:pStyle w:val="null3"/>
            </w:pPr>
            <w:r>
              <w:rPr>
                <w:rFonts w:ascii="仿宋_GB2312" w:hAnsi="仿宋_GB2312" w:cs="仿宋_GB2312" w:eastAsia="仿宋_GB2312"/>
              </w:rPr>
              <w:t>商务响应表.docx</w:t>
            </w:r>
          </w:p>
          <w:p>
            <w:pPr>
              <w:pStyle w:val="null3"/>
            </w:pPr>
            <w:r>
              <w:rPr>
                <w:rFonts w:ascii="仿宋_GB2312" w:hAnsi="仿宋_GB2312" w:cs="仿宋_GB2312" w:eastAsia="仿宋_GB2312"/>
              </w:rPr>
              <w:t>技术要求响应表.docx</w:t>
            </w:r>
          </w:p>
        </w:tc>
      </w:tr>
      <w:tr>
        <w:tc>
          <w:tcPr>
            <w:tcW w:type="dxa" w:w="831"/>
            <w:vMerge/>
          </w:tcPr>
          <w:p/>
        </w:tc>
        <w:tc>
          <w:tcPr>
            <w:tcW w:type="dxa" w:w="1661"/>
          </w:tcPr>
          <w:p>
            <w:pPr>
              <w:pStyle w:val="null3"/>
            </w:pPr>
            <w:r>
              <w:rPr>
                <w:rFonts w:ascii="仿宋_GB2312" w:hAnsi="仿宋_GB2312" w:cs="仿宋_GB2312" w:eastAsia="仿宋_GB2312"/>
              </w:rPr>
              <w:t>监理方案3</w:t>
            </w:r>
          </w:p>
        </w:tc>
        <w:tc>
          <w:tcPr>
            <w:tcW w:type="dxa" w:w="2492"/>
          </w:tcPr>
          <w:p>
            <w:pPr>
              <w:pStyle w:val="null3"/>
            </w:pPr>
            <w:r>
              <w:rPr>
                <w:rFonts w:ascii="仿宋_GB2312" w:hAnsi="仿宋_GB2312" w:cs="仿宋_GB2312" w:eastAsia="仿宋_GB2312"/>
              </w:rPr>
              <w:t>一、评审内容： ①服务承诺（包括但不限于监理服务期限，问题处理时限，现场监理服务质量保证措施等）； ②合理化建议（建议应完善合理、科学可行，可行性强）。 二、评审标准：上述各部分内容全面详细、阐述条理清晰详尽、符合且针对本项目采购需求得4分。 每缺一项内容扣2分，每有一项内容中有缺陷扣0.5分，评审内容有缺陷的根据情况扣分，扣完为止。 注：“缺陷”是指：内容不完整或缺少关键点、可操作性差、内容描述过于简单、条理不清晰、非专门针对本项目或不适用本项目特性、套用其他项目内容；对同一问题前后表述矛盾；存在逻辑漏洞；不利于本项目目标的实现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p>
            <w:pPr>
              <w:pStyle w:val="null3"/>
            </w:pPr>
            <w:r>
              <w:rPr>
                <w:rFonts w:ascii="仿宋_GB2312" w:hAnsi="仿宋_GB2312" w:cs="仿宋_GB2312" w:eastAsia="仿宋_GB2312"/>
              </w:rPr>
              <w:t>商务响应表.docx</w:t>
            </w:r>
          </w:p>
          <w:p>
            <w:pPr>
              <w:pStyle w:val="null3"/>
            </w:pPr>
            <w:r>
              <w:rPr>
                <w:rFonts w:ascii="仿宋_GB2312" w:hAnsi="仿宋_GB2312" w:cs="仿宋_GB2312" w:eastAsia="仿宋_GB2312"/>
              </w:rPr>
              <w:t>技术要求响应表.docx</w:t>
            </w:r>
          </w:p>
        </w:tc>
      </w:tr>
      <w:tr>
        <w:tc>
          <w:tcPr>
            <w:tcW w:type="dxa" w:w="831"/>
            <w:vMerge/>
          </w:tcPr>
          <w:p/>
        </w:tc>
        <w:tc>
          <w:tcPr>
            <w:tcW w:type="dxa" w:w="1661"/>
          </w:tcPr>
          <w:p>
            <w:pPr>
              <w:pStyle w:val="null3"/>
            </w:pPr>
            <w:r>
              <w:rPr>
                <w:rFonts w:ascii="仿宋_GB2312" w:hAnsi="仿宋_GB2312" w:cs="仿宋_GB2312" w:eastAsia="仿宋_GB2312"/>
              </w:rPr>
              <w:t>总监理工程师</w:t>
            </w:r>
          </w:p>
        </w:tc>
        <w:tc>
          <w:tcPr>
            <w:tcW w:type="dxa" w:w="2492"/>
          </w:tcPr>
          <w:p>
            <w:pPr>
              <w:pStyle w:val="null3"/>
            </w:pPr>
            <w:r>
              <w:rPr>
                <w:rFonts w:ascii="仿宋_GB2312" w:hAnsi="仿宋_GB2312" w:cs="仿宋_GB2312" w:eastAsia="仿宋_GB2312"/>
              </w:rPr>
              <w:t>总监理工程师1名： ①具有信息系统监理师证书得4分； ②具有信息化类高级职称证书得2分； ③具备注册信息安全专业人员证书（CISP）证书得2分； ④具有IT服务项目经理证书，得2分。 备注：提供人员相关证书复印件加盖公章，未提供不得分。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人员配置表.docx</w:t>
            </w:r>
          </w:p>
        </w:tc>
      </w:tr>
      <w:tr>
        <w:tc>
          <w:tcPr>
            <w:tcW w:type="dxa" w:w="831"/>
            <w:vMerge/>
          </w:tcPr>
          <w:p/>
        </w:tc>
        <w:tc>
          <w:tcPr>
            <w:tcW w:type="dxa" w:w="1661"/>
          </w:tcPr>
          <w:p>
            <w:pPr>
              <w:pStyle w:val="null3"/>
            </w:pPr>
            <w:r>
              <w:rPr>
                <w:rFonts w:ascii="仿宋_GB2312" w:hAnsi="仿宋_GB2312" w:cs="仿宋_GB2312" w:eastAsia="仿宋_GB2312"/>
              </w:rPr>
              <w:t>总监理工程师代表</w:t>
            </w:r>
          </w:p>
        </w:tc>
        <w:tc>
          <w:tcPr>
            <w:tcW w:type="dxa" w:w="2492"/>
          </w:tcPr>
          <w:p>
            <w:pPr>
              <w:pStyle w:val="null3"/>
            </w:pPr>
            <w:r>
              <w:rPr>
                <w:rFonts w:ascii="仿宋_GB2312" w:hAnsi="仿宋_GB2312" w:cs="仿宋_GB2312" w:eastAsia="仿宋_GB2312"/>
              </w:rPr>
              <w:t>总监理工程师代表1名： ①具有信息系统监理师证书得5分； ②具有信息化类高级职称证书得5分。 备注：提供人员相关证书复印件加盖公章，未提供不得分。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人员配置表.docx</w:t>
            </w:r>
          </w:p>
        </w:tc>
      </w:tr>
      <w:tr>
        <w:tc>
          <w:tcPr>
            <w:tcW w:type="dxa" w:w="831"/>
            <w:vMerge/>
          </w:tcPr>
          <w:p/>
        </w:tc>
        <w:tc>
          <w:tcPr>
            <w:tcW w:type="dxa" w:w="1661"/>
          </w:tcPr>
          <w:p>
            <w:pPr>
              <w:pStyle w:val="null3"/>
            </w:pPr>
            <w:r>
              <w:rPr>
                <w:rFonts w:ascii="仿宋_GB2312" w:hAnsi="仿宋_GB2312" w:cs="仿宋_GB2312" w:eastAsia="仿宋_GB2312"/>
              </w:rPr>
              <w:t>项目监理团队成员</w:t>
            </w:r>
          </w:p>
        </w:tc>
        <w:tc>
          <w:tcPr>
            <w:tcW w:type="dxa" w:w="2492"/>
          </w:tcPr>
          <w:p>
            <w:pPr>
              <w:pStyle w:val="null3"/>
            </w:pPr>
            <w:r>
              <w:rPr>
                <w:rFonts w:ascii="仿宋_GB2312" w:hAnsi="仿宋_GB2312" w:cs="仿宋_GB2312" w:eastAsia="仿宋_GB2312"/>
              </w:rPr>
              <w:t>团队成员专业监理工程师3名，团队成员需具备信息系统监理师证书，团队成员少于3人不得分，3人及以上按照以下条件赋分，单人具有以下多个证书不重复计分，满分6分： ①具有信息系统项目管理师证书，得2分； ②具有IT服务项目经理证书，得2分。 备注：提供人员相关证书复印件加盖公章，未提供不得分。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人员配置表.docx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①供应商具有信息系统工程监理服务标准贯标证书，得3分； ②供应商具有ISO20000信息技术服务管理体系认证证书得3分； ③供应商具有ISO27001信息安全管理体系认证证书得3分； ④未提供不得分。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技术部分.docx</w:t>
            </w:r>
          </w:p>
          <w:p>
            <w:pPr>
              <w:pStyle w:val="null3"/>
            </w:pPr>
            <w:r>
              <w:rPr>
                <w:rFonts w:ascii="仿宋_GB2312" w:hAnsi="仿宋_GB2312" w:cs="仿宋_GB2312" w:eastAsia="仿宋_GB2312"/>
              </w:rPr>
              <w:t>商务响应表.docx</w:t>
            </w:r>
          </w:p>
          <w:p>
            <w:pPr>
              <w:pStyle w:val="null3"/>
            </w:pPr>
            <w:r>
              <w:rPr>
                <w:rFonts w:ascii="仿宋_GB2312" w:hAnsi="仿宋_GB2312" w:cs="仿宋_GB2312" w:eastAsia="仿宋_GB2312"/>
              </w:rPr>
              <w:t>技术要求响应表.docx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供应商须提供自2023年7月至今类似项目业绩，以供应商提供的合同复印件为准，每提供一份得3分，满分15分；未提供的不得分。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供应商业绩情况.docx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价格分统一采用低价优先法计算，即满足招标文件要求且投标价格最低的投标报价为投标基准价，其价格分为满分。其他供应商的价格分统一按照下列公式计算：投标报价得分= (投标基准价／投标报价)×10，计算分数时四舍五入取小数点后两位。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详见附件：技术部分.docx</w:t>
      </w:r>
    </w:p>
    <w:p>
      <w:pPr>
        <w:pStyle w:val="null3"/>
        <w:ind w:firstLine="960"/>
      </w:pPr>
      <w:r>
        <w:rPr>
          <w:rFonts w:ascii="仿宋_GB2312" w:hAnsi="仿宋_GB2312" w:cs="仿宋_GB2312" w:eastAsia="仿宋_GB2312"/>
        </w:rPr>
        <w:t>详见附件：技术要求响应表.docx</w:t>
      </w:r>
    </w:p>
    <w:p>
      <w:pPr>
        <w:pStyle w:val="null3"/>
        <w:ind w:firstLine="960"/>
      </w:pPr>
      <w:r>
        <w:rPr>
          <w:rFonts w:ascii="仿宋_GB2312" w:hAnsi="仿宋_GB2312" w:cs="仿宋_GB2312" w:eastAsia="仿宋_GB2312"/>
        </w:rPr>
        <w:t>详见附件：人员配置表.docx</w:t>
      </w:r>
    </w:p>
    <w:p>
      <w:pPr>
        <w:pStyle w:val="null3"/>
        <w:ind w:firstLine="960"/>
      </w:pPr>
      <w:r>
        <w:rPr>
          <w:rFonts w:ascii="仿宋_GB2312" w:hAnsi="仿宋_GB2312" w:cs="仿宋_GB2312" w:eastAsia="仿宋_GB2312"/>
        </w:rPr>
        <w:t>详见附件：商务响应表.docx</w:t>
      </w:r>
    </w:p>
    <w:p>
      <w:pPr>
        <w:pStyle w:val="null3"/>
        <w:ind w:firstLine="960"/>
      </w:pPr>
      <w:r>
        <w:rPr>
          <w:rFonts w:ascii="仿宋_GB2312" w:hAnsi="仿宋_GB2312" w:cs="仿宋_GB2312" w:eastAsia="仿宋_GB2312"/>
        </w:rPr>
        <w:t>详见附件：投标人相关资格证明材料.docx</w:t>
      </w:r>
    </w:p>
    <w:p>
      <w:pPr>
        <w:pStyle w:val="null3"/>
        <w:ind w:firstLine="960"/>
      </w:pPr>
      <w:r>
        <w:rPr>
          <w:rFonts w:ascii="仿宋_GB2312" w:hAnsi="仿宋_GB2312" w:cs="仿宋_GB2312" w:eastAsia="仿宋_GB2312"/>
        </w:rPr>
        <w:t>详见附件：供应商业绩情况.docx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详见附件：人员配置表.docx</w:t>
      </w:r>
    </w:p>
    <w:p>
      <w:pPr>
        <w:pStyle w:val="null3"/>
        <w:ind w:firstLine="960"/>
      </w:pPr>
      <w:r>
        <w:rPr>
          <w:rFonts w:ascii="仿宋_GB2312" w:hAnsi="仿宋_GB2312" w:cs="仿宋_GB2312" w:eastAsia="仿宋_GB2312"/>
        </w:rPr>
        <w:t>详见附件：投标人相关资格证明材料.docx</w:t>
      </w:r>
    </w:p>
    <w:p>
      <w:pPr>
        <w:pStyle w:val="null3"/>
        <w:ind w:firstLine="960"/>
      </w:pPr>
      <w:r>
        <w:rPr>
          <w:rFonts w:ascii="仿宋_GB2312" w:hAnsi="仿宋_GB2312" w:cs="仿宋_GB2312" w:eastAsia="仿宋_GB2312"/>
        </w:rPr>
        <w:t>详见附件：技术部分.docx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详见附件：商务响应表.docx</w:t>
      </w:r>
    </w:p>
    <w:p>
      <w:pPr>
        <w:pStyle w:val="null3"/>
        <w:ind w:firstLine="960"/>
      </w:pPr>
      <w:r>
        <w:rPr>
          <w:rFonts w:ascii="仿宋_GB2312" w:hAnsi="仿宋_GB2312" w:cs="仿宋_GB2312" w:eastAsia="仿宋_GB2312"/>
        </w:rPr>
        <w:t>详见附件：技术要求响应表.docx</w:t>
      </w:r>
    </w:p>
    <w:p>
      <w:pPr>
        <w:pStyle w:val="null3"/>
        <w:ind w:firstLine="960"/>
      </w:pPr>
      <w:r>
        <w:rPr>
          <w:rFonts w:ascii="仿宋_GB2312" w:hAnsi="仿宋_GB2312" w:cs="仿宋_GB2312" w:eastAsia="仿宋_GB2312"/>
        </w:rPr>
        <w:t>详见附件：供应商业绩情况.docx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详见附件：采购包1、采购包2 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lvl w:ilvl="1">
      <w:start w:val="1"/>
      <w:numFmt w:val="decimal"/>
      <w:lvlText w:val="%2."/>
      <w:lvlJc w:val="left"/>
      <w:pPr>
        <w:ind w:left="360"/>
      </w:pPr>
    </w:lvl>
  </w:abstractNum>
  <w:abstractNum w:abstractNumId="1">
    <w:multiLevelType w:val="hybridMultilevel"/>
    <w:lvl w:ilvl="0">
      <w:start w:val="1"/>
      <w:numFmt w:val="decimal"/>
      <w:lvlText w:val="%1."/>
      <w:lvlJc w:val="left"/>
      <w:pPr>
        <w:ind w:left="0"/>
      </w:pPr>
    </w:lvl>
    <w:lvl w:ilvl="1">
      <w:start w:val="1"/>
      <w:numFmt w:val="decimal"/>
      <w:lvlText w:val="%2."/>
      <w:lvlJc w:val="left"/>
      <w:pPr>
        <w:ind w:left="360"/>
      </w:pPr>
    </w:lvl>
    <w:lvl w:ilvl="2">
      <w:start w:val="1"/>
      <w:numFmt w:val="decimal"/>
      <w:lvlText w:val="%3."/>
      <w:lvlJc w:val="left"/>
      <w:pPr>
        <w:ind w:left="720"/>
      </w:pPr>
    </w:lvl>
    <w:lvl w:ilvl="3">
      <w:start w:val="1"/>
      <w:numFmt w:val="decimal"/>
      <w:lvlText w:val="%4."/>
      <w:lvlJc w:val="left"/>
      <w:pPr>
        <w:ind w:left="1080"/>
      </w:pPr>
    </w:lvl>
  </w:abstractNum>
  <w:abstractNum w:abstractNumId="2">
    <w:multiLevelType w:val="hybridMultilevel"/>
    <w:lvl w:ilvl="0">
      <w:start w:val="1"/>
      <w:numFmt w:val="decimal"/>
      <w:lvlText w:val="%1."/>
      <w:lvlJc w:val="left"/>
      <w:pPr>
        <w:ind w:left="0"/>
      </w:pPr>
    </w:lvl>
    <w:lvl w:ilvl="1">
      <w:start w:val="1"/>
      <w:numFmt w:val="decimal"/>
      <w:lvlText w:val="%2."/>
      <w:lvlJc w:val="left"/>
      <w:pPr>
        <w:ind w:left="360"/>
      </w:pPr>
    </w:lvl>
    <w:lvl w:ilvl="2">
      <w:start w:val="1"/>
      <w:numFmt w:val="decimal"/>
      <w:lvlText w:val="%3."/>
      <w:lvlJc w:val="left"/>
      <w:pPr>
        <w:ind w:left="720"/>
      </w:pPr>
    </w:lvl>
    <w:lvl w:ilvl="3">
      <w:start w:val="1"/>
      <w:numFmt w:val="decimal"/>
      <w:lvlText w:val="%4."/>
      <w:lvlJc w:val="left"/>
      <w:pPr>
        <w:ind w:left="1080"/>
      </w:pPr>
    </w:lvl>
    <w:lvl w:ilvl="4">
      <w:start w:val="1"/>
      <w:numFmt w:val="decimal"/>
      <w:lvlText w:val="%5."/>
      <w:lvlJc w:val="left"/>
      <w:pPr>
        <w:ind w:left="144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