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版本号：FHGJ26(ZBQ)363-00620260708001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2026年县级地质灾害风险预警系统建设</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FHGJ26(ZBQ)363-006</w:t>
      </w:r>
      <w:r>
        <w:br/>
      </w:r>
      <w:r>
        <w:br/>
      </w:r>
      <w:r>
        <w:br/>
      </w:r>
    </w:p>
    <w:p>
      <w:pPr>
        <w:pStyle w:val="null3"/>
        <w:jc w:val="center"/>
        <w:outlineLvl w:val="2"/>
      </w:pPr>
      <w:r>
        <w:rPr>
          <w:rFonts w:ascii="仿宋_GB2312" w:hAnsi="仿宋_GB2312" w:cs="仿宋_GB2312" w:eastAsia="仿宋_GB2312"/>
          <w:sz w:val="28"/>
          <w:b/>
        </w:rPr>
        <w:t>省地质环境监测总站</w:t>
      </w:r>
    </w:p>
    <w:p>
      <w:pPr>
        <w:pStyle w:val="null3"/>
        <w:jc w:val="center"/>
        <w:outlineLvl w:val="2"/>
      </w:pPr>
      <w:r>
        <w:rPr>
          <w:rFonts w:ascii="仿宋_GB2312" w:hAnsi="仿宋_GB2312" w:cs="仿宋_GB2312" w:eastAsia="仿宋_GB2312"/>
          <w:sz w:val="28"/>
          <w:b/>
        </w:rPr>
        <w:t>丰汇国际项目管理有限公司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丰汇国际项目管理有限公司</w:t>
      </w:r>
      <w:r>
        <w:rPr>
          <w:rFonts w:ascii="仿宋_GB2312" w:hAnsi="仿宋_GB2312" w:cs="仿宋_GB2312" w:eastAsia="仿宋_GB2312"/>
        </w:rPr>
        <w:t>（以下简称“代理机构”）受</w:t>
      </w:r>
      <w:r>
        <w:rPr>
          <w:rFonts w:ascii="仿宋_GB2312" w:hAnsi="仿宋_GB2312" w:cs="仿宋_GB2312" w:eastAsia="仿宋_GB2312"/>
        </w:rPr>
        <w:t>省地质环境监测总站</w:t>
      </w:r>
      <w:r>
        <w:rPr>
          <w:rFonts w:ascii="仿宋_GB2312" w:hAnsi="仿宋_GB2312" w:cs="仿宋_GB2312" w:eastAsia="仿宋_GB2312"/>
        </w:rPr>
        <w:t>委托，拟对</w:t>
      </w:r>
      <w:r>
        <w:rPr>
          <w:rFonts w:ascii="仿宋_GB2312" w:hAnsi="仿宋_GB2312" w:cs="仿宋_GB2312" w:eastAsia="仿宋_GB2312"/>
        </w:rPr>
        <w:t>2026年县级地质灾害风险预警系统建设</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FHGJ26(ZBQ)363-006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2026年县级地质灾害风险预警系统建设</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开展91个县区气象预警产品制式图、预报降雨制式图、累计降雨制式图、激发雨量制式图定制化制作并内置于信息系统中，并按照基于累计雨量+预报雨量+易发区预警模型，开发县级区域风险预警模型，实现覆盖全省所有县区的地质灾害县级气象风险预警信息系统的定制化开发； 2.开发省市县气象风险预警联动会商模块，实现气象风险预警多级同步会商。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1、承诺：提供具有履行本项目合同所必需的设备和专业能力的承诺；</w:t>
      </w:r>
    </w:p>
    <w:p>
      <w:pPr>
        <w:pStyle w:val="null3"/>
      </w:pPr>
      <w:r>
        <w:rPr>
          <w:rFonts w:ascii="仿宋_GB2312" w:hAnsi="仿宋_GB2312" w:cs="仿宋_GB2312" w:eastAsia="仿宋_GB2312"/>
        </w:rPr>
        <w:t>2、声明函：本项目不接受联合体投标；单位负责人为同一人或者存在控股、管理关系的不同单位，不得参加同一项目的投标；并提供“国家企业信用信息公示系统”内股东截图。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省地质环境监测总站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陕西省西安市碑林区雁塔北路100号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陕西省地质环境监测总站（陕西省地质灾害中心）经办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029-87851040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丰汇国际项目管理有限公司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陕西省西安市碑林区长安北路113号大话南门壹中心14楼11401室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史璇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13992541220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采购包1：702,000.00元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说明：合同签订15个工作日内，乙方向甲方支付合同总金额5%的履约保证金；服务期满、验收合格后30日内无息全额退还。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招标代理服务收费管理暂行办法》的通知（计价格〔2002〕1980号）、《国家发展和改革委员会办公厅关于招标代理服务收费有关问题的通知》（发改办价格〔2003〕857号）及（发改办价格〔2011〕534号）规定计取，代理服务费最终以中标价为取费基数。</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省地质环境监测总站</w:t>
      </w:r>
      <w:r>
        <w:rPr>
          <w:rFonts w:ascii="仿宋_GB2312" w:hAnsi="仿宋_GB2312" w:cs="仿宋_GB2312" w:eastAsia="仿宋_GB2312"/>
        </w:rPr>
        <w:t>和</w:t>
      </w:r>
      <w:r>
        <w:rPr>
          <w:rFonts w:ascii="仿宋_GB2312" w:hAnsi="仿宋_GB2312" w:cs="仿宋_GB2312" w:eastAsia="仿宋_GB2312"/>
        </w:rPr>
        <w:t>丰汇国际项目管理有限公司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省地质环境监测总站</w:t>
      </w:r>
      <w:r>
        <w:rPr>
          <w:rFonts w:ascii="仿宋_GB2312" w:hAnsi="仿宋_GB2312" w:cs="仿宋_GB2312" w:eastAsia="仿宋_GB2312"/>
        </w:rPr>
        <w:t>负责解释。除上述磋商文件内容，其他内容由</w:t>
      </w:r>
      <w:r>
        <w:rPr>
          <w:rFonts w:ascii="仿宋_GB2312" w:hAnsi="仿宋_GB2312" w:cs="仿宋_GB2312" w:eastAsia="仿宋_GB2312"/>
        </w:rPr>
        <w:t>丰汇国际项目管理有限公司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省地质环境监测总站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丰汇国际项目管理有限公司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按照磋商文件、响应文件及合同约定进行验收。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联系人：史璇</w:t>
      </w:r>
    </w:p>
    <w:p>
      <w:pPr>
        <w:pStyle w:val="null3"/>
      </w:pPr>
      <w:r>
        <w:rPr>
          <w:rFonts w:ascii="仿宋_GB2312" w:hAnsi="仿宋_GB2312" w:cs="仿宋_GB2312" w:eastAsia="仿宋_GB2312"/>
        </w:rPr>
        <w:t>联系电话：1399251220</w:t>
      </w:r>
    </w:p>
    <w:p>
      <w:pPr>
        <w:pStyle w:val="null3"/>
      </w:pPr>
      <w:r>
        <w:rPr>
          <w:rFonts w:ascii="仿宋_GB2312" w:hAnsi="仿宋_GB2312" w:cs="仿宋_GB2312" w:eastAsia="仿宋_GB2312"/>
        </w:rPr>
        <w:t>地址： 陕西省西安市碑林区长安北路113号大话南门壹中心14楼11401室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开展91个县区气象预警产品制式图、预报降雨制式图、累计降雨制式图、激发雨量制式图定制化制作并内置于信息系统中，并按照基于累计雨量+预报雨量+易发区预警模型，开发县级区域风险预警模型，实现覆盖全省所有县区的地质灾害县级气象风险预警信息系统的定制化开发； 2.开发省市县气象风险预警联动会商模块，实现气象风险预警多级同步会商。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702,000.00</w:t>
      </w:r>
    </w:p>
    <w:p>
      <w:pPr>
        <w:pStyle w:val="null3"/>
      </w:pPr>
      <w:r>
        <w:rPr>
          <w:rFonts w:ascii="仿宋_GB2312" w:hAnsi="仿宋_GB2312" w:cs="仿宋_GB2312" w:eastAsia="仿宋_GB2312"/>
        </w:rPr>
        <w:t>采购包最高限价（元）: 702,000.00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2026年县级地质灾害风险预警系统建设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702,000.00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标的名称：2026年县级地质灾害风险预警系统建设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w:t>
            </w:r>
            <w:r>
              <w:rPr>
                <w:rFonts w:ascii="仿宋_GB2312" w:hAnsi="仿宋_GB2312" w:cs="仿宋_GB2312" w:eastAsia="仿宋_GB2312"/>
                <w:b/>
              </w:rPr>
              <w:t>、采购内容</w:t>
            </w:r>
          </w:p>
          <w:p>
            <w:pPr>
              <w:pStyle w:val="null3"/>
            </w:pPr>
            <w:r>
              <w:rPr>
                <w:rFonts w:ascii="仿宋_GB2312" w:hAnsi="仿宋_GB2312" w:cs="仿宋_GB2312" w:eastAsia="仿宋_GB2312"/>
                <w:sz w:val="18"/>
              </w:rPr>
              <w:t>1.开展91个县区气象预警产品制式图、预报降雨制式图、累计降雨制式图、激发雨量制式图定制化制作并内置于信息系统中，并按照基于累计雨量+预报雨量+易发区预警模型，开发县级区域风险预警模型，实现覆盖全省所有县区的地质灾害县级气象风险预警信息系统的</w:t>
            </w:r>
            <w:r>
              <w:rPr>
                <w:rFonts w:ascii="仿宋_GB2312" w:hAnsi="仿宋_GB2312" w:cs="仿宋_GB2312" w:eastAsia="仿宋_GB2312"/>
                <w:sz w:val="18"/>
              </w:rPr>
              <w:t>定制化开发；</w:t>
            </w:r>
          </w:p>
          <w:p>
            <w:pPr>
              <w:pStyle w:val="null3"/>
            </w:pPr>
            <w:r>
              <w:rPr>
                <w:rFonts w:ascii="仿宋_GB2312" w:hAnsi="仿宋_GB2312" w:cs="仿宋_GB2312" w:eastAsia="仿宋_GB2312"/>
                <w:sz w:val="18"/>
              </w:rPr>
              <w:t>2.开发省市县气象风险预警联动会商模块，实现气象风险预警多级同步会商。</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b/>
              </w:rPr>
              <w:t>二</w:t>
            </w:r>
            <w:r>
              <w:rPr>
                <w:rFonts w:ascii="仿宋_GB2312" w:hAnsi="仿宋_GB2312" w:cs="仿宋_GB2312" w:eastAsia="仿宋_GB2312"/>
                <w:b/>
              </w:rPr>
              <w:t>、技术要求</w:t>
            </w:r>
          </w:p>
          <w:p>
            <w:pPr>
              <w:pStyle w:val="null3"/>
            </w:pPr>
            <w:r>
              <w:rPr>
                <w:rFonts w:ascii="仿宋_GB2312" w:hAnsi="仿宋_GB2312" w:cs="仿宋_GB2312" w:eastAsia="仿宋_GB2312"/>
                <w:sz w:val="18"/>
              </w:rPr>
              <w:t>1.县级预警系统运行稳定、响应及时，无卡顿、无宕机，数据计算准确可靠。</w:t>
            </w:r>
          </w:p>
          <w:p>
            <w:pPr>
              <w:pStyle w:val="null3"/>
            </w:pPr>
            <w:r>
              <w:rPr>
                <w:rFonts w:ascii="仿宋_GB2312" w:hAnsi="仿宋_GB2312" w:cs="仿宋_GB2312" w:eastAsia="仿宋_GB2312"/>
                <w:sz w:val="18"/>
              </w:rPr>
              <w:t>2.模型算法、计算逻辑、界面展示优化符合最新研究成果与业务规范，界面友好、操作便捷。</w:t>
            </w:r>
          </w:p>
          <w:p>
            <w:pPr>
              <w:pStyle w:val="null3"/>
            </w:pPr>
            <w:r>
              <w:rPr>
                <w:rFonts w:ascii="仿宋_GB2312" w:hAnsi="仿宋_GB2312" w:cs="仿宋_GB2312" w:eastAsia="仿宋_GB2312"/>
                <w:sz w:val="18"/>
              </w:rPr>
              <w:t>3.系统故障24小时内响应处置，提供常态化技术支持，保障</w:t>
            </w:r>
            <w:r>
              <w:rPr>
                <w:rFonts w:ascii="仿宋_GB2312" w:hAnsi="仿宋_GB2312" w:cs="仿宋_GB2312" w:eastAsia="仿宋_GB2312"/>
                <w:sz w:val="18"/>
              </w:rPr>
              <w:t>降水期</w:t>
            </w:r>
            <w:r>
              <w:rPr>
                <w:rFonts w:ascii="仿宋_GB2312" w:hAnsi="仿宋_GB2312" w:cs="仿宋_GB2312" w:eastAsia="仿宋_GB2312"/>
                <w:sz w:val="18"/>
              </w:rPr>
              <w:t>预警</w:t>
            </w:r>
            <w:r>
              <w:rPr>
                <w:rFonts w:ascii="仿宋_GB2312" w:hAnsi="仿宋_GB2312" w:cs="仿宋_GB2312" w:eastAsia="仿宋_GB2312"/>
                <w:sz w:val="18"/>
              </w:rPr>
              <w:t>工作</w:t>
            </w:r>
            <w:r>
              <w:rPr>
                <w:rFonts w:ascii="仿宋_GB2312" w:hAnsi="仿宋_GB2312" w:cs="仿宋_GB2312" w:eastAsia="仿宋_GB2312"/>
                <w:sz w:val="18"/>
              </w:rPr>
              <w:t>不间断。</w:t>
            </w:r>
          </w:p>
          <w:p>
            <w:pPr>
              <w:pStyle w:val="null3"/>
            </w:pPr>
            <w:r>
              <w:rPr>
                <w:rFonts w:ascii="仿宋_GB2312" w:hAnsi="仿宋_GB2312" w:cs="仿宋_GB2312" w:eastAsia="仿宋_GB2312"/>
                <w:sz w:val="18"/>
              </w:rPr>
              <w:t>4.符合网络安全、等级保护及地质灾害</w:t>
            </w:r>
            <w:r>
              <w:rPr>
                <w:rFonts w:ascii="仿宋_GB2312" w:hAnsi="仿宋_GB2312" w:cs="仿宋_GB2312" w:eastAsia="仿宋_GB2312"/>
                <w:sz w:val="18"/>
              </w:rPr>
              <w:t>风险</w:t>
            </w:r>
            <w:r>
              <w:rPr>
                <w:rFonts w:ascii="仿宋_GB2312" w:hAnsi="仿宋_GB2312" w:cs="仿宋_GB2312" w:eastAsia="仿宋_GB2312"/>
                <w:sz w:val="18"/>
              </w:rPr>
              <w:t>预警相关技术标准规范。</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具有履行合同所必需的人员，满足项目需求。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具有履行合同所必需的设施设备，满足项目需求。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1.具有独立法人资格，具备地质灾害风险预警系统开发、省级、维护专业技术能力； 2.具有地质灾害预警平台、气象风险预警系统同类项目开发或维护业绩； 3.拥有专职技术团队，具备前端、后端、GIS、模型算法等专业人员，可保障实施与售后； 4.具备完善的实施方案、质量保障与安全管理措施，诚信履约、服务规范。 5.信誉良好，无重大违法违规记录，能够按要求履约、配合验收。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自合同签订之日起1个自然年。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（一）提交成果 1.合同签订后30个工作日内提交《2026年县级地质灾害风险预警能力提升实施方案》； 2.2026年12月前提交《2026年县级地质灾害风险预警能力提升报告》。 3.提交用户手册、系统源代码、测试报告、验收资料等全套成果。 （二）项目验收 1.乙方向甲方提交验收申请及完整成果资料。 2.甲方收到验收申请后15个工作日内组织验收，验收费用由乙方承担。 3.验收内容：系统运行稳定性、功能完整性、资料齐全性，全部达标视为验收合格。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进度款，合同签订15日内，乙方向甲方支付合同总金额5%的履约保证金并提交合同全额增值税发票后，甲方向乙方约定账户支付合同总金额60%的进度款，达到付款条件起15个工作日内，支付合同总金额的60.0%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进度款，乙方提交的实施方案经甲方组织验收通过后20日内，甲方向乙方约定的账户支付合同总金额40%的进度款，达到付款条件起20个工作日内，支付合同总金额的40.0%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1.乙方未按约定时间完成功能开发或成果提交，每逾期1个工作日，按合同总额1‰支付违约金；逾期超30日，甲方有权解除合同。 2.功能不达标、系统不稳定，乙方应15日内完成整改；整改后仍不满足要求，甲方可解约，乙方退还已付款，并承担合同总额10%违约金。 3.因乙方原因造成数据丢失、系统瘫痪、安全事件，由乙方承担全部责任与损失。 4.不可抗力导致履约延迟，双方互不追责，期限相应顺延。 5.按照《中华人民共和国民法典》中的相关条款执行。 6.中标人未按合同要求提供服务或服务质量不能满足技术要求，且在规定时间内未达到采购要求及合同约定的，采购人有权终止合同，同时报请监管部门对其违约行为进行追究。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1.采购标的对应的中小企业划分标准所属行业为软件和信息技术服务业。2.落实的政府采购政策： （1）财政部、工业和信息化部关于印发《政府采购促进中小企业发展管理办法》的通知-财库〔2020〕46号；（2）关于进一步加大政府采购支持中小企业力度的通知-财库〔2022〕19号；（3）财政部 司法部关于政府采购支持监狱企业发展有关问题的通知-财库〔2014〕68号；（4）财政部 民政部 中国残疾人联合会关于促进残疾人就业政府采购政策的通知-财库〔2017〕141号；（5）关于调整优化节能产品、环境标志产品政府采购执行机制的通知-财库〔2019〕9号；（6）财政部生态 环境部关于印发环境标志产品政府采购品目清单的通知-财库〔2019〕18号；（7）财政部发展改革委关于印发节能产品政府采购品目清单的通知-财库〔2019〕19号；（8）财政部 农业农村部 国家乡村振兴局关于运用政府采购政策支持乡村产业振兴的通知-财库〔2021〕19 号；（9）财政部、农业农村部、国家乡村振兴局、中华全国供销合作总社关于印发《关于深入开展政府采购脱贫地区农副产品工作推进乡村产业振兴的实施意见》的通知-财库〔2021〕20号；（10）陕西省财政厅关于落实政府采购支持中小企业政策有关事项的通知-陕财办采函〔2022〕10 号；（11）陕西省财政厅关于进一步加强政府绿色采购有关问题的通知-陕财办采〔2021〕29号；（12）陕西省财政厅关于印发《陕西省中小企业政府采购信用融资办法》-陕财办采〔2018〕23号；（13）陕西省财政厅关于加快推进我省中小企业政府采购信用融资工作的通知-陕财办采〔2020〕15号；（14）陕西省财政厅 中国人民银行西安分行关于深入推进政府采购信用融资业务的通知-陕财办采〔2023〕5号；（15）国务院办公厅关于在政府采购中实施本国产品标准及相关政策的通知国办发〔2026〕34号；（16）《财政部 工业和信息化部关于贯彻落实&lt;国务院办公厅关于在政府采购中实施本国产品标准及相关政策的通知&gt;的意见》（财库〔2026〕30 号）；（17）《关于推动解决政府采购异常低价问题的通知》（财库〔2026〕 2号）；（18）如有最新颁布的政府采购政策，按最新的文件执行。3.中标人中标后向招标代理公司提交纸质投标文件叁份、U盘贰份（纸质投标文件应通过专用制作软件直接打印，确保与项目电子化交易系统中的电子响应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具有独立承担民事责任能力的法人、其他组织或自然人，并出具合法有效的营业执照或事业单位法人证书等国家规定的相关证明，自然人参与的提供其身份证明； 2、财务状况报告：法人提供经审计的2024或2025年度的财务报告（成立时间至投标文件递交截止时间不足一年的可提供成立后任意时段的资产负债表）或投标文件递交截止时间前六个月内银行出具的资信证明或政府采购信用担保机构出具的担保函；其他组织和自然人提供银行出具的资信证明或财务报表或政府采购信用担保机构出具的担保函。根据《财政部关于注册会计师行业统一监管平台上线运行的通知》财办〔2022〕32号文件要求，审计报告须有清晰可扫描查询的二维码，若审计报告未赋码视为无效。 3、税收缴纳证明：提供投标文件截止时间一年内至少一个月的依法缴纳税收的相关凭据（时间以税款所属日期为准、税种须至少包含增值税或企业所得税），凭据应有税务机关或代收机关的公章或业务专用章。依法免税或无须缴纳税收的投标人，应提供相应证明文件； 4、社会保障资金缴纳证明：提供投标文件截止时间一年内至少一个月的社会保障资金缴存单据或社保机构开具的社会保险参保缴费情况证明或完税证明，单据或证明上应有社保机构或代收机构的公章或业务专用章；（依法不需要缴纳社会保障资金的投标供应商应提供相关证明） 5、信用主体查询及声明：供应商未被列入“信用中国”网站（www.creditchina.gov.cn）记录失信被执行人；不处于中国政府采购网（www.ccgp.gov.cn）政府采购严重违法失信行为信息记录中的禁止参加政府采购活动期间；供应商应提供参加本次政府采购活动前3年内在经营活动中没有重大违纪、未被列入失信被执行人、重大税收违法案件当事人名单、政府采购严重违法失信行为记录名单的书面声明。开标评审将登陆“信用中国”网站（www.creditchina.gov.cn）和“中国政府采购网”（www.ccgp.gov.cn）进行审查。</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财务状况报告：法人提供经审计的2024或2025年度的财务报告（成立时间至投标文件递交截止时间不足一年的可提供成立后任意时段的资产负债表）或投标文件递交截止时间前六个月内银行出具的资信证明或政府采购信用担保机构出具的担保函；其他组织和自然人提供银行出具的资信证明或财务报表或政府采购信用担保机构出具的担保函。根据《财政部关于注册会计师行业统一监管平台上线运行的通知》财办〔2022〕32号文件要求，审计报告须有清晰可扫描查询的二维码，若审计报告未赋码视为无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提供具有履行本项目合同所必需的设备和专业能力的承诺；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本项目不接受联合体投标；单位负责人为同一人或者存在控股、管理关系的不同单位，不得参加同一项目的投标；并提供“国家企业信用信息公示系统”内股东截图。</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（1）货币单位符合磋商文件要求 （2）报价符合唯一性要求 （3）未超出采购包最高限价 （4）符合《报价表》《标的清单》的填报要求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及授权代表投标截止日前一年内已缴存的至少一个月的社会保险参保缴费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完全响应磋商文件要求的各项技术及服务、商务实质性条款。</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投标有效期是否达到磋商文件要求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签章均符合磋商文件要求，且无遗漏。</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符合法律、法规和竞争性磋商文件中规的其他实质性要求</w:t>
            </w:r>
          </w:p>
        </w:tc>
        <w:tc>
          <w:tcPr>
            <w:tcW w:type="dxa" w:w="3322"/>
          </w:tcPr>
          <w:p>
            <w:pPr>
              <w:pStyle w:val="null3"/>
            </w:pPr>
            <w:r>
              <w:rPr>
                <w:rFonts w:ascii="仿宋_GB2312" w:hAnsi="仿宋_GB2312" w:cs="仿宋_GB2312" w:eastAsia="仿宋_GB2312"/>
              </w:rPr>
              <w:t>符合法律、法规和竞争性磋商文件中规定的其他实质性要求（合格）不符合法律、法规和竞争性磋商文件中规定的其他实质性要求（不合格）</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供服务方案，内容包含：①91个县区气象预警产品制式图定制化开发、②预报降雨制式图开发、③累计和激发降雨制式图开发、④91个县县区风险预警信息系统的定制化开发、⑤省市县气象风险预警联动会商模块开发。 二、评审标准 1、完整性：方案须全面，对评审内容中的各项要求有详细描述及说明； 2、可实施性：切合本项目实际情况，实施步骤清晰、合理； 3、针对性：方案能够紧扣项目实际情况，内容科学合理。 三、赋分标准（满分20分） 1、服务方案共5项，供应商提供的方案内容齐全、结构完整、表述准确、条理清晰得20.0分，评审内容每缺失一项，扣4.0分。 2、根据评审标准对供应商服务方案进行评审，每项评审内容有一处存在缺陷的扣0.5分。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项目进度及组织协调方案</w:t>
            </w:r>
          </w:p>
        </w:tc>
        <w:tc>
          <w:tcPr>
            <w:tcW w:type="dxa" w:w="2492"/>
          </w:tcPr>
          <w:p>
            <w:pPr>
              <w:pStyle w:val="null3"/>
            </w:pPr>
            <w:r>
              <w:rPr>
                <w:rFonts w:ascii="仿宋_GB2312" w:hAnsi="仿宋_GB2312" w:cs="仿宋_GB2312" w:eastAsia="仿宋_GB2312"/>
              </w:rPr>
              <w:t>一、评审内容 针对本项目提供详细的项目进度及组织协调方案，内容包含：①项目进度安排、②组织协调措施。 二、评审标准 1、完整性：方案须全面，对评审内容中的各项要求有详细描述及说明； 2、可实施性：切合本项目实际情况，实施步骤清晰、合理； 3、针对性：方案能够紧扣项目实际情况，内容科学合理。 三、赋分标准（满分4分） 1、项目进度及组织协调方案共2项，供应商提供的方案内容齐全、结构完整、表述准确、条理清晰得4.0分，评审内容每缺失一项，扣2.0分。 2、根据评审标准对供应商服务方案进行评审，每项评审内容有一处存在缺陷的扣0.5分。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一、评审内容 针对本项目提供详细的售后服务及培训方案，内容包含：①售后服务内容及方式、②售后服务人员安排、③售后服务响应时间与处理时间、④培训方案。 二、评审标准 1、完整性：方案须全面，对评审内容中的各项要求有详细描述及说明； 2、可实施性：切合本项目实际情况，实施步骤清晰、合理； 3、针对性：方案能够紧扣项目实际情况，内容科学合理。 三、赋分标准（满分4分） 1、售后服务及培训方案共4项，供应商提供的方案内容齐全、结构完整、表述准确、条理清晰得4.0分，评审内容每缺失一项，扣1.0分。 2、根据评审标准对供应商服务方案进行评审，每项评审内容有一处存在缺陷的扣0.5分。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重难点分析及解决方案</w:t>
            </w:r>
          </w:p>
        </w:tc>
        <w:tc>
          <w:tcPr>
            <w:tcW w:type="dxa" w:w="2492"/>
          </w:tcPr>
          <w:p>
            <w:pPr>
              <w:pStyle w:val="null3"/>
            </w:pPr>
            <w:r>
              <w:rPr>
                <w:rFonts w:ascii="仿宋_GB2312" w:hAnsi="仿宋_GB2312" w:cs="仿宋_GB2312" w:eastAsia="仿宋_GB2312"/>
              </w:rPr>
              <w:t>一、评审内容 针对本项目提供详细的重难点分析及解决方案，内容包含：①提出本项目实施过程中容易出错或忽略的重点、难点分析、②针对所提出的重点、难点有相应的解决方案。 二、评审标准 1、完整性：方案须全面，对评审内容中的各项要求有详细描述及说明； 2、可实施性：切合本项目实际情况，实施步骤清晰、合理； 3、针对性：方案能够紧扣项目实际情况，内容科学合理。 三、赋分标准（满分4分） 1、重点、难点分析共2项，供应商提供的方案内容齐全、结构完整、表述准确、条理清晰得4.0分，评审内容每缺失一项，扣2.0分。 2、根据评审标准对供应商服务方案进行评审，每项评审内容有一处存在缺陷的扣0.5分。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各项措施方案</w:t>
            </w:r>
          </w:p>
        </w:tc>
        <w:tc>
          <w:tcPr>
            <w:tcW w:type="dxa" w:w="2492"/>
          </w:tcPr>
          <w:p>
            <w:pPr>
              <w:pStyle w:val="null3"/>
            </w:pPr>
            <w:r>
              <w:rPr>
                <w:rFonts w:ascii="仿宋_GB2312" w:hAnsi="仿宋_GB2312" w:cs="仿宋_GB2312" w:eastAsia="仿宋_GB2312"/>
              </w:rPr>
              <w:t>一、评审内容 针对本项目提供详细的措施方案，内容包含①应急方案及补救措施、②质量保障措施、③保密措施、④验收措施。 二、评审标准 1、完整性：方案须全面，对评审内容中的各项要求有详细描述及说明； 2、可实施性：切合本项目实际情况，实施步骤清晰、合理； 3、针对性：方案能够紧扣项目实际情况，内容科学合理。 三、赋分标准（满分8分） 1、措施方案此项共4项，供应商提供的方案内容齐全、结构完整、表述准确、条理清晰得8.0分，评审内容每缺失一项，扣2.0分。 2、根据评审标准对供应商服务方案进行评审，每项评审内容有一处存在缺陷的扣0.5分。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项目团队人员须为投标单位在职人员，提供证明材料，否则不计分。此项满分20分。 1.提供人员在6人及以上的计20分； 2.3人（含）以上、6人以下计10分； 3.1人（含）以上、3人以下计5分。 4.未提供不计分。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提供近三年（2022年1月至至响应文件提交截止时间前）承担过同类项目业绩，以合同签订日期为准，供应商提供合同复印件加盖公章，每提供一份计4分，此项共计20分。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1.经资格审查、符合性审查合格的磋商响应文件，其磋商报价为有效磋商报价。 2.满足磋商文件实质性要求且最后报价最低的供应商的价格为磋商基准价，其价格分为满分20分。 3.磋商报价得分=(磋商基准价/最终磋商报价）×20的公式计算得分 。（因落实政府采购政策进行价格调整的，以调整后的价格计算评标基准价和投标报价，详见磋商文件本部分政府采购政策评分标准，专门面向中小企业采购的项目或者采购包，不再执行价格评审优惠的扶持政策。）</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详见附件：业务委托合同（2026年县级地质灾害风险预警系统建设）.docx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