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62F42">
      <w:pPr>
        <w:jc w:val="center"/>
        <w:rPr>
          <w:rFonts w:hint="eastAsia" w:ascii="宋体" w:hAnsi="宋体"/>
          <w:color w:val="auto"/>
          <w:sz w:val="21"/>
          <w:szCs w:val="15"/>
          <w:highlight w:val="none"/>
        </w:rPr>
      </w:pPr>
      <w:r>
        <w:rPr>
          <w:rFonts w:hint="eastAsia" w:ascii="宋体" w:hAnsi="宋体"/>
          <w:color w:val="auto"/>
          <w:sz w:val="21"/>
          <w:szCs w:val="15"/>
          <w:highlight w:val="none"/>
        </w:rPr>
        <w:t>（本格式条款供甲乙双方签订合同参考，可根据项目的实际情况增减条款和内容）</w:t>
      </w:r>
    </w:p>
    <w:p w14:paraId="65D084F4">
      <w:pPr>
        <w:pStyle w:val="8"/>
        <w:rPr>
          <w:rFonts w:ascii="仿宋_GB2312" w:hAnsi="仿宋_GB2312" w:eastAsia="仿宋_GB2312" w:cs="仿宋_GB2312"/>
          <w:color w:val="auto"/>
          <w:highlight w:val="none"/>
        </w:rPr>
      </w:pPr>
    </w:p>
    <w:p w14:paraId="502FE271">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0F288975">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4A31BD21">
      <w:pPr>
        <w:widowControl/>
        <w:kinsoku w:val="0"/>
        <w:wordWrap w:val="0"/>
        <w:autoSpaceDE w:val="0"/>
        <w:autoSpaceDN w:val="0"/>
        <w:adjustRightInd w:val="0"/>
        <w:snapToGrid w:val="0"/>
        <w:spacing w:line="240" w:lineRule="auto"/>
        <w:ind w:firstLine="0" w:firstLineChars="0"/>
        <w:jc w:val="right"/>
        <w:textAlignment w:val="baseline"/>
        <w:rPr>
          <w:rFonts w:hint="default" w:asciiTheme="minorEastAsia" w:hAnsiTheme="minorEastAsia" w:eastAsiaTheme="minorEastAsia" w:cstheme="minorEastAsia"/>
          <w:snapToGrid w:val="0"/>
          <w:color w:val="auto"/>
          <w:kern w:val="0"/>
          <w:sz w:val="28"/>
          <w:szCs w:val="28"/>
          <w:highlight w:val="none"/>
          <w:lang w:val="en-US" w:eastAsia="zh-CN"/>
        </w:rPr>
      </w:pPr>
      <w:r>
        <w:rPr>
          <w:rFonts w:hint="eastAsia" w:asciiTheme="minorEastAsia" w:hAnsiTheme="minorEastAsia" w:eastAsiaTheme="minorEastAsia" w:cstheme="minorEastAsia"/>
          <w:snapToGrid w:val="0"/>
          <w:color w:val="auto"/>
          <w:kern w:val="0"/>
          <w:sz w:val="28"/>
          <w:szCs w:val="28"/>
          <w:highlight w:val="none"/>
          <w:lang w:val="en-US" w:eastAsia="zh-CN"/>
        </w:rPr>
        <w:t xml:space="preserve">合同编号：      </w:t>
      </w:r>
    </w:p>
    <w:p w14:paraId="5E4CBFD9">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1CB62D2D">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r>
        <w:rPr>
          <w:rFonts w:hint="eastAsia" w:ascii="方正小标宋简体" w:hAnsi="方正小标宋简体" w:eastAsia="方正小标宋简体" w:cs="方正小标宋简体"/>
          <w:snapToGrid w:val="0"/>
          <w:color w:val="auto"/>
          <w:kern w:val="0"/>
          <w:sz w:val="36"/>
          <w:szCs w:val="36"/>
          <w:highlight w:val="none"/>
        </w:rPr>
        <w:t>陕西省地质环境监测总站（陕西省地质灾害中心）</w:t>
      </w:r>
    </w:p>
    <w:p w14:paraId="49E45AFF">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56"/>
          <w:szCs w:val="56"/>
          <w:highlight w:val="none"/>
        </w:rPr>
      </w:pPr>
      <w:r>
        <w:rPr>
          <w:rFonts w:hint="eastAsia" w:ascii="方正小标宋简体" w:hAnsi="方正小标宋简体" w:eastAsia="方正小标宋简体" w:cs="方正小标宋简体"/>
          <w:snapToGrid w:val="0"/>
          <w:color w:val="auto"/>
          <w:kern w:val="0"/>
          <w:sz w:val="56"/>
          <w:szCs w:val="56"/>
          <w:highlight w:val="none"/>
        </w:rPr>
        <w:t>业务委托合同书</w:t>
      </w:r>
    </w:p>
    <w:p w14:paraId="227A5336">
      <w:pPr>
        <w:pStyle w:val="2"/>
        <w:spacing w:line="480" w:lineRule="auto"/>
        <w:ind w:firstLine="1440"/>
        <w:rPr>
          <w:rFonts w:hint="eastAsia" w:ascii="宋体" w:hAnsi="宋体" w:eastAsia="宋体" w:cs="宋体"/>
          <w:color w:val="auto"/>
          <w:sz w:val="72"/>
          <w:szCs w:val="72"/>
          <w:highlight w:val="none"/>
        </w:rPr>
      </w:pPr>
    </w:p>
    <w:p w14:paraId="0BFCFDF1">
      <w:pPr>
        <w:pStyle w:val="2"/>
        <w:spacing w:line="480" w:lineRule="auto"/>
        <w:ind w:firstLine="1440"/>
        <w:rPr>
          <w:rFonts w:hint="eastAsia" w:ascii="宋体" w:hAnsi="宋体" w:eastAsia="宋体" w:cs="宋体"/>
          <w:color w:val="auto"/>
          <w:sz w:val="72"/>
          <w:szCs w:val="72"/>
          <w:highlight w:val="none"/>
        </w:rPr>
      </w:pPr>
    </w:p>
    <w:p w14:paraId="41B198BA">
      <w:pPr>
        <w:pStyle w:val="2"/>
        <w:spacing w:line="480" w:lineRule="auto"/>
        <w:ind w:firstLine="1440"/>
        <w:rPr>
          <w:rFonts w:hint="eastAsia" w:ascii="宋体" w:hAnsi="宋体" w:eastAsia="宋体" w:cs="宋体"/>
          <w:color w:val="auto"/>
          <w:sz w:val="72"/>
          <w:szCs w:val="72"/>
          <w:highlight w:val="none"/>
        </w:rPr>
      </w:pPr>
    </w:p>
    <w:p w14:paraId="25210739">
      <w:pPr>
        <w:pStyle w:val="2"/>
        <w:spacing w:line="480" w:lineRule="auto"/>
        <w:ind w:firstLine="1440"/>
        <w:rPr>
          <w:rFonts w:hint="eastAsia" w:ascii="宋体" w:hAnsi="宋体" w:eastAsia="宋体" w:cs="宋体"/>
          <w:color w:val="auto"/>
          <w:sz w:val="72"/>
          <w:szCs w:val="72"/>
          <w:highlight w:val="none"/>
        </w:rPr>
      </w:pPr>
    </w:p>
    <w:tbl>
      <w:tblPr>
        <w:tblStyle w:val="6"/>
        <w:tblpPr w:leftFromText="180" w:rightFromText="180" w:vertAnchor="text" w:horzAnchor="page" w:tblpX="1690" w:tblpY="357"/>
        <w:tblOverlap w:val="never"/>
        <w:tblW w:w="8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3"/>
        <w:gridCol w:w="240"/>
        <w:gridCol w:w="6615"/>
      </w:tblGrid>
      <w:tr w14:paraId="5EF9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2FACC032">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240" w:type="dxa"/>
            <w:vAlign w:val="center"/>
          </w:tcPr>
          <w:p w14:paraId="68206F27">
            <w:pPr>
              <w:pStyle w:val="2"/>
              <w:spacing w:line="480" w:lineRule="auto"/>
              <w:ind w:firstLine="0" w:firstLineChars="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41708B0">
            <w:pPr>
              <w:ind w:firstLine="0" w:firstLineChars="0"/>
              <w:jc w:val="center"/>
              <w:rPr>
                <w:rFonts w:hint="eastAsia" w:ascii="仿宋_GB2312" w:hAnsi="宋体" w:eastAsia="宋体" w:cs="仿宋_GB2312"/>
                <w:color w:val="auto"/>
                <w:kern w:val="0"/>
                <w:sz w:val="28"/>
                <w:szCs w:val="28"/>
                <w:highlight w:val="none"/>
                <w:lang w:val="en-US" w:eastAsia="zh-CN" w:bidi="ar"/>
              </w:rPr>
            </w:pPr>
            <w:r>
              <w:rPr>
                <w:rFonts w:hint="eastAsia" w:ascii="仿宋_GB2312" w:hAnsi="宋体" w:eastAsia="宋体" w:cs="仿宋_GB2312"/>
                <w:color w:val="auto"/>
                <w:kern w:val="0"/>
                <w:sz w:val="28"/>
                <w:szCs w:val="28"/>
                <w:highlight w:val="none"/>
                <w:lang w:eastAsia="zh-CN" w:bidi="ar"/>
              </w:rPr>
              <w:t>陕西省</w:t>
            </w:r>
            <w:r>
              <w:rPr>
                <w:rFonts w:hint="eastAsia" w:asciiTheme="minorEastAsia" w:hAnsiTheme="minorEastAsia" w:eastAsiaTheme="minorEastAsia" w:cstheme="minorEastAsia"/>
                <w:color w:val="auto"/>
                <w:kern w:val="0"/>
                <w:sz w:val="28"/>
                <w:szCs w:val="28"/>
                <w:highlight w:val="none"/>
                <w:lang w:eastAsia="zh-CN" w:bidi="ar"/>
              </w:rPr>
              <w:t>2026</w:t>
            </w:r>
            <w:r>
              <w:rPr>
                <w:rFonts w:hint="eastAsia" w:ascii="仿宋_GB2312" w:hAnsi="宋体" w:eastAsia="宋体" w:cs="仿宋_GB2312"/>
                <w:color w:val="auto"/>
                <w:kern w:val="0"/>
                <w:sz w:val="28"/>
                <w:szCs w:val="28"/>
                <w:highlight w:val="none"/>
                <w:lang w:eastAsia="zh-CN" w:bidi="ar"/>
              </w:rPr>
              <w:t>年地质灾害群专结合</w:t>
            </w:r>
            <w:r>
              <w:rPr>
                <w:rFonts w:hint="eastAsia" w:ascii="仿宋_GB2312" w:hAnsi="宋体" w:eastAsia="宋体" w:cs="仿宋_GB2312"/>
                <w:color w:val="auto"/>
                <w:kern w:val="0"/>
                <w:sz w:val="28"/>
                <w:szCs w:val="28"/>
                <w:highlight w:val="none"/>
                <w:lang w:val="en-US" w:eastAsia="zh-CN" w:bidi="ar"/>
              </w:rPr>
              <w:t>监测预警</w:t>
            </w:r>
          </w:p>
          <w:p w14:paraId="566AD52B">
            <w:pPr>
              <w:ind w:firstLine="0" w:firstLineChars="0"/>
              <w:jc w:val="center"/>
              <w:rPr>
                <w:rFonts w:hint="eastAsia" w:ascii="宋体" w:hAnsi="宋体" w:eastAsia="宋体" w:cs="宋体"/>
                <w:color w:val="auto"/>
                <w:sz w:val="28"/>
                <w:szCs w:val="28"/>
                <w:highlight w:val="none"/>
                <w:lang w:eastAsia="zh-CN"/>
              </w:rPr>
            </w:pPr>
            <w:r>
              <w:rPr>
                <w:rFonts w:hint="eastAsia" w:ascii="仿宋_GB2312" w:hAnsi="宋体" w:eastAsia="宋体" w:cs="仿宋_GB2312"/>
                <w:color w:val="auto"/>
                <w:kern w:val="0"/>
                <w:sz w:val="28"/>
                <w:szCs w:val="28"/>
                <w:highlight w:val="none"/>
                <w:lang w:eastAsia="zh-CN" w:bidi="ar"/>
              </w:rPr>
              <w:t>改建和日常运行维护</w:t>
            </w:r>
          </w:p>
        </w:tc>
      </w:tr>
      <w:tr w14:paraId="0C5B5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06880CCA">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委托业务名称</w:t>
            </w:r>
          </w:p>
        </w:tc>
        <w:tc>
          <w:tcPr>
            <w:tcW w:w="240" w:type="dxa"/>
            <w:vAlign w:val="center"/>
          </w:tcPr>
          <w:p w14:paraId="2F561E06">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1BEC657B">
            <w:pPr>
              <w:pStyle w:val="2"/>
              <w:widowControl/>
              <w:spacing w:line="240" w:lineRule="auto"/>
              <w:ind w:firstLine="0" w:firstLineChars="0"/>
              <w:jc w:val="center"/>
              <w:rPr>
                <w:rFonts w:hint="eastAsia" w:ascii="宋体" w:hAnsi="宋体" w:eastAsia="宋体" w:cs="宋体"/>
                <w:color w:val="auto"/>
                <w:kern w:val="2"/>
                <w:sz w:val="28"/>
                <w:szCs w:val="28"/>
                <w:highlight w:val="none"/>
              </w:rPr>
            </w:pPr>
            <w:bookmarkStart w:id="3" w:name="_GoBack"/>
            <w:r>
              <w:rPr>
                <w:rFonts w:hint="eastAsia" w:ascii="宋体" w:hAnsi="宋体" w:eastAsia="宋体" w:cs="宋体"/>
                <w:color w:val="auto"/>
                <w:kern w:val="2"/>
                <w:sz w:val="28"/>
                <w:szCs w:val="28"/>
                <w:highlight w:val="none"/>
                <w:lang w:val="en-US" w:eastAsia="zh-CN"/>
              </w:rPr>
              <w:t>2026年县级地质灾害风险预警系统建设</w:t>
            </w:r>
            <w:bookmarkEnd w:id="3"/>
          </w:p>
        </w:tc>
      </w:tr>
      <w:tr w14:paraId="39B2E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6356BA42">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甲   方</w:t>
            </w:r>
          </w:p>
        </w:tc>
        <w:tc>
          <w:tcPr>
            <w:tcW w:w="240" w:type="dxa"/>
            <w:vAlign w:val="center"/>
          </w:tcPr>
          <w:p w14:paraId="01B731FC">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16494B60">
            <w:pPr>
              <w:pStyle w:val="2"/>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陕西省地质环境监测总站（陕西省地质灾害中心）</w:t>
            </w:r>
          </w:p>
        </w:tc>
      </w:tr>
      <w:tr w14:paraId="47D4D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2053" w:type="dxa"/>
            <w:vAlign w:val="center"/>
          </w:tcPr>
          <w:p w14:paraId="3463F5AA">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乙    方</w:t>
            </w:r>
          </w:p>
        </w:tc>
        <w:tc>
          <w:tcPr>
            <w:tcW w:w="240" w:type="dxa"/>
            <w:vAlign w:val="center"/>
          </w:tcPr>
          <w:p w14:paraId="21F5DCCE">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08F5D1F">
            <w:pPr>
              <w:pStyle w:val="2"/>
              <w:widowControl/>
              <w:spacing w:line="240" w:lineRule="auto"/>
              <w:ind w:firstLine="0" w:firstLineChars="0"/>
              <w:jc w:val="center"/>
              <w:rPr>
                <w:rFonts w:hint="eastAsia" w:ascii="宋体" w:hAnsi="宋体" w:eastAsia="宋体" w:cs="宋体"/>
                <w:color w:val="auto"/>
                <w:kern w:val="2"/>
                <w:sz w:val="28"/>
                <w:szCs w:val="28"/>
                <w:highlight w:val="none"/>
              </w:rPr>
            </w:pPr>
          </w:p>
        </w:tc>
      </w:tr>
      <w:tr w14:paraId="11256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5D5CD6DF">
            <w:pPr>
              <w:pStyle w:val="2"/>
              <w:spacing w:line="480" w:lineRule="auto"/>
              <w:ind w:firstLine="0" w:firstLineChars="0"/>
              <w:jc w:val="distribute"/>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签订时间</w:t>
            </w:r>
          </w:p>
        </w:tc>
        <w:tc>
          <w:tcPr>
            <w:tcW w:w="240" w:type="dxa"/>
            <w:vAlign w:val="center"/>
          </w:tcPr>
          <w:p w14:paraId="3CFDE80F">
            <w:pPr>
              <w:pStyle w:val="2"/>
              <w:spacing w:line="480" w:lineRule="auto"/>
              <w:ind w:firstLine="0" w:firstLineChars="0"/>
              <w:jc w:val="center"/>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0F8F4EAC">
            <w:pPr>
              <w:pStyle w:val="2"/>
              <w:widowControl/>
              <w:spacing w:line="240" w:lineRule="auto"/>
              <w:ind w:firstLine="0" w:firstLineChars="0"/>
              <w:jc w:val="center"/>
              <w:rPr>
                <w:rFonts w:hint="default"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rPr>
              <w:t>年    月</w:t>
            </w:r>
            <w:r>
              <w:rPr>
                <w:rFonts w:hint="eastAsia" w:ascii="宋体" w:hAnsi="宋体" w:eastAsia="宋体" w:cs="宋体"/>
                <w:color w:val="auto"/>
                <w:kern w:val="2"/>
                <w:sz w:val="28"/>
                <w:szCs w:val="28"/>
                <w:highlight w:val="none"/>
                <w:lang w:val="en-US" w:eastAsia="zh-CN"/>
              </w:rPr>
              <w:t xml:space="preserve">    日</w:t>
            </w:r>
          </w:p>
        </w:tc>
      </w:tr>
    </w:tbl>
    <w:p w14:paraId="02E05FA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sectPr>
          <w:footerReference r:id="rId3" w:type="default"/>
          <w:pgSz w:w="11906" w:h="16838"/>
          <w:pgMar w:top="1440" w:right="1803" w:bottom="1440" w:left="1803" w:header="851" w:footer="992" w:gutter="0"/>
          <w:pgNumType w:fmt="decimal" w:start="1"/>
          <w:cols w:space="425" w:num="1"/>
          <w:docGrid w:type="lines" w:linePitch="312" w:charSpace="0"/>
        </w:sectPr>
      </w:pPr>
    </w:p>
    <w:p w14:paraId="441F644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陕西省地质环境监测总站（陕西省地质灾害中心）（以下简称甲方）为做好《</w:t>
      </w:r>
      <w:r>
        <w:rPr>
          <w:rFonts w:hint="eastAsia" w:ascii="宋体" w:hAnsi="宋体" w:eastAsia="宋体" w:cs="宋体"/>
          <w:color w:val="auto"/>
          <w:sz w:val="24"/>
          <w:szCs w:val="24"/>
          <w:highlight w:val="none"/>
          <w:lang w:eastAsia="zh-CN"/>
        </w:rPr>
        <w:t>陕西省2026年地质灾害群专结合监测预警改建和日常运行维护</w:t>
      </w:r>
      <w:r>
        <w:rPr>
          <w:rFonts w:hint="eastAsia" w:ascii="宋体" w:hAnsi="宋体" w:eastAsia="宋体" w:cs="宋体"/>
          <w:color w:val="auto"/>
          <w:sz w:val="24"/>
          <w:szCs w:val="24"/>
          <w:highlight w:val="none"/>
        </w:rPr>
        <w:t>》项目，通过</w:t>
      </w:r>
      <w:r>
        <w:rPr>
          <w:rFonts w:hint="eastAsia" w:ascii="宋体" w:hAnsi="宋体" w:eastAsia="宋体" w:cs="宋体"/>
          <w:color w:val="auto"/>
          <w:sz w:val="24"/>
          <w:szCs w:val="24"/>
          <w:highlight w:val="none"/>
          <w:lang w:val="en-US" w:eastAsia="zh-CN"/>
        </w:rPr>
        <w:t>竞争性磋商的</w:t>
      </w:r>
      <w:r>
        <w:rPr>
          <w:rFonts w:hint="eastAsia" w:ascii="宋体" w:hAnsi="宋体" w:eastAsia="宋体" w:cs="宋体"/>
          <w:color w:val="auto"/>
          <w:sz w:val="24"/>
          <w:szCs w:val="24"/>
          <w:highlight w:val="none"/>
        </w:rPr>
        <w:t>方式，确定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有限公司（以下简称乙方）承担该项目的委托业务：</w:t>
      </w:r>
      <w:r>
        <w:rPr>
          <w:rFonts w:hint="eastAsia" w:ascii="宋体" w:hAnsi="宋体" w:eastAsia="宋体" w:cs="宋体"/>
          <w:color w:val="auto"/>
          <w:sz w:val="24"/>
          <w:szCs w:val="24"/>
          <w:highlight w:val="none"/>
          <w:lang w:val="en-US" w:eastAsia="zh-CN"/>
        </w:rPr>
        <w:t>2026年县级地质灾害风险预警系统建设</w:t>
      </w:r>
      <w:r>
        <w:rPr>
          <w:rFonts w:hint="eastAsia" w:ascii="宋体" w:hAnsi="宋体" w:eastAsia="宋体" w:cs="宋体"/>
          <w:color w:val="auto"/>
          <w:sz w:val="24"/>
          <w:szCs w:val="24"/>
          <w:highlight w:val="none"/>
        </w:rPr>
        <w:t>。根据《中华人民共和国民法典》等法律有关规定，双方遵循平等、自愿、公平和诚实守信的原则，就开展此委托业务工作及有关事项协商一致，共同达成如下协议：</w:t>
      </w:r>
    </w:p>
    <w:p w14:paraId="73B4E4A7">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第一条 委托业务名称及服务期限</w:t>
      </w:r>
    </w:p>
    <w:p w14:paraId="453A2D30">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 委托业务名称</w:t>
      </w:r>
    </w:p>
    <w:p w14:paraId="5CA6A655">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bidi="ar"/>
        </w:rPr>
        <w:t>2026年县级地质灾害风险预警系统建设。</w:t>
      </w:r>
    </w:p>
    <w:p w14:paraId="440B730F">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 服务期限</w:t>
      </w:r>
    </w:p>
    <w:p w14:paraId="2B5D2F77">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自本合同签订之日起一个自然年。</w:t>
      </w:r>
    </w:p>
    <w:p w14:paraId="3A59D3BF">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 工作区域</w:t>
      </w:r>
    </w:p>
    <w:p w14:paraId="31A23DF7">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w:t>
      </w:r>
      <w:r>
        <w:rPr>
          <w:rFonts w:hint="eastAsia" w:ascii="宋体" w:hAnsi="宋体" w:eastAsia="宋体" w:cs="宋体"/>
          <w:color w:val="auto"/>
          <w:sz w:val="24"/>
          <w:szCs w:val="24"/>
          <w:highlight w:val="none"/>
        </w:rPr>
        <w:t>省</w:t>
      </w:r>
      <w:r>
        <w:rPr>
          <w:rFonts w:hint="eastAsia" w:ascii="宋体" w:hAnsi="宋体" w:eastAsia="宋体" w:cs="宋体"/>
          <w:color w:val="auto"/>
          <w:sz w:val="24"/>
          <w:szCs w:val="24"/>
          <w:highlight w:val="none"/>
          <w:lang w:val="en-US" w:eastAsia="zh-CN"/>
        </w:rPr>
        <w:t>内</w:t>
      </w:r>
      <w:r>
        <w:rPr>
          <w:rFonts w:hint="eastAsia" w:ascii="宋体" w:hAnsi="宋体" w:eastAsia="宋体" w:cs="宋体"/>
          <w:color w:val="auto"/>
          <w:sz w:val="24"/>
          <w:szCs w:val="24"/>
          <w:highlight w:val="none"/>
        </w:rPr>
        <w:t>。</w:t>
      </w:r>
    </w:p>
    <w:p w14:paraId="08D41E77">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工作内容和技术要求</w:t>
      </w:r>
    </w:p>
    <w:p w14:paraId="245DD8D4">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bookmarkStart w:id="0" w:name="OLE_LINK3"/>
      <w:r>
        <w:rPr>
          <w:rFonts w:hint="eastAsia" w:ascii="宋体" w:hAnsi="宋体" w:eastAsia="宋体" w:cs="宋体"/>
          <w:b/>
          <w:bCs/>
          <w:color w:val="auto"/>
          <w:sz w:val="24"/>
          <w:szCs w:val="24"/>
          <w:highlight w:val="none"/>
        </w:rPr>
        <w:t>2.1 乙方的工作内容</w:t>
      </w:r>
    </w:p>
    <w:p w14:paraId="2AE6C2E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展91个县区气象预警产品制式图、预报降雨制式图、累计降雨制式图、激发雨量制式图定制化制作并内置于信息系统中，并按照基于累计雨量+预报雨量+易发区预警模型，开发县级区域风险预警模型，实现覆盖全省所有县区的地质灾害县级气象风险预警信息系统的定制化开发；</w:t>
      </w:r>
    </w:p>
    <w:p w14:paraId="5F580B9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2.开发省市县气象风险预警联动会商模块，实现气象风险预警多级同步会商。</w:t>
      </w:r>
    </w:p>
    <w:p w14:paraId="47D3415E">
      <w:pPr>
        <w:pStyle w:val="4"/>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技术要求</w:t>
      </w:r>
    </w:p>
    <w:p w14:paraId="155CFE7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1.县级预警系统运行稳定、响应及时，无卡顿、无宕机，数据计算准确可靠。</w:t>
      </w:r>
    </w:p>
    <w:p w14:paraId="788FC8E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2.模型算法、计算逻辑、界面展示优化符合最新研究成果与业务规范，界面友好、操作便捷。</w:t>
      </w:r>
    </w:p>
    <w:p w14:paraId="19499B8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3.系统故障24小时内响应处置，提供常态化技术支持，保障降水期预警工作不间断。</w:t>
      </w:r>
    </w:p>
    <w:p w14:paraId="3D79CB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4.符合网络安全、等级保护及地质灾害风险预警相关技术标准规范。</w:t>
      </w:r>
    </w:p>
    <w:bookmarkEnd w:id="0"/>
    <w:p w14:paraId="1E8D2EC2">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双方责任与义务</w:t>
      </w:r>
    </w:p>
    <w:p w14:paraId="185590EC">
      <w:pPr>
        <w:pStyle w:val="9"/>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3.1 甲方责任及义务</w:t>
      </w:r>
    </w:p>
    <w:p w14:paraId="13BEAA7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A861D1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（2）根据本合同规定，按时向乙方支付应付服务费用。</w:t>
      </w:r>
    </w:p>
    <w:p w14:paraId="28C3616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（3）国家法律法规所规定的由甲方承担的其他责任。</w:t>
      </w:r>
    </w:p>
    <w:p w14:paraId="30F1B9CF">
      <w:pPr>
        <w:pStyle w:val="9"/>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3.2 乙方责任及义务</w:t>
      </w:r>
    </w:p>
    <w:p w14:paraId="03358CA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bookmarkStart w:id="1" w:name="OLE_LINK5"/>
      <w:r>
        <w:rPr>
          <w:rFonts w:hint="eastAsia" w:ascii="宋体" w:hAnsi="宋体" w:eastAsia="宋体" w:cs="宋体"/>
          <w:color w:val="auto"/>
          <w:sz w:val="24"/>
          <w:szCs w:val="24"/>
          <w:highlight w:val="none"/>
        </w:rPr>
        <w:t>（1）按照合同约定的时限和要求完成研发工作。</w:t>
      </w:r>
    </w:p>
    <w:p w14:paraId="2AD87B06">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按需求清单完成平台功能开发，确保功能完整且符合技术规范。</w:t>
      </w:r>
    </w:p>
    <w:p w14:paraId="5D9496E6">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）及时向甲方通告本项目服务范围内有关重大事项，配合甲方处理有关</w:t>
      </w:r>
    </w:p>
    <w:p w14:paraId="563359D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问题。</w:t>
      </w:r>
    </w:p>
    <w:p w14:paraId="63E79E16">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sz w:val="24"/>
          <w:szCs w:val="24"/>
          <w:highlight w:val="none"/>
        </w:rPr>
        <w:t>接受项目行业管理部门及政府有关部门的指导，接受甲方的监督。</w:t>
      </w:r>
    </w:p>
    <w:p w14:paraId="0DC02ED0">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）协助甲方开展培训，提供系统操作培训，确保甲方人员能独立使用新增功能。驻场开发期间(至少1名技术人员)解决紧急问题。</w:t>
      </w:r>
    </w:p>
    <w:p w14:paraId="59C8FC9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）国家法律法规所规定由乙方承担的其他责任。</w:t>
      </w:r>
    </w:p>
    <w:p w14:paraId="6A95336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）乙方应确保系统稳定运行，故障响应时间不得超过24小时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提交完整的系统操作手册、API接口文档及全部源代码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积极配合甲方完成项目验收工作，并提供后续升级建议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对系统中的敏感数据必须进行加密处理，防止数据泄露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建立定期数据库备份机制。</w:t>
      </w:r>
      <w:bookmarkEnd w:id="1"/>
    </w:p>
    <w:p w14:paraId="5DB73B70">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提交成果与项目验收</w:t>
      </w:r>
    </w:p>
    <w:p w14:paraId="25225259">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（一）提交成果</w:t>
      </w:r>
    </w:p>
    <w:p w14:paraId="1D47D2CC">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1.合同签订后30个工作日内提交《2026年县级地质灾害风险预警能力提升实施方案》</w:t>
      </w:r>
      <w:r>
        <w:rPr>
          <w:rFonts w:hint="eastAsia" w:asciiTheme="minorEastAsia" w:hAnsiTheme="minorEastAsia" w:eastAsiaTheme="minorEastAsia" w:cstheme="minorEastAsia"/>
          <w:color w:val="auto"/>
          <w:sz w:val="24"/>
          <w:szCs w:val="24"/>
          <w:highlight w:val="none"/>
          <w:lang w:eastAsia="zh-CN"/>
        </w:rPr>
        <w:t>；</w:t>
      </w:r>
    </w:p>
    <w:p w14:paraId="1138DA8B">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2.2026年12月前提交《2026年县级地质灾害风险预警能力提升报告》</w:t>
      </w:r>
      <w:r>
        <w:rPr>
          <w:rFonts w:hint="eastAsia" w:asciiTheme="minorEastAsia" w:hAnsiTheme="minorEastAsia" w:eastAsiaTheme="minorEastAsia" w:cstheme="minorEastAsia"/>
          <w:color w:val="auto"/>
          <w:sz w:val="24"/>
          <w:szCs w:val="24"/>
          <w:highlight w:val="none"/>
          <w:lang w:eastAsia="zh-CN"/>
        </w:rPr>
        <w:t>；</w:t>
      </w:r>
    </w:p>
    <w:p w14:paraId="7A835B33">
      <w:pPr>
        <w:keepNext w:val="0"/>
        <w:keepLines w:val="0"/>
        <w:pageBreakBefore w:val="0"/>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3.提交用户手册、系统源代码、测试报告、验收资料等全套成果。</w:t>
      </w:r>
    </w:p>
    <w:p w14:paraId="56C7DDA6">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（二）项目验收</w:t>
      </w:r>
    </w:p>
    <w:p w14:paraId="685EA482">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1.乙方向甲方提交验收申请及完整成果资料。</w:t>
      </w:r>
    </w:p>
    <w:p w14:paraId="5FA83070">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2.甲方收到验收申请后15个工作日内组织验收，验收费用由乙方承担。</w:t>
      </w:r>
    </w:p>
    <w:p w14:paraId="76ACE007">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3.验收内容：系统运行稳定性、功能完整性、资料齐全性，全部达标视为验收合格。</w:t>
      </w:r>
    </w:p>
    <w:p w14:paraId="74EB5FF9">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 服务费用及付款方式</w:t>
      </w:r>
    </w:p>
    <w:p w14:paraId="5106059A">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bookmarkStart w:id="2" w:name="OLE_LINK4"/>
      <w:r>
        <w:rPr>
          <w:rFonts w:hint="eastAsia" w:ascii="宋体" w:hAnsi="宋体" w:eastAsia="宋体" w:cs="宋体"/>
          <w:b/>
          <w:bCs/>
          <w:color w:val="auto"/>
          <w:sz w:val="24"/>
          <w:szCs w:val="24"/>
          <w:highlight w:val="none"/>
        </w:rPr>
        <w:t>5.1 合同价款（含税价）</w:t>
      </w:r>
    </w:p>
    <w:p w14:paraId="5759E34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合同金额为：¥</w:t>
      </w:r>
      <w:r>
        <w:rPr>
          <w:rFonts w:hint="eastAsia" w:ascii="宋体" w:hAnsi="宋体" w:eastAsia="宋体" w:cs="宋体"/>
          <w:color w:val="auto"/>
          <w:sz w:val="24"/>
          <w:szCs w:val="24"/>
          <w:highlight w:val="none"/>
          <w:u w:val="single"/>
          <w:lang w:val="en-US" w:eastAsia="zh-CN"/>
        </w:rPr>
        <w:t xml:space="preserve">            元整   </w:t>
      </w: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481F05D">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5.2 支付方法</w:t>
      </w:r>
    </w:p>
    <w:bookmarkEnd w:id="2"/>
    <w:p w14:paraId="62EA16FD">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1.合同签订15日内，乙方向甲方支付合同总金额5%的履约保证金并提交合同全额增值税发票后，甲方向乙方约定账户支付合同总金额60%的进度款。</w:t>
      </w:r>
    </w:p>
    <w:p w14:paraId="35019D3F">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2.乙方提交的实施方案经甲方组织验收通过后20日内，甲方向乙方约定的账户支付合同总金额40%的进度款。</w:t>
      </w:r>
    </w:p>
    <w:p w14:paraId="29A9A069">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3.履约保证金：服务期满且经甲方验收合格后30日内，甲方将履约保证金无息全额退还。</w:t>
      </w:r>
    </w:p>
    <w:p w14:paraId="45B9D293">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5.3 支付方式</w:t>
      </w:r>
    </w:p>
    <w:p w14:paraId="49BBDB1C">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该工作费用以银行转账方式支付。</w:t>
      </w:r>
    </w:p>
    <w:p w14:paraId="231B4B7D">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第六条 保密条款及知识产权</w:t>
      </w:r>
    </w:p>
    <w:p w14:paraId="38533067">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6.1保密义务</w:t>
      </w:r>
    </w:p>
    <w:p w14:paraId="39B97D6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应对本合同履行过程中获知的对方所有有形及无形信息资料（包括但不限于书面文件、电子邮件、数据资料等）中的商业秘密或国家秘密承担保密责任。该保密义务自信息获取之日起生效，不因本合同的变更、终止或解除而失效。​</w:t>
      </w:r>
    </w:p>
    <w:p w14:paraId="43B9F4EC">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6.2保密信息使用限制</w:t>
      </w:r>
    </w:p>
    <w:p w14:paraId="4852175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未经甲方书面同意，乙方不得将保密信息用于本合同以外的任何目的，亦不得向任何第三方披露、转让、许可使用该保密信息的全部或部分内容。​​</w:t>
      </w:r>
    </w:p>
    <w:p w14:paraId="69F39BD3">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6.3知识产权</w:t>
      </w:r>
    </w:p>
    <w:p w14:paraId="33E815E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(1)甲乙双方保证在履行合同过程中不侵犯对方及第三方的知识产权。</w:t>
      </w:r>
    </w:p>
    <w:p w14:paraId="7D2A805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(2)项目实施过程中形成的知识产权及著作权归甲方所有。本合同生效前已经存在且归属于乙方的知识产权，仍归乙方所有。</w:t>
      </w:r>
    </w:p>
    <w:p w14:paraId="6FFB008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(3)未经甲方同意，乙方不得公开发表与本项目有关的，包括但不限于论文、著作等。</w:t>
      </w:r>
    </w:p>
    <w:p w14:paraId="7637338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(4)技术性应用类业务，包括但不限于地质调查科技支撑、数据与服务，其</w:t>
      </w:r>
    </w:p>
    <w:p w14:paraId="7553CBE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知识产权属甲方，乙方可以为实现合同目的而复制、使用此类文件，但不能用于与合同无关的其他事项。未经甲方书面同意，乙方不得为了合同以外的目的而复制、使用上述文件或将之提供给任何第三方。</w:t>
      </w:r>
    </w:p>
    <w:p w14:paraId="2946A31A">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 违约责任</w:t>
      </w:r>
    </w:p>
    <w:p w14:paraId="01618777">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7.1</w:t>
      </w:r>
      <w:r>
        <w:rPr>
          <w:rFonts w:hint="eastAsia" w:hAnsi="宋体" w:eastAsia="宋体"/>
          <w:color w:val="auto"/>
          <w:kern w:val="2"/>
          <w:sz w:val="24"/>
          <w:szCs w:val="24"/>
          <w:highlight w:val="none"/>
        </w:rPr>
        <w:t>乙方未按约定时间完成功能开发或成果提交，每逾期1个工作日，按合同总额1‰支付违约金；逾期超30日，甲方有权解除合同。</w:t>
      </w:r>
    </w:p>
    <w:p w14:paraId="0476B087">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2功能不达标、系统不稳定，乙方应15日内完成整改；整改后仍不满足要求，甲方可解约，乙方退还已付款，并承担合同总额15%违约金。</w:t>
      </w:r>
    </w:p>
    <w:p w14:paraId="14D9A76E">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3因乙方原因造成数据丢失、系统瘫痪、安全事件，由乙方承担全部责任与损失。</w:t>
      </w:r>
    </w:p>
    <w:p w14:paraId="0897AB84">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4不可抗力导致履约延迟，双方互不追责，期限相应顺延。</w:t>
      </w:r>
    </w:p>
    <w:p w14:paraId="747251A0">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5按照《中华人民共和国民法典》中的相关条款执行。</w:t>
      </w:r>
    </w:p>
    <w:p w14:paraId="39AFF3A5">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int="eastAsia" w:hAnsi="宋体" w:eastAsia="宋体"/>
          <w:color w:val="auto"/>
          <w:kern w:val="2"/>
          <w:sz w:val="24"/>
          <w:szCs w:val="24"/>
          <w:highlight w:val="none"/>
          <w:lang w:val="en-US" w:eastAsia="zh-CN"/>
        </w:rPr>
        <w:t>7.</w:t>
      </w:r>
      <w:r>
        <w:rPr>
          <w:rFonts w:hint="eastAsia" w:hAnsi="宋体" w:eastAsia="宋体"/>
          <w:color w:val="auto"/>
          <w:kern w:val="2"/>
          <w:sz w:val="24"/>
          <w:szCs w:val="24"/>
          <w:highlight w:val="none"/>
        </w:rPr>
        <w:t>6中标人未按合同要求提供服务或服务质量不能满足技术要求，且在规定时间内未达到采购要求及合同约定的，采购人有权终止合同，同时报请监管部门对其违约行为进行追究</w:t>
      </w:r>
      <w:r>
        <w:rPr>
          <w:rFonts w:hAnsi="宋体" w:eastAsia="宋体"/>
          <w:color w:val="auto"/>
          <w:kern w:val="2"/>
          <w:sz w:val="24"/>
          <w:szCs w:val="24"/>
          <w:highlight w:val="none"/>
        </w:rPr>
        <w:t>。</w:t>
      </w:r>
    </w:p>
    <w:p w14:paraId="46F020C9">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 免责条件</w:t>
      </w:r>
    </w:p>
    <w:p w14:paraId="072A47C0">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8.1 发生不可抗力造成延误，合同履行期限应自动延长或解除合同，双方无需为此承担违约责任。</w:t>
      </w:r>
    </w:p>
    <w:p w14:paraId="1555CBD4">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8.2 提出受不可抗力影响的一方应及时书面通知对方，并且在随后的15日内向对方提供不可抗力发生和持续期间的充分证据。</w:t>
      </w:r>
    </w:p>
    <w:p w14:paraId="6A33BFD5">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8.3 发生不可抗力的，双方应立即进行评审，寻求合理的解决方案，并且要尽一切合理努力将不可抗力造成的损失降低到最低程度。</w:t>
      </w:r>
    </w:p>
    <w:p w14:paraId="03177D2C">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通知和送达</w:t>
      </w:r>
    </w:p>
    <w:p w14:paraId="7F346C50">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9.1 甲乙双方因履行本合同而相互发出或者提供的所有通知、文件、资料，均以后面列明的住所地送达，一方如果迁址或者变更电话，应当书面通知对方。</w:t>
      </w:r>
    </w:p>
    <w:p w14:paraId="20493447">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9.2 通过传真方式的，在发出传真时视为送达；以邮寄方式的，挂号寄出或者投邮收到当日视为送达；以电子邮箱方式的，邮件发送成功并通知对方后视为送达。</w:t>
      </w:r>
    </w:p>
    <w:p w14:paraId="2FF4BEB2">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第十条 其他</w:t>
      </w:r>
    </w:p>
    <w:p w14:paraId="6DB932FB">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10.1 本合同</w:t>
      </w:r>
      <w:r>
        <w:rPr>
          <w:rFonts w:hint="eastAsia" w:hAnsi="宋体" w:eastAsia="宋体"/>
          <w:color w:val="auto"/>
          <w:kern w:val="2"/>
          <w:sz w:val="24"/>
          <w:szCs w:val="24"/>
          <w:highlight w:val="none"/>
          <w:u w:val="single"/>
          <w:lang w:val="en-US" w:eastAsia="zh-CN"/>
        </w:rPr>
        <w:t xml:space="preserve">  </w:t>
      </w:r>
      <w:r>
        <w:rPr>
          <w:rFonts w:hint="eastAsia" w:hAnsi="宋体" w:eastAsia="宋体"/>
          <w:color w:val="auto"/>
          <w:kern w:val="2"/>
          <w:sz w:val="24"/>
          <w:szCs w:val="24"/>
          <w:highlight w:val="none"/>
          <w:u w:val="none"/>
          <w:lang w:val="en-US" w:eastAsia="zh-CN"/>
        </w:rPr>
        <w:t>式</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份，甲乙双方</w:t>
      </w:r>
      <w:r>
        <w:rPr>
          <w:rFonts w:hint="eastAsia" w:hAnsi="宋体" w:eastAsia="宋体"/>
          <w:color w:val="auto"/>
          <w:kern w:val="2"/>
          <w:sz w:val="24"/>
          <w:szCs w:val="24"/>
          <w:highlight w:val="none"/>
          <w:lang w:val="en-US" w:eastAsia="zh-CN"/>
        </w:rPr>
        <w:t>各持</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份，具有同等法律效力。</w:t>
      </w:r>
    </w:p>
    <w:p w14:paraId="16694912">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10.2 本合同有效期自签订之日起一年。</w:t>
      </w:r>
    </w:p>
    <w:p w14:paraId="75FB56D9">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10.3 甲乙双方应严格遵守国家、行业主管部门有关法律法规和党风廉政建设的各项规定，严格执行合同文件，自觉按合同办事。如发现对方在业务活动中可能有违规、违纪、违法行为的，应及时提醒对方。情节严重的，应向其上级主管部门或纪检监察部门举报。</w:t>
      </w:r>
    </w:p>
    <w:p w14:paraId="31AD2A4E">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10.4 甲乙双方如果发生争议，应当友好协商解决。如协商不成，任何一方均有权向原告所在地人民法院提起诉讼。</w:t>
      </w:r>
    </w:p>
    <w:p w14:paraId="7DFB1AAF">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10.5 依照法律规定或者甲乙双方经协商同意，可以变更或者解除本合同。</w:t>
      </w:r>
    </w:p>
    <w:p w14:paraId="5B68170B">
      <w:pPr>
        <w:pStyle w:val="9"/>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10.6 本合同未尽事宜，经合同双方协商签订补充合同。补充合同不得与国家有关文件规定相冲突。补充合同与本合同具有同等法律效力。</w:t>
      </w:r>
    </w:p>
    <w:p w14:paraId="40774A5B">
      <w:pPr>
        <w:keepNext w:val="0"/>
        <w:keepLines w:val="0"/>
        <w:pageBreakBefore w:val="0"/>
        <w:kinsoku/>
        <w:wordWrap/>
        <w:overflowPunct/>
        <w:topLinePunct w:val="0"/>
        <w:autoSpaceDE/>
        <w:autoSpaceDN/>
        <w:bidi w:val="0"/>
        <w:spacing w:line="360" w:lineRule="auto"/>
        <w:ind w:firstLine="562" w:firstLineChars="200"/>
        <w:textAlignment w:val="auto"/>
        <w:rPr>
          <w:rFonts w:hint="eastAsia" w:ascii="宋体" w:hAnsi="宋体" w:eastAsia="宋体" w:cs="宋体"/>
          <w:b/>
          <w:bCs/>
          <w:color w:val="auto"/>
          <w:sz w:val="28"/>
          <w:szCs w:val="28"/>
          <w:highlight w:val="none"/>
          <w:u w:val="single"/>
        </w:rPr>
        <w:sectPr>
          <w:footerReference r:id="rId4" w:type="default"/>
          <w:pgSz w:w="11906" w:h="16838"/>
          <w:pgMar w:top="1440" w:right="1803" w:bottom="1440" w:left="1803" w:header="851" w:footer="992" w:gutter="0"/>
          <w:pgNumType w:fmt="decimal" w:start="1"/>
          <w:cols w:space="425" w:num="1"/>
          <w:docGrid w:type="lines" w:linePitch="312" w:charSpace="0"/>
        </w:sectPr>
      </w:pPr>
      <w:r>
        <w:rPr>
          <w:rFonts w:hint="eastAsia" w:ascii="宋体" w:hAnsi="宋体" w:eastAsia="宋体" w:cs="宋体"/>
          <w:b/>
          <w:bCs/>
          <w:color w:val="auto"/>
          <w:sz w:val="28"/>
          <w:szCs w:val="28"/>
          <w:highlight w:val="none"/>
          <w:u w:val="single"/>
        </w:rPr>
        <w:t>（以下无正文，为本合同签字盖章部分）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896"/>
        <w:gridCol w:w="1302"/>
        <w:gridCol w:w="3073"/>
      </w:tblGrid>
      <w:tr w14:paraId="6EC3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47" w:type="dxa"/>
            <w:gridSpan w:val="2"/>
            <w:vAlign w:val="center"/>
          </w:tcPr>
          <w:p w14:paraId="7D2F9F71">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tc>
        <w:tc>
          <w:tcPr>
            <w:tcW w:w="4375" w:type="dxa"/>
            <w:gridSpan w:val="2"/>
            <w:vAlign w:val="center"/>
          </w:tcPr>
          <w:p w14:paraId="20A93815">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tc>
      </w:tr>
      <w:tr w14:paraId="422D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251" w:type="dxa"/>
            <w:vAlign w:val="center"/>
          </w:tcPr>
          <w:p w14:paraId="166F898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2896" w:type="dxa"/>
            <w:vAlign w:val="center"/>
          </w:tcPr>
          <w:p w14:paraId="609BB660">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陕西省地质环境监测总站</w:t>
            </w:r>
          </w:p>
          <w:p w14:paraId="5B84ECAC">
            <w:pPr>
              <w:pStyle w:val="3"/>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（陕西省地质灾害中心）</w:t>
            </w:r>
          </w:p>
        </w:tc>
        <w:tc>
          <w:tcPr>
            <w:tcW w:w="1302" w:type="dxa"/>
            <w:vAlign w:val="center"/>
          </w:tcPr>
          <w:p w14:paraId="61E89AA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3073" w:type="dxa"/>
            <w:vAlign w:val="center"/>
          </w:tcPr>
          <w:p w14:paraId="17804E76">
            <w:pPr>
              <w:spacing w:line="240" w:lineRule="auto"/>
              <w:ind w:firstLine="0" w:firstLineChars="0"/>
              <w:rPr>
                <w:rFonts w:hint="eastAsia" w:ascii="宋体" w:hAnsi="宋体" w:eastAsia="宋体" w:cs="宋体"/>
                <w:color w:val="auto"/>
                <w:sz w:val="24"/>
                <w:szCs w:val="21"/>
                <w:highlight w:val="none"/>
              </w:rPr>
            </w:pPr>
          </w:p>
        </w:tc>
      </w:tr>
      <w:tr w14:paraId="0471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jc w:val="center"/>
        </w:trPr>
        <w:tc>
          <w:tcPr>
            <w:tcW w:w="1251" w:type="dxa"/>
            <w:vAlign w:val="center"/>
          </w:tcPr>
          <w:p w14:paraId="7CA8716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2896" w:type="dxa"/>
            <w:vAlign w:val="center"/>
          </w:tcPr>
          <w:p w14:paraId="5EDDE961">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49BE66A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3073" w:type="dxa"/>
            <w:vAlign w:val="center"/>
          </w:tcPr>
          <w:p w14:paraId="6C8C615C">
            <w:pPr>
              <w:spacing w:line="240" w:lineRule="auto"/>
              <w:ind w:firstLine="480"/>
              <w:jc w:val="center"/>
              <w:rPr>
                <w:rFonts w:hint="eastAsia" w:ascii="宋体" w:hAnsi="宋体" w:eastAsia="宋体" w:cs="宋体"/>
                <w:color w:val="auto"/>
                <w:sz w:val="24"/>
                <w:szCs w:val="21"/>
                <w:highlight w:val="none"/>
              </w:rPr>
            </w:pPr>
          </w:p>
        </w:tc>
      </w:tr>
      <w:tr w14:paraId="20A3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251" w:type="dxa"/>
            <w:vAlign w:val="center"/>
          </w:tcPr>
          <w:p w14:paraId="4EE0E87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2896" w:type="dxa"/>
            <w:vAlign w:val="center"/>
          </w:tcPr>
          <w:p w14:paraId="005FDE81">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7E8F3B80">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3073" w:type="dxa"/>
            <w:vAlign w:val="center"/>
          </w:tcPr>
          <w:p w14:paraId="2B8472F8">
            <w:pPr>
              <w:spacing w:line="240" w:lineRule="auto"/>
              <w:ind w:firstLine="480"/>
              <w:jc w:val="center"/>
              <w:rPr>
                <w:rFonts w:hint="eastAsia" w:ascii="宋体" w:hAnsi="宋体" w:eastAsia="宋体" w:cs="宋体"/>
                <w:color w:val="auto"/>
                <w:sz w:val="24"/>
                <w:szCs w:val="21"/>
                <w:highlight w:val="none"/>
              </w:rPr>
            </w:pPr>
          </w:p>
        </w:tc>
      </w:tr>
      <w:tr w14:paraId="2722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1251" w:type="dxa"/>
            <w:vAlign w:val="center"/>
          </w:tcPr>
          <w:p w14:paraId="6589A05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2896" w:type="dxa"/>
            <w:vAlign w:val="center"/>
          </w:tcPr>
          <w:p w14:paraId="7E553774">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西安市雁塔北路100号</w:t>
            </w:r>
          </w:p>
        </w:tc>
        <w:tc>
          <w:tcPr>
            <w:tcW w:w="1302" w:type="dxa"/>
            <w:vAlign w:val="center"/>
          </w:tcPr>
          <w:p w14:paraId="2577AE11">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3073" w:type="dxa"/>
            <w:vAlign w:val="center"/>
          </w:tcPr>
          <w:p w14:paraId="6CEB1A9C">
            <w:pPr>
              <w:spacing w:line="240" w:lineRule="auto"/>
              <w:ind w:firstLine="480"/>
              <w:jc w:val="center"/>
              <w:rPr>
                <w:rFonts w:hint="eastAsia" w:ascii="宋体" w:hAnsi="宋体" w:eastAsia="宋体" w:cs="宋体"/>
                <w:color w:val="auto"/>
                <w:sz w:val="24"/>
                <w:szCs w:val="21"/>
                <w:highlight w:val="none"/>
              </w:rPr>
            </w:pPr>
          </w:p>
        </w:tc>
      </w:tr>
      <w:tr w14:paraId="3C12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4D72860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3029D445">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2896" w:type="dxa"/>
            <w:vAlign w:val="center"/>
          </w:tcPr>
          <w:p w14:paraId="6E27E4DD">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029-87851090</w:t>
            </w:r>
          </w:p>
        </w:tc>
        <w:tc>
          <w:tcPr>
            <w:tcW w:w="1302" w:type="dxa"/>
            <w:vAlign w:val="center"/>
          </w:tcPr>
          <w:p w14:paraId="2EA2CF1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62D99403">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3073" w:type="dxa"/>
            <w:vAlign w:val="center"/>
          </w:tcPr>
          <w:p w14:paraId="0FA1F018">
            <w:pPr>
              <w:spacing w:line="240" w:lineRule="auto"/>
              <w:ind w:firstLine="0" w:firstLineChars="0"/>
              <w:jc w:val="center"/>
              <w:rPr>
                <w:rFonts w:hint="eastAsia" w:ascii="宋体" w:hAnsi="宋体" w:eastAsia="宋体" w:cs="宋体"/>
                <w:color w:val="auto"/>
                <w:sz w:val="24"/>
                <w:szCs w:val="21"/>
                <w:highlight w:val="none"/>
              </w:rPr>
            </w:pPr>
          </w:p>
        </w:tc>
      </w:tr>
      <w:tr w14:paraId="2E71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1251" w:type="dxa"/>
            <w:vAlign w:val="center"/>
          </w:tcPr>
          <w:p w14:paraId="1FF9FFF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2896" w:type="dxa"/>
            <w:vAlign w:val="center"/>
          </w:tcPr>
          <w:p w14:paraId="70AB4E50">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建行西安和平门支行</w:t>
            </w:r>
          </w:p>
        </w:tc>
        <w:tc>
          <w:tcPr>
            <w:tcW w:w="1302" w:type="dxa"/>
            <w:vAlign w:val="center"/>
          </w:tcPr>
          <w:p w14:paraId="4CD1689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3073" w:type="dxa"/>
            <w:vAlign w:val="center"/>
          </w:tcPr>
          <w:p w14:paraId="4F089FDB">
            <w:pPr>
              <w:spacing w:line="240" w:lineRule="auto"/>
              <w:ind w:firstLine="0" w:firstLineChars="0"/>
              <w:rPr>
                <w:rFonts w:hint="eastAsia" w:ascii="宋体" w:hAnsi="宋体" w:eastAsia="宋体" w:cs="宋体"/>
                <w:color w:val="auto"/>
                <w:sz w:val="24"/>
                <w:szCs w:val="21"/>
                <w:highlight w:val="none"/>
              </w:rPr>
            </w:pPr>
          </w:p>
        </w:tc>
      </w:tr>
      <w:tr w14:paraId="0AE3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09BF26CA">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2896" w:type="dxa"/>
            <w:vAlign w:val="center"/>
          </w:tcPr>
          <w:p w14:paraId="084D887F">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61001763700052501033</w:t>
            </w:r>
          </w:p>
        </w:tc>
        <w:tc>
          <w:tcPr>
            <w:tcW w:w="1302" w:type="dxa"/>
            <w:vAlign w:val="center"/>
          </w:tcPr>
          <w:p w14:paraId="64A86661">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3073" w:type="dxa"/>
            <w:vAlign w:val="center"/>
          </w:tcPr>
          <w:p w14:paraId="7B52FB40">
            <w:pPr>
              <w:spacing w:line="240" w:lineRule="auto"/>
              <w:ind w:firstLine="0" w:firstLineChars="0"/>
              <w:jc w:val="center"/>
              <w:rPr>
                <w:rFonts w:hint="eastAsia" w:ascii="宋体" w:hAnsi="宋体" w:eastAsia="宋体" w:cs="宋体"/>
                <w:color w:val="auto"/>
                <w:sz w:val="24"/>
                <w:szCs w:val="21"/>
                <w:highlight w:val="none"/>
              </w:rPr>
            </w:pPr>
          </w:p>
        </w:tc>
      </w:tr>
      <w:tr w14:paraId="7041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53CB8437">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2896" w:type="dxa"/>
            <w:vAlign w:val="center"/>
          </w:tcPr>
          <w:p w14:paraId="3B160E02">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c>
          <w:tcPr>
            <w:tcW w:w="1302" w:type="dxa"/>
            <w:vAlign w:val="center"/>
          </w:tcPr>
          <w:p w14:paraId="1422E87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3073" w:type="dxa"/>
            <w:vAlign w:val="center"/>
          </w:tcPr>
          <w:p w14:paraId="386A80C6">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r>
    </w:tbl>
    <w:p w14:paraId="11616A8C">
      <w:pPr>
        <w:rPr>
          <w:color w:val="auto"/>
          <w:highlight w:val="none"/>
        </w:rPr>
      </w:pPr>
    </w:p>
    <w:p w14:paraId="05F4C04D">
      <w:pPr>
        <w:pStyle w:val="8"/>
        <w:rPr>
          <w:rFonts w:hint="eastAsia"/>
          <w:color w:val="auto"/>
          <w:highlight w:val="none"/>
          <w:lang w:val="en-US" w:eastAsia="zh-Hans"/>
        </w:rPr>
      </w:pPr>
      <w:r>
        <w:rPr>
          <w:rFonts w:ascii="仿宋_GB2312" w:hAnsi="仿宋_GB2312" w:eastAsia="仿宋_GB2312" w:cs="仿宋_GB2312"/>
          <w:color w:val="auto"/>
          <w:highlight w:val="none"/>
        </w:rPr>
        <w:br w:type="textWrapping"/>
      </w:r>
    </w:p>
    <w:p w14:paraId="482EDF7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59613">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C5A5B">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3B580">
                          <w:pPr>
                            <w:pStyle w:val="4"/>
                          </w:pPr>
                          <w:r>
                            <w:t xml:space="preserve">第 </w:t>
                          </w:r>
                          <w:r>
                            <w:fldChar w:fldCharType="begin"/>
                          </w:r>
                          <w:r>
                            <w:instrText xml:space="preserve"> PAGE  \* MERGEFORMAT </w:instrText>
                          </w:r>
                          <w:r>
                            <w:fldChar w:fldCharType="separate"/>
                          </w:r>
                          <w:r>
                            <w:t>33</w:t>
                          </w:r>
                          <w:r>
                            <w:fldChar w:fldCharType="end"/>
                          </w:r>
                          <w:r>
                            <w:t xml:space="preserve"> 页 共 </w:t>
                          </w:r>
                          <w:r>
                            <w:rPr>
                              <w:rFonts w:hint="eastAsia"/>
                              <w:lang w:val="en-US" w:eastAsia="zh-CN"/>
                            </w:rPr>
                            <w:t>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B3B580">
                    <w:pPr>
                      <w:pStyle w:val="4"/>
                    </w:pPr>
                    <w:r>
                      <w:t xml:space="preserve">第 </w:t>
                    </w:r>
                    <w:r>
                      <w:fldChar w:fldCharType="begin"/>
                    </w:r>
                    <w:r>
                      <w:instrText xml:space="preserve"> PAGE  \* MERGEFORMAT </w:instrText>
                    </w:r>
                    <w:r>
                      <w:fldChar w:fldCharType="separate"/>
                    </w:r>
                    <w:r>
                      <w:t>33</w:t>
                    </w:r>
                    <w:r>
                      <w:fldChar w:fldCharType="end"/>
                    </w:r>
                    <w:r>
                      <w:t xml:space="preserve"> 页 共 </w:t>
                    </w:r>
                    <w:r>
                      <w:rPr>
                        <w:rFonts w:hint="eastAsia"/>
                        <w:lang w:val="en-US" w:eastAsia="zh-CN"/>
                      </w:rPr>
                      <w:t>6</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E6197E"/>
    <w:rsid w:val="30E61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kern w:val="0"/>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空2格  1."/>
    <w:basedOn w:val="1"/>
    <w:qFormat/>
    <w:uiPriority w:val="0"/>
    <w:pPr>
      <w:adjustRightInd w:val="0"/>
      <w:ind w:firstLine="48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2026-07-08T09:43:00Z</dcterms:created>
  <dc:creator>刘菲</dc:creator>
  <cp:lastModifiedBy>刘菲</cp:lastModifiedBy>
  <dcterms:modified xsi:type="dcterms:W3CDTF">2026-07-08T09:44:14Z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67381F222AFE4D29A47F75F89464A42F_11</vt:lpwstr>
  </property>
  <property fmtid="{D5CDD505-2E9C-101B-9397-08002B2CF9AE}" pid="4" name="KSOTemplateDocerSaveRecord">
    <vt:lpwstr>eyJoZGlkIjoiNjBjMTUwMjhmNmI2ZmVlMTBkYzRmYzI5MTBmNTk5ODUiLCJ1c2VySWQiOiIzNzMwMTc5MDgifQ==</vt:lpwstr>
  </property>
</Properties>
</file>