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8C5FAE">
      <w:pPr>
        <w:pStyle w:val="5"/>
        <w:jc w:val="center"/>
        <w:outlineLvl w:val="1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b/>
          <w:sz w:val="36"/>
          <w:highlight w:val="none"/>
        </w:rPr>
        <w:t>招标项目技术、服务、商务及其他要求</w:t>
      </w:r>
    </w:p>
    <w:p w14:paraId="2C23B485">
      <w:pPr>
        <w:pStyle w:val="5"/>
        <w:spacing w:line="360" w:lineRule="auto"/>
        <w:ind w:firstLine="48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0103F9FE">
      <w:pPr>
        <w:pStyle w:val="5"/>
        <w:spacing w:line="360" w:lineRule="auto"/>
        <w:ind w:firstLine="48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798DF5EE">
      <w:pPr>
        <w:pStyle w:val="5"/>
        <w:spacing w:line="360" w:lineRule="auto"/>
        <w:outlineLvl w:val="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3.1采购项目概况</w:t>
      </w:r>
    </w:p>
    <w:p w14:paraId="5A45FA01">
      <w:pPr>
        <w:pStyle w:val="5"/>
        <w:spacing w:line="360" w:lineRule="auto"/>
        <w:ind w:firstLine="48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西安国家民用航天产业基地管理委员会机关办公区物业服务，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主要包含：保洁、保安、设施设备维修养护、会务服务等服务内容。</w:t>
      </w:r>
    </w:p>
    <w:p w14:paraId="4914CCFF">
      <w:pPr>
        <w:pStyle w:val="5"/>
        <w:spacing w:line="360" w:lineRule="auto"/>
        <w:outlineLvl w:val="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3.2服务内容及服务要求</w:t>
      </w:r>
    </w:p>
    <w:p w14:paraId="75A17F14">
      <w:pPr>
        <w:pStyle w:val="5"/>
        <w:spacing w:line="360" w:lineRule="auto"/>
        <w:outlineLvl w:val="3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3.2.1服务内容</w:t>
      </w:r>
    </w:p>
    <w:p w14:paraId="6654192A">
      <w:pPr>
        <w:pStyle w:val="5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采购包1：</w:t>
      </w:r>
    </w:p>
    <w:p w14:paraId="4C85FB7C">
      <w:pPr>
        <w:pStyle w:val="5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采购包预算金额（元）: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3,163,200.00</w:t>
      </w:r>
    </w:p>
    <w:p w14:paraId="77C6777E">
      <w:pPr>
        <w:pStyle w:val="5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采购包最高限价（元）: 3,163,200.00</w:t>
      </w:r>
    </w:p>
    <w:p w14:paraId="1259407E">
      <w:pPr>
        <w:pStyle w:val="5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供应商报价不允许超过标的金额</w:t>
      </w:r>
    </w:p>
    <w:p w14:paraId="21B7EC7E">
      <w:pPr>
        <w:pStyle w:val="5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（招单价的）供应商报价不允许超过标的单价</w:t>
      </w:r>
    </w:p>
    <w:tbl>
      <w:tblPr>
        <w:tblStyle w:val="3"/>
        <w:tblW w:w="8971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430"/>
        <w:gridCol w:w="890"/>
        <w:gridCol w:w="1620"/>
        <w:gridCol w:w="690"/>
        <w:gridCol w:w="760"/>
        <w:gridCol w:w="720"/>
        <w:gridCol w:w="720"/>
        <w:gridCol w:w="730"/>
        <w:gridCol w:w="760"/>
      </w:tblGrid>
      <w:tr w14:paraId="0B7728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</w:tcPr>
          <w:p w14:paraId="5A7FF554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30" w:type="dxa"/>
          </w:tcPr>
          <w:p w14:paraId="531B1CB7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890" w:type="dxa"/>
          </w:tcPr>
          <w:p w14:paraId="2FBBAF46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620" w:type="dxa"/>
          </w:tcPr>
          <w:p w14:paraId="13C30215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标的金额 （元）</w:t>
            </w:r>
          </w:p>
        </w:tc>
        <w:tc>
          <w:tcPr>
            <w:tcW w:w="690" w:type="dxa"/>
          </w:tcPr>
          <w:p w14:paraId="0F9D3A25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计量单位</w:t>
            </w:r>
          </w:p>
        </w:tc>
        <w:tc>
          <w:tcPr>
            <w:tcW w:w="760" w:type="dxa"/>
          </w:tcPr>
          <w:p w14:paraId="2E465299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所属行业</w:t>
            </w:r>
          </w:p>
        </w:tc>
        <w:tc>
          <w:tcPr>
            <w:tcW w:w="720" w:type="dxa"/>
          </w:tcPr>
          <w:p w14:paraId="48D10319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是否核心产品</w:t>
            </w:r>
          </w:p>
        </w:tc>
        <w:tc>
          <w:tcPr>
            <w:tcW w:w="720" w:type="dxa"/>
          </w:tcPr>
          <w:p w14:paraId="7DBA0141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是否允许进口产品</w:t>
            </w:r>
          </w:p>
        </w:tc>
        <w:tc>
          <w:tcPr>
            <w:tcW w:w="730" w:type="dxa"/>
          </w:tcPr>
          <w:p w14:paraId="5CA7C3DB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是否属于节能产品</w:t>
            </w:r>
          </w:p>
        </w:tc>
        <w:tc>
          <w:tcPr>
            <w:tcW w:w="760" w:type="dxa"/>
          </w:tcPr>
          <w:p w14:paraId="074F3B3F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是否属于环境标志产品</w:t>
            </w:r>
          </w:p>
        </w:tc>
      </w:tr>
      <w:tr w14:paraId="5C5B38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</w:tcPr>
          <w:p w14:paraId="20226E16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30" w:type="dxa"/>
          </w:tcPr>
          <w:p w14:paraId="0B188FB9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西安国家民用航天产业基地管理委员会机关办公区物业服务项目</w:t>
            </w:r>
          </w:p>
        </w:tc>
        <w:tc>
          <w:tcPr>
            <w:tcW w:w="890" w:type="dxa"/>
          </w:tcPr>
          <w:p w14:paraId="7B950ECA">
            <w:pPr>
              <w:pStyle w:val="5"/>
              <w:spacing w:line="240" w:lineRule="auto"/>
              <w:jc w:val="righ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1.00</w:t>
            </w:r>
          </w:p>
        </w:tc>
        <w:tc>
          <w:tcPr>
            <w:tcW w:w="1620" w:type="dxa"/>
          </w:tcPr>
          <w:p w14:paraId="5ADAA8F9">
            <w:pPr>
              <w:pStyle w:val="5"/>
              <w:spacing w:line="240" w:lineRule="auto"/>
              <w:jc w:val="righ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3,163,200.00</w:t>
            </w:r>
          </w:p>
        </w:tc>
        <w:tc>
          <w:tcPr>
            <w:tcW w:w="690" w:type="dxa"/>
          </w:tcPr>
          <w:p w14:paraId="5862A96C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年</w:t>
            </w:r>
          </w:p>
        </w:tc>
        <w:tc>
          <w:tcPr>
            <w:tcW w:w="760" w:type="dxa"/>
          </w:tcPr>
          <w:p w14:paraId="1652C479">
            <w:pPr>
              <w:pStyle w:val="5"/>
              <w:spacing w:line="240" w:lineRule="auto"/>
              <w:jc w:val="righ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物业管理</w:t>
            </w:r>
          </w:p>
        </w:tc>
        <w:tc>
          <w:tcPr>
            <w:tcW w:w="720" w:type="dxa"/>
          </w:tcPr>
          <w:p w14:paraId="6BB8B30B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20" w:type="dxa"/>
          </w:tcPr>
          <w:p w14:paraId="51189CB3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30" w:type="dxa"/>
          </w:tcPr>
          <w:p w14:paraId="71BE516D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60" w:type="dxa"/>
          </w:tcPr>
          <w:p w14:paraId="38A0D32C">
            <w:pPr>
              <w:pStyle w:val="5"/>
              <w:spacing w:line="24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否</w:t>
            </w:r>
          </w:p>
        </w:tc>
      </w:tr>
    </w:tbl>
    <w:p w14:paraId="6ADEC968">
      <w:pPr>
        <w:pStyle w:val="5"/>
        <w:spacing w:line="360" w:lineRule="auto"/>
        <w:outlineLvl w:val="3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3.2.2服务要求</w:t>
      </w:r>
    </w:p>
    <w:p w14:paraId="16578406">
      <w:pPr>
        <w:pStyle w:val="6"/>
        <w:spacing w:line="360" w:lineRule="auto"/>
        <w:ind w:left="0" w:leftChars="0" w:firstLine="0" w:firstLineChars="0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一、项目概况</w:t>
      </w:r>
    </w:p>
    <w:p w14:paraId="70302F62">
      <w:pPr>
        <w:pStyle w:val="6"/>
        <w:spacing w:line="360" w:lineRule="auto"/>
        <w:ind w:firstLine="480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管委会机关大院办公区，位于西安市长安区航天中路369号，占地面积20245平方米，建筑面积9781.6平方米。办公区具有完善的配套设施和齐全的功能设置，楼内配有给排水、供电、弱电、消防、监控等。</w:t>
      </w:r>
    </w:p>
    <w:p w14:paraId="056EC169">
      <w:pPr>
        <w:pStyle w:val="6"/>
        <w:spacing w:line="360" w:lineRule="auto"/>
        <w:ind w:firstLine="480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该办公区物业服务包含：保洁、保安、设施设备维修养护、会务服务等。因进出人流量相对较大，环境开放性强。对于设备正常运行、安全监控、交通停车的管理要求服务高，物业必须做好政务运行保障服务的工作，保证设备的正常运行，随时做好应急预防及抢修等工作，以保证良好的办公环境。</w:t>
      </w:r>
    </w:p>
    <w:p w14:paraId="663EACAD">
      <w:pPr>
        <w:pStyle w:val="6"/>
        <w:spacing w:line="360" w:lineRule="auto"/>
        <w:ind w:firstLine="480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</w:p>
    <w:p w14:paraId="6657B0D3">
      <w:pPr>
        <w:pStyle w:val="6"/>
        <w:spacing w:line="360" w:lineRule="auto"/>
        <w:ind w:firstLine="480"/>
        <w:rPr>
          <w:rFonts w:hint="default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具体内容详见招标文件第三章。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E1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6">
    <w:name w:val="@正文"/>
    <w:basedOn w:val="7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paragraph" w:customStyle="1" w:styleId="7">
    <w:name w:val="※正文"/>
    <w:basedOn w:val="1"/>
    <w:next w:val="1"/>
    <w:qFormat/>
    <w:uiPriority w:val="0"/>
    <w:pPr>
      <w:wordWrap w:val="0"/>
      <w:spacing w:line="400" w:lineRule="exact"/>
    </w:pPr>
    <w:rPr>
      <w:rFonts w:ascii="Calibri Light" w:hAnsi="Calibri Light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2026-06-03T10:05:26Z</dcterms:created>
  <dc:creator>Administrator</dc:creator>
  <cp:lastModifiedBy>四方衡裕</cp:lastModifiedBy>
  <dcterms:modified xsi:type="dcterms:W3CDTF">2026-06-03T10:08:02Z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82D5DE0D8FEB418FA8F2979263B380E1_12</vt:lpwstr>
  </property>
</Properties>
</file>