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版本号：XAYQ-2026-00520260821001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商州区国有建设用地及农用地地籍调查和成果入库技术服务项目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XAYQ-2026-005</w:t>
      </w:r>
      <w:r>
        <w:br/>
      </w:r>
      <w:r>
        <w:br/>
      </w:r>
      <w:r>
        <w:br/>
      </w:r>
    </w:p>
    <w:p>
      <w:pPr>
        <w:pStyle w:val="null3"/>
        <w:jc w:val="center"/>
        <w:outlineLvl w:val="2"/>
      </w:pPr>
      <w:r>
        <w:rPr>
          <w:rFonts w:ascii="仿宋_GB2312" w:hAnsi="仿宋_GB2312" w:cs="仿宋_GB2312" w:eastAsia="仿宋_GB2312"/>
          <w:sz w:val="28"/>
          <w:b/>
        </w:rPr>
        <w:t>商洛市自然资源局商州分局</w:t>
      </w:r>
    </w:p>
    <w:p>
      <w:pPr>
        <w:pStyle w:val="null3"/>
        <w:jc w:val="center"/>
        <w:outlineLvl w:val="2"/>
      </w:pPr>
      <w:r>
        <w:rPr>
          <w:rFonts w:ascii="仿宋_GB2312" w:hAnsi="仿宋_GB2312" w:cs="仿宋_GB2312" w:eastAsia="仿宋_GB2312"/>
          <w:sz w:val="28"/>
          <w:b/>
        </w:rPr>
        <w:t>西安越秦项目管理有限公司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西安越秦项目管理有限公司</w:t>
      </w:r>
      <w:r>
        <w:rPr>
          <w:rFonts w:ascii="仿宋_GB2312" w:hAnsi="仿宋_GB2312" w:cs="仿宋_GB2312" w:eastAsia="仿宋_GB2312"/>
        </w:rPr>
        <w:t>（以下简称“代理机构”）受</w:t>
      </w:r>
      <w:r>
        <w:rPr>
          <w:rFonts w:ascii="仿宋_GB2312" w:hAnsi="仿宋_GB2312" w:cs="仿宋_GB2312" w:eastAsia="仿宋_GB2312"/>
        </w:rPr>
        <w:t>商洛市自然资源局商州分局</w:t>
      </w:r>
      <w:r>
        <w:rPr>
          <w:rFonts w:ascii="仿宋_GB2312" w:hAnsi="仿宋_GB2312" w:cs="仿宋_GB2312" w:eastAsia="仿宋_GB2312"/>
        </w:rPr>
        <w:t>委托，拟对</w:t>
      </w:r>
      <w:r>
        <w:rPr>
          <w:rFonts w:ascii="仿宋_GB2312" w:hAnsi="仿宋_GB2312" w:cs="仿宋_GB2312" w:eastAsia="仿宋_GB2312"/>
        </w:rPr>
        <w:t>商州区国有建设用地及农用地地籍调查和成果入库技术服务项目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XAYQ-2026-005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商州区国有建设用地及农用地地籍调查和成果入库技术服务项目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自然资源部关于进一步做好地籍调查工作的通知》(自然资发[2023]195号)要求和省自然资源厅办公室《关于开展2026年国有建设用地地籍成果入库汇交工作的通知》部署安排，通过专业技术服务，完成商洛市商州区国有建设用地及农用地地籍数据整理、补充调绘、建库和成果汇交，建成符合标准的地籍数据库。通过数据收集和现状分析、全量排查建立台账、补充调查测绘、数据整合建库、质量检查整改、编制成果汇交、成果资料移交。</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采购包1（商洛市商州区国有建设用地及农用地地籍调查和成果入库汇交技术服务项目）：属于专门面向小微企业采购。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1、供应商代表证明文件：法定代表人(负责人)参加磋商时，提供法定代表人(负责人)证明书及身份证（复印件）；授权代表参加磋商时，提供法人授权委托书及身份证（复印件）；</w:t>
      </w:r>
    </w:p>
    <w:p>
      <w:pPr>
        <w:pStyle w:val="null3"/>
      </w:pPr>
      <w:r>
        <w:rPr>
          <w:rFonts w:ascii="仿宋_GB2312" w:hAnsi="仿宋_GB2312" w:cs="仿宋_GB2312" w:eastAsia="仿宋_GB2312"/>
        </w:rPr>
        <w:t>2、供应商资质：供应商须具有测绘乙级以上（含乙级）资质。</w:t>
      </w:r>
    </w:p>
    <w:p>
      <w:pPr>
        <w:pStyle w:val="null3"/>
      </w:pPr>
      <w:r>
        <w:rPr>
          <w:rFonts w:ascii="仿宋_GB2312" w:hAnsi="仿宋_GB2312" w:cs="仿宋_GB2312" w:eastAsia="仿宋_GB2312"/>
        </w:rPr>
        <w:t>3、信用证明：供 应 商 不 得 为 “ 信 用 中 国 ” 网 站（www.creditchina.gov.cn）中列入重大税收违法失信主体的当事 人 ， 不 得 为 “ 中 国 执 行 信 息 公 开 网 ”（http://zxgk.court.gov.cn）网站被列为失信被执行人，不得为“中国政府采购网”（www.ccgp.gov.cn）政府采购严重违法失信行为记录名单中被财政部门禁止参加政府采购活动的供应商（附网站查询截图）；</w:t>
      </w:r>
    </w:p>
    <w:p>
      <w:pPr>
        <w:pStyle w:val="null3"/>
      </w:pPr>
      <w:r>
        <w:rPr>
          <w:rFonts w:ascii="仿宋_GB2312" w:hAnsi="仿宋_GB2312" w:cs="仿宋_GB2312" w:eastAsia="仿宋_GB2312"/>
        </w:rPr>
        <w:t>4、中小企业声明函：中小企业声明函；</w:t>
      </w:r>
    </w:p>
    <w:p>
      <w:pPr>
        <w:pStyle w:val="null3"/>
      </w:pPr>
      <w:r>
        <w:rPr>
          <w:rFonts w:ascii="仿宋_GB2312" w:hAnsi="仿宋_GB2312" w:cs="仿宋_GB2312" w:eastAsia="仿宋_GB2312"/>
        </w:rPr>
        <w:t>5、本项目不接受联合体：本项目不接受联合体磋商；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商洛市自然资源局商州分局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陕西省商洛市商州区文卫路南段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邱先生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0914-2393603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西安越秦项目管理有限公司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陕西省西安市雁塔区陕西省西安市雁塔区中环国际城西区1幢2单元3层03号房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19184959851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开户名称：西安越秦项目管理有限公司</w:t>
            </w:r>
          </w:p>
          <w:p>
            <w:pPr>
              <w:pStyle w:val="null3"/>
            </w:pPr>
            <w:r>
              <w:rPr>
                <w:rFonts w:ascii="仿宋_GB2312" w:hAnsi="仿宋_GB2312" w:cs="仿宋_GB2312" w:eastAsia="仿宋_GB2312"/>
              </w:rPr>
              <w:t>开户银行：中国工商银行股份有限公司西安电子工业区支行</w:t>
            </w:r>
          </w:p>
          <w:p>
            <w:pPr>
              <w:pStyle w:val="null3"/>
            </w:pPr>
            <w:r>
              <w:rPr>
                <w:rFonts w:ascii="仿宋_GB2312" w:hAnsi="仿宋_GB2312" w:cs="仿宋_GB2312" w:eastAsia="仿宋_GB2312"/>
              </w:rPr>
              <w:t>银行账号：3700 0307 0910 0087 801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代理服务费收费标准：1、本项目采购代理服务费由采购人全额承担并支付。 2、计费基数以本项目成交金额为准，具体详见代理协议。</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商洛市自然资源局商州分局</w:t>
      </w:r>
      <w:r>
        <w:rPr>
          <w:rFonts w:ascii="仿宋_GB2312" w:hAnsi="仿宋_GB2312" w:cs="仿宋_GB2312" w:eastAsia="仿宋_GB2312"/>
        </w:rPr>
        <w:t>和</w:t>
      </w:r>
      <w:r>
        <w:rPr>
          <w:rFonts w:ascii="仿宋_GB2312" w:hAnsi="仿宋_GB2312" w:cs="仿宋_GB2312" w:eastAsia="仿宋_GB2312"/>
        </w:rPr>
        <w:t>西安越秦项目管理有限公司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商洛市自然资源局商州分局</w:t>
      </w:r>
      <w:r>
        <w:rPr>
          <w:rFonts w:ascii="仿宋_GB2312" w:hAnsi="仿宋_GB2312" w:cs="仿宋_GB2312" w:eastAsia="仿宋_GB2312"/>
        </w:rPr>
        <w:t>负责解释。除上述磋商文件内容，其他内容由</w:t>
      </w:r>
      <w:r>
        <w:rPr>
          <w:rFonts w:ascii="仿宋_GB2312" w:hAnsi="仿宋_GB2312" w:cs="仿宋_GB2312" w:eastAsia="仿宋_GB2312"/>
        </w:rPr>
        <w:t>西安越秦项目管理有限公司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商洛市自然资源局商州分局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西安越秦项目管理有限公司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满足国家地籍调查相关技术规范、《地籍数据库第1部分：不动产》（TD/T1015.1-2024）、招标文件、合同约定全部要求，成果通过省级质检软件检查并按要求完成成果汇交，通过采购人审查。</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西安越秦项目管理有限公司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西安越秦项目管理有限公司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西安越秦项目管理有限公司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联系人：温女士</w:t>
      </w:r>
    </w:p>
    <w:p>
      <w:pPr>
        <w:pStyle w:val="null3"/>
      </w:pPr>
      <w:r>
        <w:rPr>
          <w:rFonts w:ascii="仿宋_GB2312" w:hAnsi="仿宋_GB2312" w:cs="仿宋_GB2312" w:eastAsia="仿宋_GB2312"/>
        </w:rPr>
        <w:t>联系电话：19184959851</w:t>
      </w:r>
    </w:p>
    <w:p>
      <w:pPr>
        <w:pStyle w:val="null3"/>
      </w:pPr>
      <w:r>
        <w:rPr>
          <w:rFonts w:ascii="仿宋_GB2312" w:hAnsi="仿宋_GB2312" w:cs="仿宋_GB2312" w:eastAsia="仿宋_GB2312"/>
        </w:rPr>
        <w:t>地址：陕西省西安市雁塔区中环国际城西区1幢2单元3层03号房</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自然资源部关于进一步做好地籍调查工作的通知》(自然资发〔2023〕195号)要求和省自然资源厅办公室《关于开展2026年国有建设用地地籍成果入库汇交工作的通知》部署安排，通过专业技术服务，完成商洛市商州区国有建设用地及农用地地籍数据整理、补充调绘、建库和成果汇交，建成符合标准的地籍数据库。通过数据收集和现状分析、全量排查建立台账、补充调查测绘、数据整合建库、质量检查整改、编制成果汇交、成果资料移交。</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780,000.00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商州区国有建设用地及农用地地籍调查和成果入库技术服务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标的名称：商州区国有建设用地及农用地地籍调查和成果入库技术服务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71"/>
              <w:gridCol w:w="489"/>
              <w:gridCol w:w="856"/>
              <w:gridCol w:w="179"/>
              <w:gridCol w:w="191"/>
              <w:gridCol w:w="497"/>
            </w:tblGrid>
            <w:tr>
              <w:tc>
                <w:tcPr>
                  <w:tcW w:type="dxa" w:w="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项目名称</w:t>
                  </w:r>
                </w:p>
              </w:tc>
              <w:tc>
                <w:tcPr>
                  <w:tcW w:type="dxa" w:w="8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技术参数</w:t>
                  </w:r>
                </w:p>
              </w:tc>
              <w:tc>
                <w:tcPr>
                  <w:tcW w:type="dxa" w:w="1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c>
                <w:tcPr>
                  <w:tcW w:type="dxa" w:w="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c>
                <w:tcPr>
                  <w:tcW w:type="dxa" w:w="4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备注</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商洛市商州区国有建设用地及农用地地籍调查和成果入库汇交技术服务项目</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过专业技术服务，完成商洛市商州区国有建设用地及农用地地籍数据整理、补充调绘、建库和成果汇交，建成符合标准的地籍数据库。主要目标是数据收集和现状分析、全量排查建立台账、补充调查测绘、数据整合建库、质量检查整改、编制成果汇交、成果资料移交。需满足的要求是</w:t>
                  </w:r>
                  <w:r>
                    <w:rPr>
                      <w:rFonts w:ascii="仿宋_GB2312" w:hAnsi="仿宋_GB2312" w:cs="仿宋_GB2312" w:eastAsia="仿宋_GB2312"/>
                      <w:sz w:val="21"/>
                    </w:rPr>
                    <w:t>:</w:t>
                  </w:r>
                  <w:r>
                    <w:rPr>
                      <w:rFonts w:ascii="仿宋_GB2312" w:hAnsi="仿宋_GB2312" w:cs="仿宋_GB2312" w:eastAsia="仿宋_GB2312"/>
                      <w:sz w:val="21"/>
                    </w:rPr>
                    <w:t>数据整理完成指定范围的全部宗地，实现商州区国有建设用地和国有农用地宗地全覆盖</w:t>
                  </w:r>
                  <w:r>
                    <w:rPr>
                      <w:rFonts w:ascii="仿宋_GB2312" w:hAnsi="仿宋_GB2312" w:cs="仿宋_GB2312" w:eastAsia="仿宋_GB2312"/>
                      <w:sz w:val="21"/>
                    </w:rPr>
                    <w:t>:</w:t>
                  </w:r>
                  <w:r>
                    <w:rPr>
                      <w:rFonts w:ascii="仿宋_GB2312" w:hAnsi="仿宋_GB2312" w:cs="仿宋_GB2312" w:eastAsia="仿宋_GB2312"/>
                      <w:sz w:val="21"/>
                    </w:rPr>
                    <w:t>图形补齐完成缺失图形宗地补充测绘率达</w:t>
                  </w:r>
                  <w:r>
                    <w:rPr>
                      <w:rFonts w:ascii="仿宋_GB2312" w:hAnsi="仿宋_GB2312" w:cs="仿宋_GB2312" w:eastAsia="仿宋_GB2312"/>
                      <w:sz w:val="21"/>
                    </w:rPr>
                    <w:t>100%;</w:t>
                  </w:r>
                  <w:r>
                    <w:rPr>
                      <w:rFonts w:ascii="仿宋_GB2312" w:hAnsi="仿宋_GB2312" w:cs="仿宋_GB2312" w:eastAsia="仿宋_GB2312"/>
                      <w:sz w:val="21"/>
                    </w:rPr>
                    <w:t>完善属性要求核心属性字段完整率达</w:t>
                  </w:r>
                  <w:r>
                    <w:rPr>
                      <w:rFonts w:ascii="仿宋_GB2312" w:hAnsi="仿宋_GB2312" w:cs="仿宋_GB2312" w:eastAsia="仿宋_GB2312"/>
                      <w:sz w:val="21"/>
                    </w:rPr>
                    <w:t>95%</w:t>
                  </w:r>
                  <w:r>
                    <w:rPr>
                      <w:rFonts w:ascii="仿宋_GB2312" w:hAnsi="仿宋_GB2312" w:cs="仿宋_GB2312" w:eastAsia="仿宋_GB2312"/>
                      <w:sz w:val="21"/>
                    </w:rPr>
                    <w:t>以上</w:t>
                  </w:r>
                  <w:r>
                    <w:rPr>
                      <w:rFonts w:ascii="仿宋_GB2312" w:hAnsi="仿宋_GB2312" w:cs="仿宋_GB2312" w:eastAsia="仿宋_GB2312"/>
                      <w:sz w:val="21"/>
                    </w:rPr>
                    <w:t>;</w:t>
                  </w:r>
                  <w:r>
                    <w:rPr>
                      <w:rFonts w:ascii="仿宋_GB2312" w:hAnsi="仿宋_GB2312" w:cs="仿宋_GB2312" w:eastAsia="仿宋_GB2312"/>
                      <w:sz w:val="21"/>
                    </w:rPr>
                    <w:t>关联正确要求宗地</w:t>
                  </w:r>
                  <w:r>
                    <w:rPr>
                      <w:rFonts w:ascii="仿宋_GB2312" w:hAnsi="仿宋_GB2312" w:cs="仿宋_GB2312" w:eastAsia="仿宋_GB2312"/>
                      <w:sz w:val="21"/>
                    </w:rPr>
                    <w:t>-</w:t>
                  </w:r>
                  <w:r>
                    <w:rPr>
                      <w:rFonts w:ascii="仿宋_GB2312" w:hAnsi="仿宋_GB2312" w:cs="仿宋_GB2312" w:eastAsia="仿宋_GB2312"/>
                      <w:sz w:val="21"/>
                    </w:rPr>
                    <w:t>自然幢</w:t>
                  </w:r>
                  <w:r>
                    <w:rPr>
                      <w:rFonts w:ascii="仿宋_GB2312" w:hAnsi="仿宋_GB2312" w:cs="仿宋_GB2312" w:eastAsia="仿宋_GB2312"/>
                      <w:sz w:val="21"/>
                    </w:rPr>
                    <w:t>-</w:t>
                  </w:r>
                  <w:r>
                    <w:rPr>
                      <w:rFonts w:ascii="仿宋_GB2312" w:hAnsi="仿宋_GB2312" w:cs="仿宋_GB2312" w:eastAsia="仿宋_GB2312"/>
                      <w:sz w:val="21"/>
                    </w:rPr>
                    <w:t>户三级关联正确率达</w:t>
                  </w:r>
                  <w:r>
                    <w:rPr>
                      <w:rFonts w:ascii="仿宋_GB2312" w:hAnsi="仿宋_GB2312" w:cs="仿宋_GB2312" w:eastAsia="仿宋_GB2312"/>
                      <w:sz w:val="21"/>
                    </w:rPr>
                    <w:t>100%:</w:t>
                  </w:r>
                  <w:r>
                    <w:rPr>
                      <w:rFonts w:ascii="仿宋_GB2312" w:hAnsi="仿宋_GB2312" w:cs="仿宋_GB2312" w:eastAsia="仿宋_GB2312"/>
                      <w:sz w:val="21"/>
                    </w:rPr>
                    <w:t>质检通过要求通过省级质检软件检查</w:t>
                  </w:r>
                  <w:r>
                    <w:rPr>
                      <w:rFonts w:ascii="仿宋_GB2312" w:hAnsi="仿宋_GB2312" w:cs="仿宋_GB2312" w:eastAsia="仿宋_GB2312"/>
                      <w:sz w:val="21"/>
                    </w:rPr>
                    <w:t>;</w:t>
                  </w:r>
                  <w:r>
                    <w:rPr>
                      <w:rFonts w:ascii="仿宋_GB2312" w:hAnsi="仿宋_GB2312" w:cs="仿宋_GB2312" w:eastAsia="仿宋_GB2312"/>
                      <w:sz w:val="21"/>
                    </w:rPr>
                    <w:t>汇交时限要求按省市要求时限按期汇交</w:t>
                  </w:r>
                  <w:r>
                    <w:rPr>
                      <w:rFonts w:ascii="仿宋_GB2312" w:hAnsi="仿宋_GB2312" w:cs="仿宋_GB2312" w:eastAsia="仿宋_GB2312"/>
                      <w:sz w:val="21"/>
                    </w:rPr>
                    <w:t>:</w:t>
                  </w:r>
                  <w:r>
                    <w:rPr>
                      <w:rFonts w:ascii="仿宋_GB2312" w:hAnsi="仿宋_GB2312" w:cs="仿宋_GB2312" w:eastAsia="仿宋_GB2312"/>
                      <w:sz w:val="21"/>
                    </w:rPr>
                    <w:t>成果移交要求交付完整成果包，含数据库、文档、档案等全部资料。</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供应商须根据项目采购内容和要求，报出总价。报价为完成本次项目的全费用价格，应包含项目咨询费、内外业调查费、人员劳务费、食宿交通费、报告编制费、图文制作打印费、评审费、售后服务及税金等所有费用。</w:t>
                  </w:r>
                </w:p>
                <w:p>
                  <w:pPr>
                    <w:pStyle w:val="null3"/>
                    <w:jc w:val="center"/>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具有履行合同所必需的专业技术能力人员，满足磋商文件要求，满足项目需求。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合同签订之日起90日历天完成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按照《地籍数据库第1部分：不动产》（TD/T1015.1-2024）相关标准文件要求，成果通过省级质检软件检查，汇交时限按省市要求时限按期汇交，成果移交要求交付完整成果包，含数据库、文档、档案等全部资料。</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进度款，合同签订后，成果报告上交市级部门审查后，达到付款条件起30个工作日内，支付合同总金额的30.0%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进度款，项目中期成果提交省级部门审查通过后，达到付款条件起30个工作日内，支付合同总金额的30.0%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进度款，合同到达履行期限后，项目完成验收合格，达到付款条件起30个工作日内，支付合同总金额的40.0%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（一）乙方未能在双方约定的时间内完成并出具相关成果，应限期完成整改交付，乙方应承担工期延误相应违约责任。因乙方自身原因造成工期延误的，按约定承担逾期违约金。 （二）乙方对涉及密级业务的技术资料、调查数据、保密信息等进行严格保密，一旦发生泄密，需承担相应法律责任，并赔偿由此给甲方造成的全部损失。 （三）乙方严禁将本项目全部或部分工作擅自转让、分包给第三方，如发生擅自转让、分包情形，甲方有权要求乙方整改，并追究乙方违约责任。 （四）乙方未按合同要求提供服务，或成果质量不能满足国家、行业规范及合同约定要求的，甲方有权要求乙方无偿采取返工、修改、补充调查等补救措施；经整改后仍达不到标准的，甲方有权依据《中华人民共和国民法典》相关规定及合同约定追究乙方违约责任。 （五）乙方明确表示或以实际行为表明不再履行合同义务、停止项目实施的，甲方有权解除合同，并要求乙方赔偿全部实际损失。 （六）甲乙双方在履行合同过程中发生争议，双方应友好协商解决；协商不成的，任何一方均可向项目所在地人民法院提起诉讼。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3.4.1成果版权及使用： 本次成果所有权和使用权均属于采购单位所有。未经对方书面同意，任何一方的单位和个人不得擅自转让、使用、修改、复制本项目的成果或用于本项目外使用。 3.4.2保密要求： 供应商须建立严格的保密制度，并加强对工作人员的保密管理及保密知识教育。供应商须承担与此有关的技术情报和数据资料的保密责任。与本项目有关的资料及数据成果中涉及国家秘密的内容，均要求按照《国家保密法》及相关法律法规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1.有独立承担民事责任能力的法人或其他组织，提供合法有效的统一社会信用代码的营业执照或事业单位法人证书等国家规定的相关证明，自然人参与的提供其身份证明； 2.财务状况证明：提供 2025年完整的财务审计报告，或其基本存款账户开户银行出具的资信证明； 3.提供具有履行合同所必需的设备和专业技术能力的承诺； 4.提供磋商截止日前近六个月已缴纳的任意一个月的缴税证明，依法免税的投标人应提供相关文件证明； 5.提供磋商截止日前近六个月已缴纳的任意一个月的社会保障资金缴存单据或社保机构开具的社会保险参保缴费情况证明，单据或证明上应有社保机构或代收机构的公章，依法不需要缴纳社会保障资金的供应商应提供相关文件证明； 6.参加政府采购活动近三年内，在经营活动中无重大违法记录的书面声明；</w:t>
            </w:r>
          </w:p>
        </w:tc>
        <w:tc>
          <w:tcPr>
            <w:tcW w:type="dxa" w:w="1661"/>
          </w:tcPr>
          <w:p>
            <w:pPr>
              <w:pStyle w:val="null3"/>
            </w:pPr>
            <w:r>
              <w:rPr>
                <w:rFonts w:ascii="仿宋_GB2312" w:hAnsi="仿宋_GB2312" w:cs="仿宋_GB2312" w:eastAsia="仿宋_GB2312"/>
              </w:rPr>
              <w:t>响应文件封面 商务应答表 供应商应提交的相关资格证明材料 服务内容及服务要求应答表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财务状况证明：提供 2025年完整的财务审计报告，或其基本存款账户开户银行出具的资信证明；</w:t>
            </w:r>
          </w:p>
        </w:tc>
        <w:tc>
          <w:tcPr>
            <w:tcW w:type="dxa" w:w="1661"/>
          </w:tcPr>
          <w:p>
            <w:pPr>
              <w:pStyle w:val="null3"/>
            </w:pPr>
            <w:r>
              <w:rPr>
                <w:rFonts w:ascii="仿宋_GB2312" w:hAnsi="仿宋_GB2312" w:cs="仿宋_GB2312" w:eastAsia="仿宋_GB2312"/>
              </w:rPr>
              <w:t>响应文件封面 商务应答表 服务内容及服务要求应答表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商务应答表 服务内容及服务要求应答表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供应商代表证明文件</w:t>
            </w:r>
          </w:p>
        </w:tc>
        <w:tc>
          <w:tcPr>
            <w:tcW w:type="dxa" w:w="3322"/>
          </w:tcPr>
          <w:p>
            <w:pPr>
              <w:pStyle w:val="null3"/>
            </w:pPr>
            <w:r>
              <w:rPr>
                <w:rFonts w:ascii="仿宋_GB2312" w:hAnsi="仿宋_GB2312" w:cs="仿宋_GB2312" w:eastAsia="仿宋_GB2312"/>
              </w:rPr>
              <w:t>法定代表人(负责人)参加磋商时，提供法定代表人(负责人)证明书及身份证（复印件）；授权代表参加磋商时，提供法人授权委托书及身份证（复印件）；</w:t>
            </w:r>
          </w:p>
        </w:tc>
        <w:tc>
          <w:tcPr>
            <w:tcW w:type="dxa" w:w="1661"/>
          </w:tcPr>
          <w:p>
            <w:pPr>
              <w:pStyle w:val="null3"/>
            </w:pPr>
            <w:r>
              <w:rPr>
                <w:rFonts w:ascii="仿宋_GB2312" w:hAnsi="仿宋_GB2312" w:cs="仿宋_GB2312" w:eastAsia="仿宋_GB2312"/>
              </w:rPr>
              <w:t>商务应答表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供应商须具有测绘乙级以上（含乙级）资质。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 应 商 不 得 为 “ 信 用 中 国 ” 网 站（www.creditchina.gov.cn）中列入重大税收违法失信主体的当事 人 ， 不 得 为 “ 中 国 执 行 信 息 公 开 网 ”（http://zxgk.court.gov.cn）网站被列为失信被执行人，不得为“中国政府采购网”（www.ccgp.gov.cn）政府采购严重违法失信行为记录名单中被财政部门禁止参加政府采购活动的供应商（附网站查询截图）；</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中小企业声明函；</w:t>
            </w:r>
          </w:p>
        </w:tc>
        <w:tc>
          <w:tcPr>
            <w:tcW w:type="dxa" w:w="1661"/>
          </w:tcPr>
          <w:p>
            <w:pPr>
              <w:pStyle w:val="null3"/>
            </w:pPr>
            <w:r>
              <w:rPr>
                <w:rFonts w:ascii="仿宋_GB2312" w:hAnsi="仿宋_GB2312" w:cs="仿宋_GB2312" w:eastAsia="仿宋_GB2312"/>
              </w:rPr>
              <w:t>中小企业声明函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按照采购文件要求签署、盖章</w:t>
            </w:r>
          </w:p>
        </w:tc>
        <w:tc>
          <w:tcPr>
            <w:tcW w:type="dxa" w:w="1661"/>
          </w:tcPr>
          <w:p>
            <w:pPr>
              <w:pStyle w:val="null3"/>
            </w:pPr>
            <w:r>
              <w:rPr>
                <w:rFonts w:ascii="仿宋_GB2312" w:hAnsi="仿宋_GB2312" w:cs="仿宋_GB2312" w:eastAsia="仿宋_GB2312"/>
              </w:rPr>
              <w:t>响应文件封面 服务方案.pdf 中小企业声明函 残疾人福利性单位声明函 商务应答表 供应商应提交的相关资格证明材料 服务内容及服务要求应答表 标的清单 报价表 业绩.pdf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w:t>
            </w:r>
          </w:p>
        </w:tc>
        <w:tc>
          <w:tcPr>
            <w:tcW w:type="dxa" w:w="1661"/>
          </w:tcPr>
          <w:p>
            <w:pPr>
              <w:pStyle w:val="null3"/>
            </w:pPr>
            <w:r>
              <w:rPr>
                <w:rFonts w:ascii="仿宋_GB2312" w:hAnsi="仿宋_GB2312" w:cs="仿宋_GB2312" w:eastAsia="仿宋_GB2312"/>
              </w:rPr>
              <w:t>响应文件封面 服务方案.pdf 中小企业声明函 残疾人福利性单位声明函 商务应答表 供应商应提交的相关资格证明材料 服务内容及服务要求应答表 标的清单 报价表 业绩.pdf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 且报价不超过磋商文件规定的采购预算或最高 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符合磋商文件实质性要求的规定</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是否响应采购文件要求。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保证金按照采购文件要求足额缴纳，并提供磋商保证金缴存凭证或保函。</w:t>
            </w:r>
          </w:p>
        </w:tc>
        <w:tc>
          <w:tcPr>
            <w:tcW w:type="dxa" w:w="1661"/>
          </w:tcPr>
          <w:p>
            <w:pPr>
              <w:pStyle w:val="null3"/>
            </w:pPr>
            <w:r>
              <w:rPr>
                <w:rFonts w:ascii="仿宋_GB2312" w:hAnsi="仿宋_GB2312" w:cs="仿宋_GB2312" w:eastAsia="仿宋_GB2312"/>
              </w:rPr>
              <w:t>磋商保证金.pdf</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针对本项目制定的服务方案进行评比。内容需包括：①项目分析及工作思路；②工作计划；③工作目标及内容；④工作方法；⑤服务实施细则等。评审标准：总体服务方案内容全面详细、阐述条理清晰、科学合理、针对性极强，完全贴合本项目采购需求计 5 分；服务方案内容完整、思路清晰、措施合理，满足项目主要需求计 4 分；服务方案内容基本齐全、思路基本清晰，基本满足项目需求计 3 分；服务方案内容一般，存在明显瑕疵或缺陷计 1 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根据供应商针对本项目制定的质量保障方案进行评比。内容需包括：①质量管理体系；②质量保障措施；③质量控制手段；④突发情况补救措施；⑤成果保障措施。评审标准：质量保障方案内容全面详细、标准严格、程序规范、质检措施详尽有效、针对性强，完全符合本项目采购需求计 7 分；质量保障方案内容完整、措施合理可行、贴合项目需求计 5 分；质量保障方案内容基本完整、措施基本可行，基本满足项目需求计 3 分；方案内容一般，存在瑕疵或缺陷计 1 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项目进度及保证措施</w:t>
            </w:r>
          </w:p>
        </w:tc>
        <w:tc>
          <w:tcPr>
            <w:tcW w:type="dxa" w:w="2492"/>
          </w:tcPr>
          <w:p>
            <w:pPr>
              <w:pStyle w:val="null3"/>
            </w:pPr>
            <w:r>
              <w:rPr>
                <w:rFonts w:ascii="仿宋_GB2312" w:hAnsi="仿宋_GB2312" w:cs="仿宋_GB2312" w:eastAsia="仿宋_GB2312"/>
              </w:rPr>
              <w:t>根据供应商针对本项目制定的项目进度保障措施进行评比。内容需包括：①项目实施进度目标分析；②提供合理的工作计划及时间节点；③项目进度保障措施；④成果保障措施等。评审标准：进度计划、保障措施内容全面详细、科学合理、针对性强、程序规范，完全符合本项目采购需求计 6 分；进度计划及保障措施内容完整、方案合理、满足项目主要需求计 5 分；进度计划及保障措施基本完整、基本合理可行计 3 分；方案内容一般，存在瑕疵或缺陷计 1 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项目重难点分析与解决方案</w:t>
            </w:r>
          </w:p>
        </w:tc>
        <w:tc>
          <w:tcPr>
            <w:tcW w:type="dxa" w:w="2492"/>
          </w:tcPr>
          <w:p>
            <w:pPr>
              <w:pStyle w:val="null3"/>
            </w:pPr>
            <w:r>
              <w:rPr>
                <w:rFonts w:ascii="仿宋_GB2312" w:hAnsi="仿宋_GB2312" w:cs="仿宋_GB2312" w:eastAsia="仿宋_GB2312"/>
              </w:rPr>
              <w:t>根据供应商针对本项目制定的项目重难点分析与解决方案进行评比。 内容需包括： ①重、难点分析；②风险点分析；③解决措施。 评审标准： 项目重难点、风险点分析全面透彻，解决措施得当、具有针对性计 3 分；重难点及风险点分析基本到位，解决措施基本得当计 2 分；分析内容一般，解决方案存在瑕疵或缺陷计 1 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应急服务 解决方案</w:t>
            </w:r>
          </w:p>
        </w:tc>
        <w:tc>
          <w:tcPr>
            <w:tcW w:type="dxa" w:w="2492"/>
          </w:tcPr>
          <w:p>
            <w:pPr>
              <w:pStyle w:val="null3"/>
            </w:pPr>
            <w:r>
              <w:rPr>
                <w:rFonts w:ascii="仿宋_GB2312" w:hAnsi="仿宋_GB2312" w:cs="仿宋_GB2312" w:eastAsia="仿宋_GB2312"/>
              </w:rPr>
              <w:t>安全生产工作是否有专人管理，安全保障措施是否合理、得当等相关内容。评审标准：安全管理专人到位、保障措施全面详实、科学规范、针对性强，完全符合本项目采购需求计 5 分；安全管理人员配置齐全、措施完整合理，满足项目主要安全需求计 4 分；安全管理及保障措施基本得当、基本满足项目需求计 3 分；安全措施内容一般，存在瑕疵或缺陷计 1 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保密承诺 及措施</w:t>
            </w:r>
          </w:p>
        </w:tc>
        <w:tc>
          <w:tcPr>
            <w:tcW w:type="dxa" w:w="2492"/>
          </w:tcPr>
          <w:p>
            <w:pPr>
              <w:pStyle w:val="null3"/>
            </w:pPr>
            <w:r>
              <w:rPr>
                <w:rFonts w:ascii="仿宋_GB2312" w:hAnsi="仿宋_GB2312" w:cs="仿宋_GB2312" w:eastAsia="仿宋_GB2312"/>
              </w:rPr>
              <w:t>安全保密工作是否有专人管理，保证措施是否合理、得当等相关内容，措施得当、具有针对性计4 分； 措施基本得当计 3 分； 措施一般有瑕疵或缺陷计 1 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安全措施</w:t>
            </w:r>
          </w:p>
        </w:tc>
        <w:tc>
          <w:tcPr>
            <w:tcW w:type="dxa" w:w="2492"/>
          </w:tcPr>
          <w:p>
            <w:pPr>
              <w:pStyle w:val="null3"/>
            </w:pPr>
            <w:r>
              <w:rPr>
                <w:rFonts w:ascii="仿宋_GB2312" w:hAnsi="仿宋_GB2312" w:cs="仿宋_GB2312" w:eastAsia="仿宋_GB2312"/>
              </w:rPr>
              <w:t>安全生产工作是否有专人管理，安全保障措施是否合理、得当等相关内容。评审标准：安全管理专人到位、保障措施全面详实、科学规范、针对性强，完全符合本项目采购需求计 7 分；安全管理人员配置齐全、措施完整合理，满足项目主要安全需求计 5 分；安全管理及保障措施基本得当、基本满足项目需求计 3 分；安全措施内容一般，存在瑕疵或缺陷计 1 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1、项目成员（含项目负责人）每提供一人计 2 分，最高计 12 分，提供不全或未提供不得分。 2、供应商拟派项目成员中，具有高级职称的人员，每有一人得 1.5 分；具有中级职称的人员，每有一人得 1分，本项最高得3分，提供不全或未提供不得分。 响应文件中须提供人员身份证、毕业证、职称证（如有）、近三个月缴纳的养老保险证明，资料须清晰可辨，复印模糊无法辨认的将不予评分。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组织管理</w:t>
            </w:r>
          </w:p>
        </w:tc>
        <w:tc>
          <w:tcPr>
            <w:tcW w:type="dxa" w:w="2492"/>
          </w:tcPr>
          <w:p>
            <w:pPr>
              <w:pStyle w:val="null3"/>
            </w:pPr>
            <w:r>
              <w:rPr>
                <w:rFonts w:ascii="仿宋_GB2312" w:hAnsi="仿宋_GB2312" w:cs="仿宋_GB2312" w:eastAsia="仿宋_GB2312"/>
              </w:rPr>
              <w:t>评审内容需包括： ①团队人员配置清单；②职责划分及安排；③团队监管机制等。评审标准： 企业间协调管理工作是否有专人对接，多方协同保障措施是否合理、得当等相关内容，措施得当、具有针对性计 3 分；措施基本得当计 2 分；措施一般有瑕疵或缺陷计 1 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仪器设备</w:t>
            </w:r>
          </w:p>
        </w:tc>
        <w:tc>
          <w:tcPr>
            <w:tcW w:type="dxa" w:w="2492"/>
          </w:tcPr>
          <w:p>
            <w:pPr>
              <w:pStyle w:val="null3"/>
            </w:pPr>
            <w:r>
              <w:rPr>
                <w:rFonts w:ascii="仿宋_GB2312" w:hAnsi="仿宋_GB2312" w:cs="仿宋_GB2312" w:eastAsia="仿宋_GB2312"/>
              </w:rPr>
              <w:t>1、供应商每提供一件仪器设备和实物图片得 2 分，最高得6分，资料提供不全或未提供不得分。 2、仪器设备能提供购置发票或租赁协议证明材料，每提供一份得 2 分，最高得 6 分，资料提供不全或未提供不得分。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以合同形式提供供应商2023年1月至今类似项目业绩，每份计3分，计满18分为止。（提供合同复印件，时间以合同签订时间为准）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业绩.pdf</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磋商报价得分=（磋商基准价/最终磋商报价）×价格权值（即15%）×100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详见附件：服务方案.pdf</w:t>
      </w:r>
    </w:p>
    <w:p>
      <w:pPr>
        <w:pStyle w:val="null3"/>
        <w:ind w:firstLine="960"/>
      </w:pPr>
      <w:r>
        <w:rPr>
          <w:rFonts w:ascii="仿宋_GB2312" w:hAnsi="仿宋_GB2312" w:cs="仿宋_GB2312" w:eastAsia="仿宋_GB2312"/>
        </w:rPr>
        <w:t>详见附件：业绩.pdf</w:t>
      </w:r>
    </w:p>
    <w:p>
      <w:pPr>
        <w:pStyle w:val="null3"/>
        <w:ind w:firstLine="960"/>
      </w:pPr>
      <w:r>
        <w:rPr>
          <w:rFonts w:ascii="仿宋_GB2312" w:hAnsi="仿宋_GB2312" w:cs="仿宋_GB2312" w:eastAsia="仿宋_GB2312"/>
        </w:rPr>
        <w:t>详见附件：磋商保证金.pdf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详见附件：技术服务合同.docx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