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93CCA">
      <w:pPr>
        <w:ind w:left="1888" w:hanging="1888" w:hangingChars="400"/>
        <w:jc w:val="center"/>
        <w:rPr>
          <w:rFonts w:hint="eastAsia" w:ascii="黑体" w:hAnsi="黑体" w:eastAsia="黑体" w:cs="黑体"/>
          <w:spacing w:val="16"/>
          <w:sz w:val="44"/>
          <w:szCs w:val="44"/>
          <w:lang w:val="en-US" w:eastAsia="zh-CN"/>
        </w:rPr>
      </w:pPr>
    </w:p>
    <w:p w14:paraId="4D4CBE25">
      <w:pPr>
        <w:pStyle w:val="3"/>
        <w:jc w:val="center"/>
        <w:rPr>
          <w:rFonts w:hint="eastAsia" w:ascii="仿宋" w:hAnsi="仿宋" w:eastAsia="仿宋" w:cs="仿宋"/>
          <w:lang w:val="en-US" w:eastAsia="zh-CN"/>
        </w:rPr>
      </w:pPr>
      <w:r>
        <w:rPr>
          <w:rFonts w:hint="eastAsia" w:ascii="黑体" w:hAnsi="黑体" w:eastAsia="黑体" w:cs="黑体"/>
          <w:b/>
          <w:bCs w:val="0"/>
          <w:lang w:val="en-US" w:eastAsia="zh-CN"/>
        </w:rPr>
        <w:t>技术服务合同</w:t>
      </w:r>
    </w:p>
    <w:p w14:paraId="14E81E54">
      <w:pPr>
        <w:ind w:left="1888" w:hanging="1888" w:hangingChars="400"/>
        <w:jc w:val="center"/>
        <w:rPr>
          <w:rFonts w:hint="eastAsia" w:ascii="黑体" w:hAnsi="黑体" w:eastAsia="黑体" w:cs="黑体"/>
          <w:spacing w:val="16"/>
          <w:sz w:val="44"/>
          <w:szCs w:val="44"/>
          <w:lang w:val="en-US" w:eastAsia="zh-CN"/>
        </w:rPr>
      </w:pPr>
    </w:p>
    <w:p w14:paraId="4F94F655">
      <w:pPr>
        <w:ind w:left="1888" w:hanging="1888" w:hangingChars="400"/>
        <w:jc w:val="center"/>
        <w:rPr>
          <w:rFonts w:hint="eastAsia" w:ascii="黑体" w:hAnsi="黑体" w:eastAsia="黑体" w:cs="黑体"/>
          <w:spacing w:val="16"/>
          <w:sz w:val="44"/>
          <w:szCs w:val="44"/>
          <w:lang w:val="en-US" w:eastAsia="zh-CN"/>
        </w:rPr>
      </w:pPr>
    </w:p>
    <w:p w14:paraId="79FC6189">
      <w:pPr>
        <w:ind w:left="1888" w:hanging="1888" w:hangingChars="400"/>
        <w:jc w:val="center"/>
        <w:rPr>
          <w:rFonts w:hint="eastAsia" w:ascii="黑体" w:hAnsi="黑体" w:eastAsia="黑体" w:cs="黑体"/>
          <w:spacing w:val="16"/>
          <w:sz w:val="44"/>
          <w:szCs w:val="44"/>
          <w:lang w:val="en-US" w:eastAsia="zh-CN"/>
        </w:rPr>
      </w:pPr>
    </w:p>
    <w:p w14:paraId="63087281">
      <w:pPr>
        <w:ind w:left="1888" w:hanging="1888" w:hangingChars="400"/>
        <w:jc w:val="center"/>
        <w:rPr>
          <w:rFonts w:hint="eastAsia" w:ascii="黑体" w:hAnsi="黑体" w:eastAsia="黑体" w:cs="黑体"/>
          <w:spacing w:val="16"/>
          <w:sz w:val="44"/>
          <w:szCs w:val="44"/>
          <w:lang w:val="en-US" w:eastAsia="zh-CN"/>
        </w:rPr>
      </w:pPr>
    </w:p>
    <w:p w14:paraId="35D27D67">
      <w:pPr>
        <w:ind w:left="1888" w:hanging="1888" w:hangingChars="400"/>
        <w:jc w:val="center"/>
        <w:rPr>
          <w:rFonts w:hint="eastAsia" w:ascii="黑体" w:hAnsi="黑体" w:eastAsia="黑体" w:cs="黑体"/>
          <w:spacing w:val="16"/>
          <w:sz w:val="44"/>
          <w:szCs w:val="44"/>
          <w:lang w:val="en-US" w:eastAsia="zh-CN"/>
        </w:rPr>
      </w:pPr>
    </w:p>
    <w:p w14:paraId="57A9601A">
      <w:pPr>
        <w:ind w:left="1888" w:hanging="1888" w:hangingChars="400"/>
        <w:jc w:val="center"/>
        <w:rPr>
          <w:rFonts w:hint="eastAsia" w:ascii="黑体" w:hAnsi="黑体" w:eastAsia="黑体" w:cs="黑体"/>
          <w:spacing w:val="16"/>
          <w:sz w:val="44"/>
          <w:szCs w:val="44"/>
          <w:lang w:val="en-US" w:eastAsia="zh-CN"/>
        </w:rPr>
      </w:pPr>
    </w:p>
    <w:p w14:paraId="530C795C">
      <w:pPr>
        <w:ind w:left="1888" w:hanging="1888" w:hangingChars="400"/>
        <w:jc w:val="center"/>
        <w:rPr>
          <w:rFonts w:hint="eastAsia" w:ascii="黑体" w:hAnsi="黑体" w:eastAsia="黑体" w:cs="黑体"/>
          <w:spacing w:val="16"/>
          <w:sz w:val="44"/>
          <w:szCs w:val="44"/>
          <w:lang w:val="en-US" w:eastAsia="zh-CN"/>
        </w:rPr>
      </w:pPr>
    </w:p>
    <w:p w14:paraId="35DBA3DA">
      <w:pPr>
        <w:ind w:left="1888" w:hanging="1408" w:hangingChars="400"/>
        <w:jc w:val="center"/>
        <w:rPr>
          <w:rFonts w:hint="eastAsia" w:ascii="仿宋" w:hAnsi="仿宋" w:eastAsia="仿宋" w:cs="仿宋"/>
          <w:spacing w:val="16"/>
          <w:sz w:val="32"/>
          <w:szCs w:val="32"/>
          <w:lang w:val="en-US" w:eastAsia="zh-CN"/>
        </w:rPr>
      </w:pPr>
    </w:p>
    <w:p w14:paraId="58A0CECA">
      <w:pPr>
        <w:ind w:left="1888" w:hanging="1408" w:hangingChars="400"/>
        <w:jc w:val="center"/>
        <w:rPr>
          <w:rFonts w:hint="eastAsia" w:ascii="仿宋" w:hAnsi="仿宋" w:eastAsia="仿宋" w:cs="仿宋"/>
          <w:spacing w:val="16"/>
          <w:sz w:val="32"/>
          <w:szCs w:val="32"/>
          <w:lang w:val="en-US" w:eastAsia="zh-CN"/>
        </w:rPr>
      </w:pPr>
    </w:p>
    <w:p w14:paraId="3D7F9C7A">
      <w:pPr>
        <w:ind w:left="1888" w:hanging="1408" w:hangingChars="400"/>
        <w:jc w:val="center"/>
        <w:rPr>
          <w:rFonts w:hint="eastAsia" w:ascii="仿宋" w:hAnsi="仿宋" w:eastAsia="仿宋" w:cs="仿宋"/>
          <w:spacing w:val="16"/>
          <w:sz w:val="32"/>
          <w:szCs w:val="32"/>
          <w:lang w:val="en-US" w:eastAsia="zh-CN"/>
        </w:rPr>
      </w:pPr>
    </w:p>
    <w:p w14:paraId="0FC6DE80">
      <w:pPr>
        <w:ind w:left="1888" w:hanging="1408" w:hangingChars="400"/>
        <w:jc w:val="center"/>
        <w:rPr>
          <w:rFonts w:hint="eastAsia" w:ascii="仿宋" w:hAnsi="仿宋" w:eastAsia="仿宋" w:cs="仿宋"/>
          <w:spacing w:val="16"/>
          <w:sz w:val="32"/>
          <w:szCs w:val="32"/>
          <w:lang w:val="en-US" w:eastAsia="zh-CN"/>
        </w:rPr>
      </w:pPr>
    </w:p>
    <w:p w14:paraId="76254C32">
      <w:pPr>
        <w:widowControl w:val="0"/>
        <w:tabs>
          <w:tab w:val="left" w:leader="underscore" w:pos="7350"/>
        </w:tabs>
        <w:wordWrap/>
        <w:adjustRightInd/>
        <w:snapToGrid/>
        <w:spacing w:line="560" w:lineRule="exact"/>
        <w:jc w:val="both"/>
        <w:textAlignment w:val="auto"/>
        <w:rPr>
          <w:rFonts w:hint="eastAsia" w:ascii="仿宋" w:hAnsi="仿宋" w:eastAsia="仿宋" w:cs="仿宋"/>
          <w:b w:val="0"/>
          <w:bCs w:val="0"/>
          <w:spacing w:val="0"/>
          <w:kern w:val="0"/>
          <w:sz w:val="30"/>
          <w:szCs w:val="30"/>
          <w:u w:val="none"/>
          <w:fitText w:val="1200" w:id="0"/>
          <w:lang w:val="en-US" w:eastAsia="zh-CN"/>
        </w:rPr>
      </w:pPr>
    </w:p>
    <w:p w14:paraId="19EE0DC0">
      <w:pPr>
        <w:widowControl w:val="0"/>
        <w:tabs>
          <w:tab w:val="left" w:leader="underscore" w:pos="7350"/>
        </w:tabs>
        <w:wordWrap/>
        <w:adjustRightInd/>
        <w:snapToGrid/>
        <w:spacing w:line="560" w:lineRule="exact"/>
        <w:ind w:left="2340" w:leftChars="400" w:hanging="1500" w:hangingChars="500"/>
        <w:jc w:val="both"/>
        <w:textAlignment w:val="auto"/>
        <w:rPr>
          <w:rFonts w:hint="default" w:ascii="仿宋" w:hAnsi="仿宋" w:eastAsia="仿宋" w:cs="仿宋"/>
          <w:b w:val="0"/>
          <w:bCs w:val="0"/>
          <w:spacing w:val="8"/>
          <w:sz w:val="30"/>
          <w:szCs w:val="30"/>
          <w:u w:val="single"/>
          <w:lang w:val="en-US" w:eastAsia="zh-CN"/>
        </w:rPr>
      </w:pPr>
      <w:r>
        <w:rPr>
          <w:rFonts w:hint="eastAsia" w:ascii="仿宋" w:hAnsi="仿宋" w:eastAsia="仿宋" w:cs="仿宋"/>
          <w:b w:val="0"/>
          <w:bCs w:val="0"/>
          <w:spacing w:val="0"/>
          <w:kern w:val="0"/>
          <w:sz w:val="30"/>
          <w:szCs w:val="30"/>
          <w:u w:val="none"/>
          <w:fitText w:val="1200" w:id="1"/>
          <w:lang w:val="en-US" w:eastAsia="zh-CN"/>
        </w:rPr>
        <w:t>项目名称</w:t>
      </w:r>
      <w:r>
        <w:rPr>
          <w:rFonts w:hint="eastAsia" w:ascii="仿宋" w:hAnsi="仿宋" w:eastAsia="仿宋" w:cs="仿宋"/>
          <w:b w:val="0"/>
          <w:bCs w:val="0"/>
          <w:spacing w:val="8"/>
          <w:sz w:val="30"/>
          <w:szCs w:val="30"/>
          <w:u w:val="none"/>
          <w:lang w:val="en-US" w:eastAsia="zh-CN"/>
        </w:rPr>
        <w:t>：</w:t>
      </w:r>
      <w:r>
        <w:rPr>
          <w:rFonts w:hint="eastAsia" w:ascii="仿宋" w:hAnsi="仿宋" w:eastAsia="仿宋" w:cs="仿宋"/>
          <w:b w:val="0"/>
          <w:bCs w:val="0"/>
          <w:spacing w:val="8"/>
          <w:sz w:val="30"/>
          <w:szCs w:val="30"/>
          <w:u w:val="single"/>
          <w:lang w:val="en-US" w:eastAsia="zh-CN"/>
        </w:rPr>
        <w:t>商洛市商州区国有建设用地及农用地地籍调查和成果入库汇交技术服务项目</w:t>
      </w:r>
    </w:p>
    <w:p w14:paraId="04002294">
      <w:pPr>
        <w:widowControl w:val="0"/>
        <w:tabs>
          <w:tab w:val="left" w:leader="underscore" w:pos="7350"/>
        </w:tabs>
        <w:wordWrap/>
        <w:adjustRightInd/>
        <w:snapToGrid/>
        <w:spacing w:line="560" w:lineRule="exact"/>
        <w:ind w:left="840" w:leftChars="400" w:firstLine="0" w:firstLineChars="0"/>
        <w:jc w:val="left"/>
        <w:textAlignment w:val="auto"/>
        <w:rPr>
          <w:rFonts w:hint="default" w:ascii="仿宋" w:hAnsi="仿宋" w:eastAsia="仿宋" w:cs="仿宋"/>
          <w:b w:val="0"/>
          <w:bCs w:val="0"/>
          <w:spacing w:val="8"/>
          <w:sz w:val="30"/>
          <w:szCs w:val="30"/>
          <w:u w:val="none"/>
          <w:lang w:val="en-US" w:eastAsia="zh-CN"/>
        </w:rPr>
      </w:pPr>
      <w:r>
        <w:rPr>
          <w:rFonts w:hint="eastAsia" w:ascii="仿宋" w:hAnsi="仿宋" w:eastAsia="仿宋" w:cs="仿宋"/>
          <w:b w:val="0"/>
          <w:bCs w:val="0"/>
          <w:spacing w:val="0"/>
          <w:kern w:val="0"/>
          <w:sz w:val="30"/>
          <w:szCs w:val="30"/>
          <w:u w:val="none"/>
          <w:fitText w:val="1200" w:id="3"/>
          <w:lang w:val="en-US" w:eastAsia="zh-CN"/>
        </w:rPr>
        <w:t>甲    方</w:t>
      </w:r>
      <w:r>
        <w:rPr>
          <w:rFonts w:hint="eastAsia" w:ascii="仿宋" w:hAnsi="仿宋" w:eastAsia="仿宋" w:cs="仿宋"/>
          <w:b w:val="0"/>
          <w:bCs w:val="0"/>
          <w:spacing w:val="8"/>
          <w:sz w:val="30"/>
          <w:szCs w:val="30"/>
          <w:u w:val="none"/>
          <w:lang w:val="en-US" w:eastAsia="zh-CN"/>
        </w:rPr>
        <w:t>：</w:t>
      </w:r>
      <w:r>
        <w:rPr>
          <w:rFonts w:hint="eastAsia" w:ascii="仿宋" w:hAnsi="仿宋" w:eastAsia="仿宋" w:cs="仿宋"/>
          <w:b w:val="0"/>
          <w:bCs w:val="0"/>
          <w:spacing w:val="8"/>
          <w:sz w:val="30"/>
          <w:szCs w:val="30"/>
          <w:u w:val="single"/>
          <w:lang w:val="en-US" w:eastAsia="zh-CN"/>
        </w:rPr>
        <w:t xml:space="preserve">商洛市自然资源局商州分局            </w:t>
      </w:r>
    </w:p>
    <w:p w14:paraId="4E81E076">
      <w:pPr>
        <w:widowControl w:val="0"/>
        <w:tabs>
          <w:tab w:val="left" w:leader="underscore" w:pos="7350"/>
        </w:tabs>
        <w:wordWrap/>
        <w:adjustRightInd/>
        <w:snapToGrid/>
        <w:spacing w:line="560" w:lineRule="exact"/>
        <w:ind w:left="840" w:leftChars="400" w:firstLine="0" w:firstLineChars="0"/>
        <w:jc w:val="left"/>
        <w:textAlignment w:val="auto"/>
        <w:rPr>
          <w:rFonts w:hint="default" w:ascii="仿宋" w:hAnsi="仿宋" w:eastAsia="仿宋" w:cs="仿宋"/>
          <w:b w:val="0"/>
          <w:bCs w:val="0"/>
          <w:spacing w:val="8"/>
          <w:sz w:val="30"/>
          <w:szCs w:val="30"/>
          <w:u w:val="none"/>
          <w:lang w:val="en-US" w:eastAsia="zh-CN"/>
        </w:rPr>
      </w:pPr>
      <w:r>
        <w:rPr>
          <w:rFonts w:hint="eastAsia" w:ascii="仿宋" w:hAnsi="仿宋" w:eastAsia="仿宋" w:cs="仿宋"/>
          <w:b w:val="0"/>
          <w:bCs w:val="0"/>
          <w:spacing w:val="0"/>
          <w:kern w:val="0"/>
          <w:sz w:val="30"/>
          <w:szCs w:val="30"/>
          <w:u w:val="none"/>
          <w:fitText w:val="1200" w:id="4"/>
          <w:lang w:val="en-US" w:eastAsia="zh-CN"/>
        </w:rPr>
        <w:t>乙    方</w:t>
      </w:r>
      <w:r>
        <w:rPr>
          <w:rFonts w:hint="eastAsia" w:ascii="仿宋" w:hAnsi="仿宋" w:eastAsia="仿宋" w:cs="仿宋"/>
          <w:b w:val="0"/>
          <w:bCs w:val="0"/>
          <w:spacing w:val="8"/>
          <w:sz w:val="30"/>
          <w:szCs w:val="30"/>
          <w:u w:val="none"/>
          <w:lang w:val="en-US" w:eastAsia="zh-CN"/>
        </w:rPr>
        <w:t>：</w:t>
      </w:r>
      <w:r>
        <w:rPr>
          <w:rFonts w:hint="eastAsia" w:ascii="仿宋" w:hAnsi="仿宋" w:eastAsia="仿宋" w:cs="仿宋"/>
          <w:b w:val="0"/>
          <w:bCs w:val="0"/>
          <w:spacing w:val="8"/>
          <w:sz w:val="30"/>
          <w:szCs w:val="30"/>
          <w:u w:val="single"/>
          <w:lang w:val="en-US" w:eastAsia="zh-CN"/>
        </w:rPr>
        <w:t xml:space="preserve">                                   </w:t>
      </w:r>
    </w:p>
    <w:p w14:paraId="22CF1C56">
      <w:pPr>
        <w:widowControl w:val="0"/>
        <w:tabs>
          <w:tab w:val="left" w:leader="underscore" w:pos="7350"/>
        </w:tabs>
        <w:wordWrap/>
        <w:adjustRightInd/>
        <w:snapToGrid/>
        <w:spacing w:line="560" w:lineRule="exact"/>
        <w:ind w:left="840" w:leftChars="400" w:firstLine="0" w:firstLineChars="0"/>
        <w:jc w:val="left"/>
        <w:textAlignment w:val="auto"/>
        <w:rPr>
          <w:rFonts w:hint="default" w:ascii="仿宋" w:hAnsi="仿宋" w:eastAsia="仿宋" w:cs="仿宋"/>
          <w:b w:val="0"/>
          <w:bCs w:val="0"/>
          <w:spacing w:val="8"/>
          <w:sz w:val="30"/>
          <w:szCs w:val="30"/>
          <w:u w:val="single"/>
          <w:lang w:val="en-US" w:eastAsia="zh-CN"/>
        </w:rPr>
      </w:pPr>
      <w:r>
        <w:rPr>
          <w:rFonts w:hint="eastAsia" w:ascii="仿宋" w:hAnsi="仿宋" w:eastAsia="仿宋" w:cs="仿宋"/>
          <w:b w:val="0"/>
          <w:bCs w:val="0"/>
          <w:spacing w:val="0"/>
          <w:kern w:val="0"/>
          <w:sz w:val="30"/>
          <w:szCs w:val="30"/>
          <w:u w:val="none"/>
          <w:fitText w:val="1200" w:id="5"/>
          <w:lang w:val="en-US" w:eastAsia="zh-CN"/>
        </w:rPr>
        <w:t>签订日期</w:t>
      </w:r>
      <w:r>
        <w:rPr>
          <w:rFonts w:hint="eastAsia" w:ascii="仿宋" w:hAnsi="仿宋" w:eastAsia="仿宋" w:cs="仿宋"/>
          <w:b w:val="0"/>
          <w:bCs w:val="0"/>
          <w:spacing w:val="8"/>
          <w:sz w:val="30"/>
          <w:szCs w:val="30"/>
          <w:u w:val="none"/>
          <w:lang w:val="en-US" w:eastAsia="zh-CN"/>
        </w:rPr>
        <w:t>：</w:t>
      </w:r>
      <w:r>
        <w:rPr>
          <w:rFonts w:hint="eastAsia" w:ascii="仿宋" w:hAnsi="仿宋" w:eastAsia="仿宋" w:cs="仿宋"/>
          <w:b w:val="0"/>
          <w:bCs w:val="0"/>
          <w:spacing w:val="8"/>
          <w:sz w:val="30"/>
          <w:szCs w:val="30"/>
          <w:u w:val="single"/>
          <w:lang w:val="en-US" w:eastAsia="zh-CN"/>
        </w:rPr>
        <w:t xml:space="preserve">     年    月    日                </w:t>
      </w:r>
    </w:p>
    <w:p w14:paraId="4ABCBA93"/>
    <w:p w14:paraId="492FB17E"/>
    <w:p w14:paraId="3D6A19D5">
      <w:pPr>
        <w:pStyle w:val="3"/>
        <w:jc w:val="center"/>
        <w:rPr>
          <w:rFonts w:hint="eastAsia" w:ascii="仿宋" w:hAnsi="仿宋" w:eastAsia="仿宋" w:cs="仿宋"/>
          <w:lang w:val="en-US" w:eastAsia="zh-CN"/>
        </w:rPr>
        <w:sectPr>
          <w:headerReference r:id="rId3" w:type="default"/>
          <w:pgSz w:w="11906" w:h="16840"/>
          <w:pgMar w:top="2098" w:right="1474" w:bottom="1984" w:left="1587" w:header="1078" w:footer="907" w:gutter="170"/>
          <w:pgNumType w:fmt="decimal"/>
          <w:cols w:space="720" w:num="1"/>
          <w:rtlGutter w:val="0"/>
          <w:docGrid w:linePitch="1" w:charSpace="0"/>
        </w:sectPr>
      </w:pPr>
    </w:p>
    <w:p w14:paraId="747E2530">
      <w:pPr>
        <w:pStyle w:val="3"/>
        <w:wordWrap/>
        <w:spacing w:before="0" w:beforeLines="0" w:after="0" w:afterLines="0" w:line="560" w:lineRule="exact"/>
        <w:ind w:left="0" w:leftChars="0" w:right="0"/>
        <w:jc w:val="center"/>
        <w:rPr>
          <w:rFonts w:hint="eastAsia" w:ascii="仿宋" w:hAnsi="仿宋" w:eastAsia="仿宋" w:cs="仿宋"/>
          <w:lang w:val="en-US" w:eastAsia="zh-CN"/>
        </w:rPr>
      </w:pPr>
      <w:r>
        <w:rPr>
          <w:rFonts w:hint="eastAsia" w:ascii="仿宋" w:hAnsi="仿宋" w:eastAsia="仿宋" w:cs="仿宋"/>
          <w:lang w:val="en-US" w:eastAsia="zh-CN"/>
        </w:rPr>
        <w:t>合同书</w:t>
      </w:r>
    </w:p>
    <w:p w14:paraId="5CE655F8">
      <w:pPr>
        <w:rPr>
          <w:rFonts w:hint="eastAsia" w:ascii="仿宋" w:hAnsi="仿宋" w:eastAsia="仿宋" w:cs="仿宋"/>
          <w:lang w:val="en-US" w:eastAsia="zh-CN"/>
        </w:rPr>
      </w:pPr>
    </w:p>
    <w:p w14:paraId="1A118708">
      <w:pPr>
        <w:pStyle w:val="2"/>
        <w:rPr>
          <w:rFonts w:hint="eastAsia"/>
          <w:lang w:val="en-US" w:eastAsia="zh-CN"/>
        </w:rPr>
      </w:pPr>
    </w:p>
    <w:p w14:paraId="3A96B8F7">
      <w:pPr>
        <w:widowControl w:val="0"/>
        <w:wordWrap/>
        <w:adjustRightInd/>
        <w:snapToGrid/>
        <w:spacing w:beforeAutospacing="0" w:afterAutospacing="0" w:line="520" w:lineRule="exact"/>
        <w:ind w:left="0" w:leftChars="0" w:right="0" w:firstLine="640" w:firstLineChars="20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u w:val="single"/>
          <w:lang w:val="en-US" w:eastAsia="zh-CN"/>
        </w:rPr>
        <w:t>商洛市自然资源局商州分局</w:t>
      </w:r>
    </w:p>
    <w:p w14:paraId="4E093FF0">
      <w:pPr>
        <w:widowControl w:val="0"/>
        <w:wordWrap/>
        <w:adjustRightInd/>
        <w:snapToGrid/>
        <w:spacing w:beforeAutospacing="0" w:afterAutospacing="0" w:line="520" w:lineRule="exac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u w:val="single"/>
          <w:lang w:val="en-US" w:eastAsia="zh-CN"/>
        </w:rPr>
        <w:t xml:space="preserve">                       </w:t>
      </w:r>
    </w:p>
    <w:p w14:paraId="013C3DBE">
      <w:pPr>
        <w:widowControl w:val="0"/>
        <w:wordWrap/>
        <w:adjustRightInd/>
        <w:snapToGrid/>
        <w:spacing w:beforeAutospacing="0" w:afterAutospacing="0" w:line="520" w:lineRule="exact"/>
        <w:ind w:left="0" w:leftChars="0" w:right="0" w:firstLine="640" w:firstLineChars="200"/>
        <w:jc w:val="both"/>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sz w:val="32"/>
          <w:szCs w:val="32"/>
          <w:lang w:val="en-US" w:eastAsia="zh-CN"/>
        </w:rPr>
        <w:t>根据《自然资源部关于进一步做好地籍调查工作的通知》(自然资发[2023]195号)文件要求，通过竞争性磋商方式确定乙方为第三方技术服务单位，完成商洛市商州区国有建设用地及农用地地籍调查和成果入库汇交技术服务项目，依据《合同法》及有关法律、法规的相关规定，经双方协商一致，签订本合同。</w:t>
      </w:r>
    </w:p>
    <w:p w14:paraId="242F74EA">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第一条 服务期限</w:t>
      </w:r>
    </w:p>
    <w:p w14:paraId="7E810D84">
      <w:pPr>
        <w:pStyle w:val="4"/>
        <w:keepNext/>
        <w:widowControl w:val="0"/>
        <w:wordWrap/>
        <w:adjustRightInd/>
        <w:snapToGrid/>
        <w:spacing w:before="0" w:beforeLines="0" w:after="0" w:afterLines="0" w:line="520" w:lineRule="exact"/>
        <w:ind w:left="0" w:leftChars="0" w:right="0"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合同签订之日起90日历天完成</w:t>
      </w:r>
    </w:p>
    <w:p w14:paraId="55963C04">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第二条 工作内容</w:t>
      </w:r>
    </w:p>
    <w:p w14:paraId="05A81E9A">
      <w:pPr>
        <w:pStyle w:val="4"/>
        <w:keepNext/>
        <w:widowControl w:val="0"/>
        <w:wordWrap/>
        <w:adjustRightInd/>
        <w:snapToGrid/>
        <w:spacing w:before="0" w:beforeLines="0" w:after="0" w:afterLines="0" w:line="520" w:lineRule="exact"/>
        <w:ind w:left="0" w:leftChars="0" w:right="0"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按照《自然资源部关于</w:t>
      </w:r>
      <w:bookmarkStart w:id="0" w:name="_GoBack"/>
      <w:bookmarkEnd w:id="0"/>
      <w:r>
        <w:rPr>
          <w:rFonts w:hint="eastAsia" w:ascii="仿宋_GB2312" w:hAnsi="仿宋_GB2312" w:eastAsia="仿宋_GB2312" w:cs="仿宋_GB2312"/>
          <w:b w:val="0"/>
          <w:kern w:val="2"/>
          <w:sz w:val="32"/>
          <w:szCs w:val="32"/>
          <w:lang w:val="en-US" w:eastAsia="zh-CN" w:bidi="ar-SA"/>
        </w:rPr>
        <w:t>进一步做好地籍调查工作的通知》(自然资发〔2023〕195号)要求和省自然资源厅办公室《关于开展2026年国有建设用地地籍成果入库汇交工作的通知》部署安排，通过专业技术服务，完成商洛市商州区国有建设用地及农用地地籍数据整理、补充调绘、建库和成果汇交，建成符合标准的地籍数据库。通过数据收集和现状分析、全量排查建立台账、补充调查测绘、数据整合建库、质量检查整改、编制成果汇交、成果资料移交。</w:t>
      </w:r>
    </w:p>
    <w:p w14:paraId="11B57E67">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第三条 服务工作具体要求</w:t>
      </w:r>
    </w:p>
    <w:p w14:paraId="0616F7C3">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w:t>
      </w:r>
    </w:p>
    <w:p w14:paraId="1BA8E75F">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w:t>
      </w:r>
    </w:p>
    <w:p w14:paraId="5ED6ACA9">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w:t>
      </w:r>
    </w:p>
    <w:p w14:paraId="0F8A1392">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第四条 服务人员配备及要求</w:t>
      </w:r>
    </w:p>
    <w:p w14:paraId="2020AD6F">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w:t>
      </w:r>
    </w:p>
    <w:p w14:paraId="0362BC00">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w:t>
      </w:r>
    </w:p>
    <w:p w14:paraId="47FA6359">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w:t>
      </w:r>
    </w:p>
    <w:p w14:paraId="2E6A2E3E">
      <w:pPr>
        <w:pStyle w:val="4"/>
        <w:keepNext/>
        <w:widowControl w:val="0"/>
        <w:wordWrap/>
        <w:adjustRightInd/>
        <w:snapToGrid/>
        <w:spacing w:before="0" w:beforeLines="0" w:after="0" w:afterLines="0" w:line="520" w:lineRule="exact"/>
        <w:ind w:left="0" w:leftChars="0" w:right="0" w:firstLine="643" w:firstLineChars="200"/>
        <w:textAlignment w:val="auto"/>
        <w:rPr>
          <w:rFonts w:hint="default"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第五条 成果提交</w:t>
      </w:r>
    </w:p>
    <w:p w14:paraId="0793BEDF">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按照要求提供如下成果：</w:t>
      </w:r>
    </w:p>
    <w:p w14:paraId="334F8425">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w:t>
      </w:r>
    </w:p>
    <w:p w14:paraId="6080F48D">
      <w:pPr>
        <w:pStyle w:val="2"/>
        <w:widowControl w:val="0"/>
        <w:numPr>
          <w:ilvl w:val="0"/>
          <w:numId w:val="0"/>
        </w:numPr>
        <w:wordWrap/>
        <w:adjustRightInd/>
        <w:snapToGrid/>
        <w:spacing w:after="0" w:line="52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w:t>
      </w:r>
    </w:p>
    <w:p w14:paraId="26E621A9">
      <w:pPr>
        <w:pStyle w:val="2"/>
        <w:widowControl w:val="0"/>
        <w:numPr>
          <w:ilvl w:val="0"/>
          <w:numId w:val="0"/>
        </w:numPr>
        <w:wordWrap/>
        <w:adjustRightInd/>
        <w:snapToGrid/>
        <w:spacing w:after="0" w:line="520" w:lineRule="exact"/>
        <w:ind w:left="0" w:leftChars="0" w:righ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w:t>
      </w:r>
    </w:p>
    <w:p w14:paraId="497F708C">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第六条 服务费用及支付方式</w:t>
      </w:r>
    </w:p>
    <w:p w14:paraId="09F47641">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u w:val="single"/>
          <w:lang w:val="en-US" w:eastAsia="zh-CN" w:bidi="ar-SA"/>
        </w:rPr>
      </w:pP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一）根据本项目文件要求，</w:t>
      </w:r>
      <w:r>
        <w:rPr>
          <w:rFonts w:hint="eastAsia" w:ascii="仿宋_GB2312" w:hAnsi="仿宋_GB2312" w:eastAsia="仿宋_GB2312" w:cs="仿宋_GB2312"/>
          <w:sz w:val="32"/>
          <w:szCs w:val="32"/>
          <w:lang w:val="en-US" w:eastAsia="zh-CN"/>
        </w:rPr>
        <w:t>通过竞争性磋商方式，确定本项业务</w:t>
      </w:r>
      <w:r>
        <w:rPr>
          <w:rFonts w:hint="eastAsia" w:ascii="仿宋_GB2312" w:hAnsi="仿宋_GB2312" w:eastAsia="仿宋_GB2312" w:cs="仿宋_GB2312"/>
          <w:kern w:val="2"/>
          <w:sz w:val="32"/>
          <w:szCs w:val="32"/>
          <w:lang w:val="en-US" w:eastAsia="zh-CN" w:bidi="ar-SA"/>
        </w:rPr>
        <w:t>含税总价款为</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u w:val="none"/>
          <w:lang w:val="en-US" w:eastAsia="zh-CN" w:bidi="ar-SA"/>
        </w:rPr>
        <w:t xml:space="preserve">（小写¥ </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u w:val="none"/>
          <w:lang w:val="en-US" w:eastAsia="zh-CN" w:bidi="ar-SA"/>
        </w:rPr>
        <w:t>）。</w:t>
      </w:r>
    </w:p>
    <w:p w14:paraId="507E1460">
      <w:pPr>
        <w:widowControl w:val="0"/>
        <w:tabs>
          <w:tab w:val="left" w:pos="3334"/>
        </w:tabs>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（二）支付方式：</w:t>
      </w:r>
      <w:r>
        <w:rPr>
          <w:rFonts w:hint="eastAsia" w:ascii="仿宋_GB2312" w:hAnsi="仿宋_GB2312" w:eastAsia="仿宋_GB2312" w:cs="仿宋_GB2312"/>
          <w:kern w:val="2"/>
          <w:sz w:val="32"/>
          <w:szCs w:val="32"/>
          <w:lang w:val="en-US" w:eastAsia="zh-CN" w:bidi="ar-SA"/>
        </w:rPr>
        <w:tab/>
      </w:r>
    </w:p>
    <w:p w14:paraId="5A7C0E7B">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1、合同签订后，成果报告上交市级部门审查后，达到付款条件起 30 日内，支付合同总金额的 30.00%。 </w:t>
      </w:r>
    </w:p>
    <w:p w14:paraId="6043EFC1">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2、项目中期成果提交省级部门审查通过后，达到付款条件起 30 日内，支付合同总金额的 30.00%。 </w:t>
      </w:r>
    </w:p>
    <w:p w14:paraId="0217ED61">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3、合同到达履行期限后，项目完成验收合格，达到付款条件起 30 日内，支付合同总金额的 40.00%。</w:t>
      </w:r>
    </w:p>
    <w:p w14:paraId="3EE22FDA">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（三）支付形式：</w:t>
      </w:r>
    </w:p>
    <w:p w14:paraId="1AC65927">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Times New Roman" w:hAnsi="Times New Roman" w:eastAsia="仿宋" w:cs="Times New Roman"/>
          <w:kern w:val="2"/>
          <w:sz w:val="28"/>
          <w:szCs w:val="28"/>
          <w:lang w:val="en-US" w:eastAsia="zh-CN" w:bidi="ar-SA"/>
        </w:rPr>
      </w:pPr>
      <w:r>
        <w:rPr>
          <w:rFonts w:hint="eastAsia" w:ascii="仿宋_GB2312" w:hAnsi="仿宋_GB2312" w:eastAsia="仿宋_GB2312" w:cs="仿宋_GB2312"/>
          <w:kern w:val="2"/>
          <w:sz w:val="32"/>
          <w:szCs w:val="32"/>
          <w:lang w:val="en-US" w:eastAsia="zh-CN" w:bidi="ar-SA"/>
        </w:rPr>
        <w:t>（四）乙方指定收款信息</w:t>
      </w:r>
    </w:p>
    <w:p w14:paraId="47F85E32">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名称：</w:t>
      </w:r>
    </w:p>
    <w:p w14:paraId="07EA24FD">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纳税人识别号：</w:t>
      </w:r>
    </w:p>
    <w:p w14:paraId="03B10B97">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地址、电话：</w:t>
      </w:r>
    </w:p>
    <w:p w14:paraId="06480CAB">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开户行：</w:t>
      </w:r>
    </w:p>
    <w:p w14:paraId="21BCED10">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账号：</w:t>
      </w:r>
    </w:p>
    <w:p w14:paraId="6C94DC89">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（五）甲方每次付款前，乙方须提供符合甲方财务部门要求的等额增值税发票。否则，甲方有权延迟支付服务费用，且甲方延迟支付行为不应视为违约。</w:t>
      </w:r>
    </w:p>
    <w:p w14:paraId="7884AA5F">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Times New Roman" w:hAnsi="Times New Roman" w:eastAsia="仿宋" w:cs="Times New Roman"/>
          <w:kern w:val="2"/>
          <w:sz w:val="28"/>
          <w:szCs w:val="28"/>
          <w:lang w:val="en-US" w:eastAsia="zh-CN" w:bidi="ar-SA"/>
        </w:rPr>
      </w:pPr>
      <w:r>
        <w:rPr>
          <w:rFonts w:hint="eastAsia" w:ascii="仿宋_GB2312" w:hAnsi="仿宋_GB2312" w:eastAsia="仿宋_GB2312" w:cs="仿宋_GB2312"/>
          <w:kern w:val="2"/>
          <w:sz w:val="32"/>
          <w:szCs w:val="32"/>
          <w:lang w:val="en-US" w:eastAsia="zh-CN" w:bidi="ar-SA"/>
        </w:rPr>
        <w:t>（六）如遇国家政策规定调整本合同中的相应服务费用标准，则届时双方协商按国家规定政策规定执行。</w:t>
      </w:r>
    </w:p>
    <w:p w14:paraId="37C533DB">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第七条 甲方权利与义务</w:t>
      </w:r>
    </w:p>
    <w:p w14:paraId="32927D09">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（一）甲方对乙方提供的服务进行监督、检查，对服务效果考核。</w:t>
      </w:r>
    </w:p>
    <w:p w14:paraId="5C773AC2">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（二）甲方对乙方不称职的服务人员提出调换。</w:t>
      </w:r>
    </w:p>
    <w:p w14:paraId="7B8EA18E">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（三）甲方对乙方拟定下发的书面文件进行审核。</w:t>
      </w:r>
    </w:p>
    <w:p w14:paraId="5F423B7A">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（四）甲方按合同约定按时向乙方支付应付款项。</w:t>
      </w:r>
    </w:p>
    <w:p w14:paraId="475BFC4C">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第八条 乙方权利与义务</w:t>
      </w:r>
    </w:p>
    <w:p w14:paraId="398DBDFC">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（一）乙方应按照合同要求开展相关工作，并接受甲方指导，在服务过程中切实维护甲方合法权益。</w:t>
      </w:r>
    </w:p>
    <w:p w14:paraId="500F3518">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（二）乙方接受甲方考评。</w:t>
      </w:r>
    </w:p>
    <w:p w14:paraId="1E234554">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负责资料保密工作。本项目甲方提供的所有资料,乙方只能用于本项目，不得用于其他项目。对所形成的成果不得私自应用于商业经营活动，未经甲方同意，不得将成果转让给第三方，否则应承担相应法律责任并赔偿由此给甲方造成的损失。</w:t>
      </w:r>
    </w:p>
    <w:p w14:paraId="166ACC8A">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（四）在向甲方交付成果后，根据甲方的需求，为甲方指定的人员提供技术指导和培训，或提供与使用该成果相关的技术服务。</w:t>
      </w:r>
    </w:p>
    <w:p w14:paraId="47ADAE6B">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（五）乙方不得以任何形式将本项目转让、分包给其它单位或个人。</w:t>
      </w:r>
    </w:p>
    <w:p w14:paraId="4BD4DA41">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（六）乙方对本次工作开展过程中人员安全负总责。</w:t>
      </w:r>
    </w:p>
    <w:p w14:paraId="325BFED3">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（七）依据《自然资源部关于进一步做好地籍调查工作的通知》(自然资发〔2023〕195号)要求提交相关成果，配合项目审核。</w:t>
      </w:r>
    </w:p>
    <w:p w14:paraId="3A711AB7">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第九条 不可抗力</w:t>
      </w:r>
    </w:p>
    <w:p w14:paraId="62F58E67">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本协议所指的“不可抗力事件”是指本协议签署日期后出现的，妨碍任何一方履行或部分履行本协议的所有事件，而且该事件是本协议各方不能合理地控制、无法预料，或即使可以预料也无法合理避免和克服的事件（包括但不限于政策变更、上级行政管理要求、地震、台风、洪水、火灾、战争、法律变更等）。</w:t>
      </w:r>
    </w:p>
    <w:p w14:paraId="5A64F861">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除非本协议另有规定，如果在本协议签署后发生上述不可抗力事件，且本协议任何一方受其影响不能履行或不能充分、及时、适当地履行其在本协议项下的任何义务时，本协议下另一方的义务在不可抗力引起的延误期内应中止履行，并应自动延长，延长的时间与该中止时间相等，无法或不适宜延长的，双方应终止履行合同，遭受不可抗力事件的一方及其另一方无须因此承担违约责任。</w:t>
      </w:r>
    </w:p>
    <w:p w14:paraId="7AF7D0AB">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第十条 违约责任</w:t>
      </w:r>
    </w:p>
    <w:p w14:paraId="2983576D">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（一）若乙方未能在双方约定的时间内出具相关成果，应在逾期后5个自然日内完成，同时承担因此而造成的工作责任及后果。</w:t>
      </w:r>
    </w:p>
    <w:p w14:paraId="31888C94">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（二）乙方对涉及密级业务的技术资料、数据、保密信息等进行严格保密，一旦泄密，需承担相应法律责任。</w:t>
      </w:r>
    </w:p>
    <w:p w14:paraId="177E69F7">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三）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并要求乙方承担违约责任。同时，政府采购监管部门有权依据《政府采购法》及相关法律法规对乙方的违法行为进行相应的处罚。   </w:t>
      </w:r>
    </w:p>
    <w:p w14:paraId="276037B3">
      <w:pPr>
        <w:widowControl w:val="0"/>
        <w:wordWrap/>
        <w:autoSpaceDE w:val="0"/>
        <w:autoSpaceDN w:val="0"/>
        <w:adjustRightInd w:val="0"/>
        <w:snapToGrid w:val="0"/>
        <w:spacing w:line="520" w:lineRule="exact"/>
        <w:ind w:left="0" w:leftChars="0" w:right="0" w:firstLine="643" w:firstLineChars="200"/>
        <w:jc w:val="both"/>
        <w:textAlignment w:val="baseline"/>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第十一条 争议的解决</w:t>
      </w:r>
    </w:p>
    <w:p w14:paraId="08F626A4">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lang w:val="en-US" w:eastAsia="zh-CN"/>
        </w:rPr>
      </w:pPr>
      <w:r>
        <w:rPr>
          <w:rFonts w:hint="eastAsia" w:ascii="仿宋_GB2312" w:hAnsi="仿宋_GB2312" w:eastAsia="仿宋_GB2312" w:cs="仿宋_GB2312"/>
          <w:kern w:val="2"/>
          <w:sz w:val="32"/>
          <w:szCs w:val="32"/>
          <w:lang w:val="en-US" w:eastAsia="zh-CN" w:bidi="ar-SA"/>
        </w:rPr>
        <w:t>本合同履行过程中发生的一切争议，双方应通过友好协商方式解决，协商不成时，任何一方均可向合同签订地有管辖权的人民法院提起诉讼。</w:t>
      </w:r>
    </w:p>
    <w:p w14:paraId="687AD08E">
      <w:pPr>
        <w:pStyle w:val="4"/>
        <w:keepNext/>
        <w:widowControl w:val="0"/>
        <w:wordWrap/>
        <w:adjustRightInd/>
        <w:snapToGrid/>
        <w:spacing w:before="0" w:beforeLines="0" w:after="0" w:afterLines="0" w:line="520" w:lineRule="exact"/>
        <w:ind w:left="0" w:leftChars="0" w:right="0" w:firstLine="643" w:firstLineChars="200"/>
        <w:textAlignment w:val="auto"/>
        <w:rPr>
          <w:rFonts w:hint="eastAsia" w:ascii="仿宋_GB2312" w:hAnsi="仿宋_GB2312" w:eastAsia="仿宋_GB2312" w:cs="仿宋_GB2312"/>
          <w:b/>
          <w:color w:val="000000"/>
          <w:kern w:val="2"/>
          <w:sz w:val="32"/>
          <w:szCs w:val="32"/>
          <w:lang w:val="en-US" w:eastAsia="zh-CN" w:bidi="ar-SA"/>
        </w:rPr>
      </w:pPr>
      <w:r>
        <w:rPr>
          <w:rFonts w:hint="eastAsia" w:ascii="仿宋_GB2312" w:hAnsi="仿宋_GB2312" w:eastAsia="仿宋_GB2312" w:cs="仿宋_GB2312"/>
          <w:b/>
          <w:color w:val="000000"/>
          <w:kern w:val="2"/>
          <w:sz w:val="32"/>
          <w:szCs w:val="32"/>
          <w:lang w:val="en-US" w:eastAsia="zh-CN" w:bidi="ar-SA"/>
        </w:rPr>
        <w:t>第十二条 合同生效及其它</w:t>
      </w:r>
    </w:p>
    <w:p w14:paraId="49F6AB99">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（一）合同未尽事宜、由甲、乙双方协商，作为合同补充，与原合同具有同等法律效力。</w:t>
      </w:r>
    </w:p>
    <w:p w14:paraId="159F160F">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（二）合同期限内，若因政策原因需调整相关合同条款事宜，双方另行签订变更协议。</w:t>
      </w:r>
    </w:p>
    <w:p w14:paraId="70C4CD9C">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（三）本合同正本一式肆份，甲方、乙方双方分别执贰份。</w:t>
      </w:r>
    </w:p>
    <w:p w14:paraId="396EF5A1">
      <w:pPr>
        <w:widowControl w:val="0"/>
        <w:wordWrap/>
        <w:autoSpaceDE w:val="0"/>
        <w:autoSpaceDN w:val="0"/>
        <w:adjustRightInd w:val="0"/>
        <w:snapToGrid w:val="0"/>
        <w:spacing w:line="520" w:lineRule="exact"/>
        <w:ind w:left="0" w:leftChars="0" w:right="0"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（四）合同经甲乙双方盖章、签字或直接盖章后生效。</w:t>
      </w:r>
    </w:p>
    <w:p w14:paraId="51669FC2">
      <w:pPr>
        <w:widowControl w:val="0"/>
        <w:wordWrap/>
        <w:autoSpaceDE w:val="0"/>
        <w:autoSpaceDN w:val="0"/>
        <w:adjustRightInd w:val="0"/>
        <w:snapToGrid w:val="0"/>
        <w:spacing w:line="520" w:lineRule="exact"/>
        <w:ind w:right="0"/>
        <w:jc w:val="both"/>
        <w:textAlignment w:val="baseline"/>
        <w:rPr>
          <w:rFonts w:hint="eastAsia" w:ascii="仿宋_GB2312" w:hAnsi="仿宋_GB2312" w:eastAsia="仿宋_GB2312" w:cs="仿宋_GB2312"/>
          <w:kern w:val="2"/>
          <w:sz w:val="32"/>
          <w:szCs w:val="32"/>
          <w:lang w:val="en-US" w:eastAsia="zh-CN" w:bidi="ar-SA"/>
        </w:rPr>
      </w:pPr>
    </w:p>
    <w:p w14:paraId="3EABBDEE">
      <w:pPr>
        <w:widowControl w:val="0"/>
        <w:wordWrap/>
        <w:autoSpaceDE w:val="0"/>
        <w:autoSpaceDN w:val="0"/>
        <w:adjustRightInd w:val="0"/>
        <w:snapToGrid w:val="0"/>
        <w:spacing w:line="320" w:lineRule="exact"/>
        <w:ind w:left="0" w:leftChars="0" w:right="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附：《成交通知书》</w:t>
      </w:r>
    </w:p>
    <w:p w14:paraId="6DC3B2F8">
      <w:pPr>
        <w:pStyle w:val="2"/>
        <w:widowControl w:val="0"/>
        <w:wordWrap/>
        <w:spacing w:after="0" w:line="320" w:lineRule="exact"/>
        <w:ind w:left="0" w:leftChars="0" w:right="0" w:firstLine="420" w:firstLineChars="200"/>
        <w:jc w:val="both"/>
        <w:outlineLvl w:val="9"/>
        <w:rPr>
          <w:rFonts w:hint="eastAsia"/>
          <w:lang w:val="en-US" w:eastAsia="zh-CN"/>
        </w:rPr>
      </w:pPr>
    </w:p>
    <w:p w14:paraId="56C00293">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甲方（盖章）：商洛市自然资源局商州分局</w:t>
      </w:r>
    </w:p>
    <w:p w14:paraId="031C048B">
      <w:pPr>
        <w:pStyle w:val="2"/>
        <w:widowControl w:val="0"/>
        <w:wordWrap/>
        <w:spacing w:after="0" w:line="320" w:lineRule="exact"/>
        <w:ind w:left="0" w:leftChars="0" w:right="0" w:firstLine="420" w:firstLineChars="200"/>
        <w:jc w:val="both"/>
        <w:outlineLvl w:val="9"/>
        <w:rPr>
          <w:rFonts w:hint="eastAsia"/>
          <w:lang w:val="en-US" w:eastAsia="zh-CN"/>
        </w:rPr>
      </w:pPr>
    </w:p>
    <w:p w14:paraId="08E7A1B8">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法定代表人或被授权代表（签字）：</w:t>
      </w:r>
    </w:p>
    <w:p w14:paraId="28FF5AAD">
      <w:pPr>
        <w:pStyle w:val="2"/>
        <w:widowControl w:val="0"/>
        <w:wordWrap/>
        <w:spacing w:after="0" w:line="320" w:lineRule="exact"/>
        <w:ind w:left="0" w:leftChars="0" w:right="0" w:firstLine="420" w:firstLineChars="200"/>
        <w:jc w:val="both"/>
        <w:outlineLvl w:val="9"/>
        <w:rPr>
          <w:rFonts w:hint="default"/>
          <w:lang w:val="en-US" w:eastAsia="zh-CN"/>
        </w:rPr>
      </w:pPr>
    </w:p>
    <w:p w14:paraId="6CF5CDA7">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联系人（签字）：</w:t>
      </w:r>
    </w:p>
    <w:p w14:paraId="50770633">
      <w:pPr>
        <w:pStyle w:val="2"/>
        <w:widowControl w:val="0"/>
        <w:wordWrap/>
        <w:spacing w:after="0" w:line="320" w:lineRule="exact"/>
        <w:ind w:left="0" w:leftChars="0" w:right="0" w:firstLine="420" w:firstLineChars="200"/>
        <w:jc w:val="both"/>
        <w:outlineLvl w:val="9"/>
        <w:rPr>
          <w:rFonts w:hint="eastAsia"/>
          <w:lang w:val="en-US" w:eastAsia="zh-CN"/>
        </w:rPr>
      </w:pPr>
    </w:p>
    <w:p w14:paraId="21C1952B">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w:t>
      </w:r>
    </w:p>
    <w:p w14:paraId="48E2C0CF">
      <w:pPr>
        <w:pStyle w:val="2"/>
        <w:widowControl w:val="0"/>
        <w:wordWrap/>
        <w:spacing w:after="0" w:line="320" w:lineRule="exact"/>
        <w:ind w:left="0" w:leftChars="0" w:right="0"/>
        <w:jc w:val="both"/>
        <w:outlineLvl w:val="9"/>
        <w:rPr>
          <w:rFonts w:hint="eastAsia"/>
          <w:lang w:val="en-US" w:eastAsia="zh-CN"/>
        </w:rPr>
      </w:pPr>
    </w:p>
    <w:p w14:paraId="1EB41E8E">
      <w:pPr>
        <w:pStyle w:val="2"/>
        <w:widowControl w:val="0"/>
        <w:wordWrap/>
        <w:spacing w:after="0" w:line="320" w:lineRule="exact"/>
        <w:ind w:left="0" w:leftChars="0" w:right="0"/>
        <w:jc w:val="both"/>
        <w:outlineLvl w:val="9"/>
        <w:rPr>
          <w:rFonts w:hint="eastAsia"/>
          <w:lang w:val="en-US" w:eastAsia="zh-CN"/>
        </w:rPr>
      </w:pPr>
    </w:p>
    <w:p w14:paraId="60CC9C6C">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乙方（盖章）：</w:t>
      </w:r>
    </w:p>
    <w:p w14:paraId="0C9D74E5">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p>
    <w:p w14:paraId="3C477777">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法定代表人或被授权代表（签字）：</w:t>
      </w:r>
    </w:p>
    <w:p w14:paraId="3C308942">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p>
    <w:p w14:paraId="7E1D7D16">
      <w:pPr>
        <w:widowControl w:val="0"/>
        <w:wordWrap/>
        <w:autoSpaceDE w:val="0"/>
        <w:autoSpaceDN w:val="0"/>
        <w:adjustRightInd w:val="0"/>
        <w:snapToGrid w:val="0"/>
        <w:spacing w:line="320" w:lineRule="exact"/>
        <w:ind w:left="0" w:leftChars="0" w:right="0" w:firstLine="640" w:firstLineChars="200"/>
        <w:jc w:val="both"/>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w:t>
      </w:r>
    </w:p>
    <w:p w14:paraId="0221B3D7">
      <w:pPr>
        <w:widowControl w:val="0"/>
        <w:wordWrap/>
        <w:spacing w:line="360" w:lineRule="exact"/>
        <w:ind w:left="0" w:leftChars="0" w:right="0" w:firstLine="560" w:firstLineChars="200"/>
        <w:jc w:val="both"/>
        <w:outlineLvl w:val="9"/>
        <w:rPr>
          <w:rFonts w:hint="eastAsia" w:ascii="Times New Roman" w:hAnsi="Times New Roman" w:eastAsia="仿宋" w:cs="Times New Roman"/>
          <w:kern w:val="2"/>
          <w:sz w:val="28"/>
          <w:szCs w:val="28"/>
          <w:lang w:val="en-US" w:eastAsia="zh-CN" w:bidi="ar-SA"/>
        </w:rPr>
      </w:pPr>
    </w:p>
    <w:p w14:paraId="42E1FA3C">
      <w:pPr>
        <w:widowControl w:val="0"/>
        <w:wordWrap/>
        <w:spacing w:line="360" w:lineRule="exact"/>
        <w:ind w:left="0" w:leftChars="0" w:right="0" w:firstLine="560" w:firstLineChars="200"/>
        <w:jc w:val="both"/>
        <w:outlineLvl w:val="9"/>
        <w:rPr>
          <w:rFonts w:hint="eastAsia" w:ascii="Times New Roman" w:hAnsi="Times New Roman" w:eastAsia="仿宋" w:cs="Times New Roman"/>
          <w:kern w:val="2"/>
          <w:sz w:val="28"/>
          <w:szCs w:val="28"/>
          <w:lang w:val="en-US" w:eastAsia="zh-CN" w:bidi="ar-SA"/>
        </w:rPr>
      </w:pPr>
    </w:p>
    <w:p w14:paraId="61740782">
      <w:pPr>
        <w:widowControl w:val="0"/>
        <w:wordWrap/>
        <w:autoSpaceDE w:val="0"/>
        <w:autoSpaceDN w:val="0"/>
        <w:adjustRightInd w:val="0"/>
        <w:snapToGrid w:val="0"/>
        <w:spacing w:line="360" w:lineRule="exact"/>
        <w:ind w:left="0" w:leftChars="0" w:right="0" w:firstLine="640" w:firstLineChars="200"/>
        <w:jc w:val="center"/>
        <w:textAlignment w:val="baseline"/>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签订日期：    年    月    日</w:t>
      </w:r>
    </w:p>
    <w:p w14:paraId="7FA4C9E2">
      <w:pPr>
        <w:pStyle w:val="2"/>
        <w:wordWrap/>
        <w:ind w:left="0" w:leftChars="0" w:right="0"/>
        <w:rPr>
          <w:rFonts w:hint="default"/>
          <w:lang w:val="en-US" w:eastAsia="zh-CN"/>
        </w:rPr>
      </w:pPr>
    </w:p>
    <w:sectPr>
      <w:footerReference r:id="rId4"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A8D91">
    <w:pPr>
      <w:pStyle w:val="8"/>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-109220</wp:posOffset>
              </wp:positionV>
              <wp:extent cx="132080" cy="255270"/>
              <wp:effectExtent l="0" t="0" r="0" b="0"/>
              <wp:wrapNone/>
              <wp:docPr id="1" name="文本框 3"/>
              <wp:cNvGraphicFramePr/>
              <a:graphic xmlns:a="http://schemas.openxmlformats.org/drawingml/2006/main">
                <a:graphicData uri="http://schemas.microsoft.com/office/word/2010/wordprocessingShape">
                  <wps:wsp>
                    <wps:cNvSpPr/>
                    <wps:spPr>
                      <a:xfrm>
                        <a:off x="0" y="0"/>
                        <a:ext cx="132080" cy="255270"/>
                      </a:xfrm>
                      <a:prstGeom prst="rect">
                        <a:avLst/>
                      </a:prstGeom>
                      <a:noFill/>
                      <a:ln>
                        <a:noFill/>
                      </a:ln>
                    </wps:spPr>
                    <wps:txbx>
                      <w:txbxContent>
                        <w:p w14:paraId="7174ADAE">
                          <w:pPr>
                            <w:pStyle w:val="8"/>
                          </w:pPr>
                          <w:r>
                            <w:fldChar w:fldCharType="begin"/>
                          </w:r>
                          <w:r>
                            <w:instrText xml:space="preserve"> PAGE  \* MERGEFORMAT </w:instrText>
                          </w:r>
                          <w:r>
                            <w:fldChar w:fldCharType="separate"/>
                          </w:r>
                          <w:r>
                            <w:t>1</w:t>
                          </w:r>
                          <w:r>
                            <w:fldChar w:fldCharType="end"/>
                          </w:r>
                        </w:p>
                      </w:txbxContent>
                    </wps:txbx>
                    <wps:bodyPr lIns="0" tIns="0" rIns="0" bIns="0" upright="1"/>
                  </wps:wsp>
                </a:graphicData>
              </a:graphic>
            </wp:anchor>
          </w:drawing>
        </mc:Choice>
        <mc:Fallback>
          <w:pict>
            <v:rect id="文本框 3" o:spid="_x0000_s1026" o:spt="1" style="position:absolute;left:0pt;margin-top:-8.6pt;height:20.1pt;width:10.4pt;mso-position-horizontal:center;mso-position-horizontal-relative:margin;z-index:251659264;mso-width-relative:page;mso-height-relative:page;" filled="f" stroked="f" coordsize="21600,21600" o:gfxdata="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z&#10;h6Yr1wAAAAYBAAAPAAAAAAAAAAEAIAAAACIAAABkcnMvZG93bnJldi54bWxQSwECFAAUAAAACACH&#10;TuJAIFDq0rMBAABnAwAADgAAAAAAAAABACAAAAAmAQAAZHJzL2Uyb0RvYy54bWxQSwUGAAAAAAYA&#10;BgBZAQAASwUAAAAA&#10;">
              <v:fill on="f" focussize="0,0"/>
              <v:stroke on="f"/>
              <v:imagedata o:title=""/>
              <o:lock v:ext="edit" aspectratio="f"/>
              <v:textbox inset="0mm,0mm,0mm,0mm">
                <w:txbxContent>
                  <w:p w14:paraId="7174ADAE">
                    <w:pPr>
                      <w:pStyle w:val="8"/>
                    </w:pPr>
                    <w:r>
                      <w:fldChar w:fldCharType="begin"/>
                    </w:r>
                    <w:r>
                      <w:instrText xml:space="preserve"> PAGE  \* MERGEFORMAT </w:instrText>
                    </w:r>
                    <w:r>
                      <w:fldChar w:fldCharType="separate"/>
                    </w:r>
                    <w:r>
                      <w:t>1</w:t>
                    </w:r>
                    <w:r>
                      <w:fldChar w:fldCharType="end"/>
                    </w:r>
                  </w:p>
                </w:txbxContent>
              </v:textbox>
            </v:rect>
          </w:pict>
        </mc:Fallback>
      </mc:AlternateContent>
    </w:r>
    <w:r>
      <w:rPr>
        <w:rFonts w:hint="eastAsia"/>
        <w:lang w:val="en-US" w:eastAsia="zh-C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D98B0">
    <w:pPr>
      <w:pBdr>
        <w:bottom w:val="none" w:color="auto" w:sz="0" w:space="0"/>
      </w:pBdr>
      <w:spacing w:line="197" w:lineRule="auto"/>
      <w:ind w:left="43"/>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32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mY0ZGIwZjY4MTc5MTUzYTBhMDc5ODZhY2RlNDQifQ=="/>
  </w:docVars>
  <w:rsids>
    <w:rsidRoot w:val="00000000"/>
    <w:rsid w:val="005574FC"/>
    <w:rsid w:val="00950FEA"/>
    <w:rsid w:val="00A4224E"/>
    <w:rsid w:val="01066A48"/>
    <w:rsid w:val="013C1BC3"/>
    <w:rsid w:val="015E0632"/>
    <w:rsid w:val="03B95FF4"/>
    <w:rsid w:val="03CD3B8C"/>
    <w:rsid w:val="04E86B91"/>
    <w:rsid w:val="05C475BB"/>
    <w:rsid w:val="05E03B46"/>
    <w:rsid w:val="06FF4665"/>
    <w:rsid w:val="079C0106"/>
    <w:rsid w:val="07EA70C4"/>
    <w:rsid w:val="097A0E31"/>
    <w:rsid w:val="0BA650B0"/>
    <w:rsid w:val="0BCF2DFB"/>
    <w:rsid w:val="0C0544CC"/>
    <w:rsid w:val="0C1C1816"/>
    <w:rsid w:val="0C6F7B97"/>
    <w:rsid w:val="0C9413AC"/>
    <w:rsid w:val="0D7D0984"/>
    <w:rsid w:val="0D8D6368"/>
    <w:rsid w:val="0D907F44"/>
    <w:rsid w:val="0E0926B9"/>
    <w:rsid w:val="0F080657"/>
    <w:rsid w:val="0F692FC4"/>
    <w:rsid w:val="10EC7D04"/>
    <w:rsid w:val="11785740"/>
    <w:rsid w:val="11D0732A"/>
    <w:rsid w:val="12374CB3"/>
    <w:rsid w:val="125E7D6E"/>
    <w:rsid w:val="14135B85"/>
    <w:rsid w:val="148F57E0"/>
    <w:rsid w:val="15173795"/>
    <w:rsid w:val="16BF34C9"/>
    <w:rsid w:val="18A234B8"/>
    <w:rsid w:val="18F71640"/>
    <w:rsid w:val="197E58BE"/>
    <w:rsid w:val="19CA28B1"/>
    <w:rsid w:val="1A734CF7"/>
    <w:rsid w:val="1A755F49"/>
    <w:rsid w:val="1A862C7C"/>
    <w:rsid w:val="1ABD41C4"/>
    <w:rsid w:val="1CA613B3"/>
    <w:rsid w:val="1D693A23"/>
    <w:rsid w:val="1D810BD4"/>
    <w:rsid w:val="1E0565AE"/>
    <w:rsid w:val="1E337EA8"/>
    <w:rsid w:val="1F996766"/>
    <w:rsid w:val="2208668D"/>
    <w:rsid w:val="22F8223D"/>
    <w:rsid w:val="25CC4597"/>
    <w:rsid w:val="26551754"/>
    <w:rsid w:val="28687E65"/>
    <w:rsid w:val="28C64DF1"/>
    <w:rsid w:val="2B487ADA"/>
    <w:rsid w:val="2C1376CD"/>
    <w:rsid w:val="2CB847EB"/>
    <w:rsid w:val="2D03015C"/>
    <w:rsid w:val="2D236108"/>
    <w:rsid w:val="2D6E35FA"/>
    <w:rsid w:val="2E312AA7"/>
    <w:rsid w:val="2FDB0F1C"/>
    <w:rsid w:val="300D734B"/>
    <w:rsid w:val="31AA6DF8"/>
    <w:rsid w:val="31CB6D6E"/>
    <w:rsid w:val="323B2B47"/>
    <w:rsid w:val="32755658"/>
    <w:rsid w:val="32F33022"/>
    <w:rsid w:val="338E6524"/>
    <w:rsid w:val="33C261DC"/>
    <w:rsid w:val="3579545F"/>
    <w:rsid w:val="358A766C"/>
    <w:rsid w:val="35FA51E4"/>
    <w:rsid w:val="36201D7F"/>
    <w:rsid w:val="365C659F"/>
    <w:rsid w:val="37522919"/>
    <w:rsid w:val="388F226D"/>
    <w:rsid w:val="38B90269"/>
    <w:rsid w:val="390F7E89"/>
    <w:rsid w:val="3A2B2AA0"/>
    <w:rsid w:val="3BBA527A"/>
    <w:rsid w:val="3BD038FF"/>
    <w:rsid w:val="3C6F18C2"/>
    <w:rsid w:val="3CA408E8"/>
    <w:rsid w:val="3D2F0AF9"/>
    <w:rsid w:val="3DB334D8"/>
    <w:rsid w:val="3E3C4BA5"/>
    <w:rsid w:val="3F261A88"/>
    <w:rsid w:val="3F312907"/>
    <w:rsid w:val="40387CC5"/>
    <w:rsid w:val="405E55E9"/>
    <w:rsid w:val="420E5181"/>
    <w:rsid w:val="42723962"/>
    <w:rsid w:val="42AA41BA"/>
    <w:rsid w:val="42F9198D"/>
    <w:rsid w:val="432D5ADB"/>
    <w:rsid w:val="44352E99"/>
    <w:rsid w:val="44E421C9"/>
    <w:rsid w:val="45EB51B3"/>
    <w:rsid w:val="48C61CE9"/>
    <w:rsid w:val="49AD34D2"/>
    <w:rsid w:val="4A7F4C08"/>
    <w:rsid w:val="4AAC19DB"/>
    <w:rsid w:val="4B913785"/>
    <w:rsid w:val="4BCD39B7"/>
    <w:rsid w:val="4CC3283F"/>
    <w:rsid w:val="4CCC30C3"/>
    <w:rsid w:val="4DDF79D2"/>
    <w:rsid w:val="4DFA480C"/>
    <w:rsid w:val="4EC07803"/>
    <w:rsid w:val="4F2002A2"/>
    <w:rsid w:val="51503174"/>
    <w:rsid w:val="53907C0A"/>
    <w:rsid w:val="54244390"/>
    <w:rsid w:val="54377E81"/>
    <w:rsid w:val="54EC429D"/>
    <w:rsid w:val="55654C60"/>
    <w:rsid w:val="57F2438F"/>
    <w:rsid w:val="59722042"/>
    <w:rsid w:val="59C77C52"/>
    <w:rsid w:val="5B9938B6"/>
    <w:rsid w:val="5D4D4958"/>
    <w:rsid w:val="5D681792"/>
    <w:rsid w:val="5F427DC1"/>
    <w:rsid w:val="5F577D10"/>
    <w:rsid w:val="5F750196"/>
    <w:rsid w:val="5FC627A0"/>
    <w:rsid w:val="603857F5"/>
    <w:rsid w:val="635A392B"/>
    <w:rsid w:val="638B61DA"/>
    <w:rsid w:val="63A739CE"/>
    <w:rsid w:val="64852C29"/>
    <w:rsid w:val="65181CEF"/>
    <w:rsid w:val="65404DA2"/>
    <w:rsid w:val="65736F26"/>
    <w:rsid w:val="661F70AE"/>
    <w:rsid w:val="66383DBC"/>
    <w:rsid w:val="66E439AE"/>
    <w:rsid w:val="67EA2087"/>
    <w:rsid w:val="6A331379"/>
    <w:rsid w:val="6A8F000D"/>
    <w:rsid w:val="6A8F4802"/>
    <w:rsid w:val="6AC551FC"/>
    <w:rsid w:val="6AED380B"/>
    <w:rsid w:val="6B811C71"/>
    <w:rsid w:val="6BEA3CBA"/>
    <w:rsid w:val="6CDC7AA6"/>
    <w:rsid w:val="6DC21DD9"/>
    <w:rsid w:val="6E9A5523"/>
    <w:rsid w:val="6EDC0D65"/>
    <w:rsid w:val="6F8860D5"/>
    <w:rsid w:val="6F8C7459"/>
    <w:rsid w:val="70F76C5D"/>
    <w:rsid w:val="71493231"/>
    <w:rsid w:val="72AB7C8C"/>
    <w:rsid w:val="74E7348C"/>
    <w:rsid w:val="768E1E11"/>
    <w:rsid w:val="76F47467"/>
    <w:rsid w:val="771527C9"/>
    <w:rsid w:val="775C3CBE"/>
    <w:rsid w:val="78450505"/>
    <w:rsid w:val="786848E4"/>
    <w:rsid w:val="792151BF"/>
    <w:rsid w:val="7A552C46"/>
    <w:rsid w:val="7BA774D1"/>
    <w:rsid w:val="7C0B180E"/>
    <w:rsid w:val="7DE60785"/>
    <w:rsid w:val="7EAA35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7">
    <w:name w:val="Body Text Indent"/>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2"/>
    <w:basedOn w:val="7"/>
    <w:qFormat/>
    <w:uiPriority w:val="0"/>
    <w:pPr>
      <w:adjustRightInd w:val="0"/>
      <w:spacing w:after="120" w:line="312" w:lineRule="atLeast"/>
      <w:ind w:left="420" w:leftChars="200" w:firstLine="420" w:firstLineChars="200"/>
      <w:textAlignment w:val="baseline"/>
    </w:pPr>
    <w:rPr>
      <w:sz w:val="21"/>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2217</Words>
  <Characters>2244</Characters>
  <Lines>0</Lines>
  <Paragraphs>0</Paragraphs>
  <TotalTime>0</TotalTime>
  <ScaleCrop>false</ScaleCrop>
  <LinksUpToDate>false</LinksUpToDate>
  <CharactersWithSpaces>2390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2024-02-29T07:16:00Z</dcterms:created>
  <dc:creator>Administrator</dc:creator>
  <cp:lastModifiedBy>WPS_1656992933</cp:lastModifiedBy>
  <dcterms:modified xsi:type="dcterms:W3CDTF">2026-08-21T10:10:44Z</dcterms:modified>
  <dc:title>技术服务合同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1D9F63F389AF46D19AFD6A4926EDB017_13</vt:lpwstr>
  </property>
  <property fmtid="{D5CDD505-2E9C-101B-9397-08002B2CF9AE}" pid="4" name="KSOTemplateDocerSaveRecord">
    <vt:lpwstr>eyJoZGlkIjoiMTYyY2I2ZDU3MjFmYzNkY2U1MTVlMjljZDQ4ODhmYjciLCJ1c2VySWQiOiIxMzg1NjE1NzY0In0=</vt:lpwstr>
  </property>
</Properties>
</file>