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版本号：CGZC-2026-072（ZR20GN2026-ZB-050）20260715001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2026年全区学校教育教学设施设备采购项目第一批次(黑板类)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CGZC-2026-072（ZR20GN2026-ZB-050）</w:t>
      </w:r>
      <w:r>
        <w:br/>
      </w:r>
      <w:r>
        <w:br/>
      </w:r>
      <w:r>
        <w:br/>
      </w:r>
    </w:p>
    <w:p>
      <w:pPr>
        <w:pStyle w:val="null3"/>
        <w:jc w:val="center"/>
        <w:outlineLvl w:val="2"/>
      </w:pPr>
      <w:r>
        <w:rPr>
          <w:rFonts w:ascii="仿宋_GB2312" w:hAnsi="仿宋_GB2312" w:cs="仿宋_GB2312" w:eastAsia="仿宋_GB2312"/>
          <w:sz w:val="28"/>
          <w:b/>
        </w:rPr>
        <w:t>西安浐灞国际港教育局</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西安浐灞国际港教育局</w:t>
      </w:r>
      <w:r>
        <w:rPr>
          <w:rFonts w:ascii="仿宋_GB2312" w:hAnsi="仿宋_GB2312" w:cs="仿宋_GB2312" w:eastAsia="仿宋_GB2312"/>
        </w:rPr>
        <w:t>委托，拟对</w:t>
      </w:r>
      <w:r>
        <w:rPr>
          <w:rFonts w:ascii="仿宋_GB2312" w:hAnsi="仿宋_GB2312" w:cs="仿宋_GB2312" w:eastAsia="仿宋_GB2312"/>
        </w:rPr>
        <w:t>2026年全区学校教育教学设施设备采购项目第一批次(黑板类)</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CGZC-2026-072（ZR20GN2026-ZB-050）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2026年全区学校教育教学设施设备采购项目第一批次(黑板类)</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采购教育局2026年全区学校教育教学设施设备采购项目第一批次(黑板类)。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具有独立承担民事责任的能力：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2、投标人基本资格条件承诺函：投标人需在项目电子化交易系统中按要求填写《基本资格条件承诺函》完成承诺并进行电子签章。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投标的，应提供法定代表人或单位负责人身份证明。授权代表参加投标的，应提供法定代表人或单位负责人身份证明、授权委托书及授权代表在本单位的社保缴纳证明。</w:t>
      </w:r>
    </w:p>
    <w:p>
      <w:pPr>
        <w:pStyle w:val="null3"/>
      </w:pPr>
      <w:r>
        <w:rPr>
          <w:rFonts w:ascii="仿宋_GB2312" w:hAnsi="仿宋_GB2312" w:cs="仿宋_GB2312" w:eastAsia="仿宋_GB2312"/>
        </w:rPr>
        <w:t>4、联合体：本项目不接受联合体。</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具有独立承担民事责任的能力：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2、投标人基本资格条件承诺函：投标人需在项目电子化交易系统中按要求填写《基本资格条件承诺函》完成承诺并进行电子签章。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投标的，应提供法定代表人或单位负责人身份证明。授权代表参加投标的，应提供法定代表人或单位负责人身份证明、授权委托书及授权代表在本单位的社保缴纳证明。</w:t>
      </w:r>
    </w:p>
    <w:p>
      <w:pPr>
        <w:pStyle w:val="null3"/>
      </w:pPr>
      <w:r>
        <w:rPr>
          <w:rFonts w:ascii="仿宋_GB2312" w:hAnsi="仿宋_GB2312" w:cs="仿宋_GB2312" w:eastAsia="仿宋_GB2312"/>
        </w:rPr>
        <w:t>4、联合体：本项目不接受联合体。</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陕西省西安市灞桥区浐灞生态区浐灞大道1号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029-83620844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029-88825655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采购包1：2,720,000.00元</w:t>
            </w:r>
          </w:p>
          <w:p>
            <w:pPr>
              <w:pStyle w:val="null3"/>
            </w:pPr>
            <w:r>
              <w:rPr>
                <w:rFonts w:ascii="仿宋_GB2312" w:hAnsi="仿宋_GB2312" w:cs="仿宋_GB2312" w:eastAsia="仿宋_GB2312"/>
              </w:rPr>
              <w:t>采购包2：2,980,000.00元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代理服务费收费标准：1、中标单位在领取中标通知书前，须向采购代理机构支付服务费。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按标准收取。 3、中标单位的代理服务费交纳信息 银行户名：陕西中润国际招标有限公司 开户银行：中信银行西安曲江池北路支行 账 号：7251310182600086350 代理机构财务联系电话：029-87321229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西安浐灞国际港教育局</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如有第三方声称采购人或采购人所许可的单位侵犯了第三方的知识产权或其它财产权利的，中标供应商不仅应直接参与纠纷的解决，还应承担由此产生的全部法律责任；如给采购人造成损失的，中标供应商应承担赔偿全部损失的责任。 2.采购人拥有本项目实施过程中产生的全部知识成果的知识产权，包括但不限于著作权、专利权、专有技术等权利以及各种技术文档资料所有权。非经采购人同意，中标供应商不得以任何方式向第三方披露、转让和许可有关的技术成果、计算机软件、数据信息、技术资料和文件.</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产品符合国家法律法规规定的标准、招标文件的要求。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产品符合国家法律法规规定的标准、招标文件的要求。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采购教育局2026年全区学校教育教学设施设备采购项目第一批次(黑板类)。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2,720,000.00</w:t>
      </w:r>
    </w:p>
    <w:p>
      <w:pPr>
        <w:pStyle w:val="null3"/>
      </w:pPr>
      <w:r>
        <w:rPr>
          <w:rFonts w:ascii="仿宋_GB2312" w:hAnsi="仿宋_GB2312" w:cs="仿宋_GB2312" w:eastAsia="仿宋_GB2312"/>
        </w:rPr>
        <w:t>采购包最高限价（元）: 2,500,000.00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2026年全区学校教育教学设施设备采购项目第一批次(黑板类)一包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2,980,000.00</w:t>
      </w:r>
    </w:p>
    <w:p>
      <w:pPr>
        <w:pStyle w:val="null3"/>
      </w:pPr>
      <w:r>
        <w:rPr>
          <w:rFonts w:ascii="仿宋_GB2312" w:hAnsi="仿宋_GB2312" w:cs="仿宋_GB2312" w:eastAsia="仿宋_GB2312"/>
        </w:rPr>
        <w:t>采购包最高限价（元）: 2,830,000.00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2026年全区学校教育教学设施设备采购项目第一批次(黑板类)二包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标的名称：2026年全区学校教育教学设施设备采购项目第一批次(黑板类)一包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一、采购清单</w:t>
            </w:r>
          </w:p>
          <w:p>
            <w:pPr>
              <w:pStyle w:val="null3"/>
              <w:jc w:val="both"/>
            </w:pPr>
            <w:r>
              <w:rPr>
                <w:rFonts w:ascii="仿宋_GB2312" w:hAnsi="仿宋_GB2312" w:cs="仿宋_GB2312" w:eastAsia="仿宋_GB2312"/>
              </w:rPr>
              <w:t>1.详见附件</w:t>
            </w:r>
          </w:p>
          <w:p>
            <w:pPr>
              <w:pStyle w:val="null3"/>
              <w:jc w:val="both"/>
            </w:pPr>
            <w:r>
              <w:rPr>
                <w:rFonts w:ascii="仿宋_GB2312" w:hAnsi="仿宋_GB2312" w:cs="仿宋_GB2312" w:eastAsia="仿宋_GB2312"/>
              </w:rPr>
              <w:t>注：本包核心产品：75寸教学一体机（配送点28）、86寸智慧黑板（配送点20）。</w:t>
            </w:r>
          </w:p>
          <w:p>
            <w:pPr>
              <w:pStyle w:val="null3"/>
              <w:jc w:val="both"/>
            </w:pPr>
            <w:r>
              <w:rPr>
                <w:rFonts w:ascii="仿宋_GB2312" w:hAnsi="仿宋_GB2312" w:cs="仿宋_GB2312" w:eastAsia="仿宋_GB2312"/>
              </w:rPr>
              <w:t>2.采购完成后，由教育主管部门负责组织中标供应商与相关学校签订合同，非独立法人单位由中心校签订合同。</w:t>
            </w:r>
          </w:p>
          <w:p>
            <w:pPr>
              <w:pStyle w:val="null3"/>
              <w:jc w:val="both"/>
            </w:pPr>
            <w:r>
              <w:rPr>
                <w:rFonts w:ascii="仿宋_GB2312" w:hAnsi="仿宋_GB2312" w:cs="仿宋_GB2312" w:eastAsia="仿宋_GB2312"/>
              </w:rPr>
              <w:t>3.采购清单内所有尺寸均为参考尺寸，供应商供货时均以学校现场实际及要求为准；定制类产品必须以学校确认过的规格、颜色等为准。供货清单经各学校确认后供货。</w:t>
            </w:r>
          </w:p>
          <w:p>
            <w:pPr>
              <w:pStyle w:val="null3"/>
              <w:jc w:val="both"/>
            </w:pPr>
            <w:r>
              <w:rPr>
                <w:rFonts w:ascii="仿宋_GB2312" w:hAnsi="仿宋_GB2312" w:cs="仿宋_GB2312" w:eastAsia="仿宋_GB2312"/>
              </w:rPr>
              <w:t>二、交付期：合同签订后13日内完成供货、安装、调试。</w:t>
            </w:r>
          </w:p>
          <w:p>
            <w:pPr>
              <w:pStyle w:val="null3"/>
              <w:jc w:val="both"/>
            </w:pPr>
            <w:r>
              <w:rPr>
                <w:rFonts w:ascii="仿宋_GB2312" w:hAnsi="仿宋_GB2312" w:cs="仿宋_GB2312" w:eastAsia="仿宋_GB2312"/>
              </w:rPr>
              <w:t>三、交付地点：采购人指定地点。</w:t>
            </w:r>
          </w:p>
          <w:p>
            <w:pPr>
              <w:pStyle w:val="null3"/>
              <w:jc w:val="both"/>
            </w:pPr>
            <w:r>
              <w:rPr>
                <w:rFonts w:ascii="仿宋_GB2312" w:hAnsi="仿宋_GB2312" w:cs="仿宋_GB2312" w:eastAsia="仿宋_GB2312"/>
              </w:rPr>
              <w:t>四、质保期：自终验合格之日起一年，凡厂家质保期有优于的按照厂家质保期执行。</w:t>
            </w:r>
          </w:p>
          <w:p>
            <w:pPr>
              <w:pStyle w:val="null3"/>
              <w:jc w:val="both"/>
            </w:pPr>
            <w:r>
              <w:rPr>
                <w:rFonts w:ascii="仿宋_GB2312" w:hAnsi="仿宋_GB2312" w:cs="仿宋_GB2312" w:eastAsia="仿宋_GB2312"/>
              </w:rPr>
              <w:t>五、质量要求：符合国家及行业有关现行规范、标准的要求。</w:t>
            </w:r>
          </w:p>
          <w:p>
            <w:pPr>
              <w:pStyle w:val="null3"/>
              <w:jc w:val="both"/>
            </w:pPr>
            <w:r>
              <w:rPr>
                <w:rFonts w:ascii="仿宋_GB2312" w:hAnsi="仿宋_GB2312" w:cs="仿宋_GB2312" w:eastAsia="仿宋_GB2312"/>
              </w:rPr>
              <w:t>六、合同价款包括但不限于货物价款(含通常配备的备品备件、易损件）、人工费、货物（产品）设计费、包装费、仓储费、运输费、装卸费、保险费、安装费、调试费、培训费、线材及配件费、电路改造、售后服务、验收费、利润、风险、税金等在项目实施过程中所发生的所有费用，任何错报、漏报由乙方投标人自行负责。。</w:t>
            </w:r>
          </w:p>
          <w:p>
            <w:pPr>
              <w:pStyle w:val="null3"/>
              <w:jc w:val="both"/>
            </w:pPr>
            <w:r>
              <w:rPr>
                <w:rFonts w:ascii="仿宋_GB2312" w:hAnsi="仿宋_GB2312" w:cs="仿宋_GB2312" w:eastAsia="仿宋_GB2312"/>
              </w:rPr>
              <w:t>七、付款要求：货物全部进场并经甲方签收后支付合同暂定价的40%，验收合格后根据实际采购量及合同单价据实结算，支付至合同结算价款的100%。</w:t>
            </w:r>
          </w:p>
          <w:p>
            <w:pPr>
              <w:pStyle w:val="null3"/>
              <w:jc w:val="both"/>
            </w:pPr>
            <w:r>
              <w:rPr>
                <w:rFonts w:ascii="仿宋_GB2312" w:hAnsi="仿宋_GB2312" w:cs="仿宋_GB2312" w:eastAsia="仿宋_GB2312"/>
              </w:rPr>
              <w:t>八、供应商售后服务响应时间：保证7×24小时电话应急响应，保证3小时内到现场处理相关问题。</w:t>
            </w:r>
          </w:p>
          <w:p>
            <w:pPr>
              <w:pStyle w:val="null3"/>
            </w:pPr>
            <w:r>
              <w:rPr>
                <w:rFonts w:ascii="仿宋_GB2312" w:hAnsi="仿宋_GB2312" w:cs="仿宋_GB2312" w:eastAsia="仿宋_GB2312"/>
              </w:rPr>
              <w:t>九、供应商所投产品应当符合国家强制性标准。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标的名称：2026年全区学校教育教学设施设备采购项目第一批次(黑板类)二包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一、采购清单</w:t>
            </w:r>
          </w:p>
          <w:p>
            <w:pPr>
              <w:pStyle w:val="null3"/>
              <w:jc w:val="both"/>
            </w:pPr>
            <w:r>
              <w:rPr>
                <w:rFonts w:ascii="仿宋_GB2312" w:hAnsi="仿宋_GB2312" w:cs="仿宋_GB2312" w:eastAsia="仿宋_GB2312"/>
              </w:rPr>
              <w:t>1.详见附件</w:t>
            </w:r>
          </w:p>
          <w:p>
            <w:pPr>
              <w:pStyle w:val="null3"/>
              <w:jc w:val="both"/>
            </w:pPr>
            <w:r>
              <w:rPr>
                <w:rFonts w:ascii="仿宋_GB2312" w:hAnsi="仿宋_GB2312" w:cs="仿宋_GB2312" w:eastAsia="仿宋_GB2312"/>
              </w:rPr>
              <w:t>注：1.本包核心产品：86寸教学一体机（配送点27）、86寸智慧黑板（配送点22）。</w:t>
            </w:r>
          </w:p>
          <w:p>
            <w:pPr>
              <w:pStyle w:val="null3"/>
              <w:jc w:val="both"/>
            </w:pPr>
            <w:r>
              <w:rPr>
                <w:rFonts w:ascii="仿宋_GB2312" w:hAnsi="仿宋_GB2312" w:cs="仿宋_GB2312" w:eastAsia="仿宋_GB2312"/>
              </w:rPr>
              <w:t>2.采购完成后，由教育主管部门负责组织中标供应商与相关学校签订合同，非独立法人单位由中心校签订合同。</w:t>
            </w:r>
          </w:p>
          <w:p>
            <w:pPr>
              <w:pStyle w:val="null3"/>
              <w:jc w:val="both"/>
            </w:pPr>
            <w:r>
              <w:rPr>
                <w:rFonts w:ascii="仿宋_GB2312" w:hAnsi="仿宋_GB2312" w:cs="仿宋_GB2312" w:eastAsia="仿宋_GB2312"/>
              </w:rPr>
              <w:t>3.采购清单内所有尺寸均为参考尺寸，供应商供货时均以学校现场实际及要求为准；定制类产品必须以学校确认过的规格、颜色等为准。供货清单经各学校确认后供货。</w:t>
            </w:r>
          </w:p>
          <w:p>
            <w:pPr>
              <w:pStyle w:val="null3"/>
              <w:jc w:val="both"/>
            </w:pPr>
            <w:r>
              <w:rPr>
                <w:rFonts w:ascii="仿宋_GB2312" w:hAnsi="仿宋_GB2312" w:cs="仿宋_GB2312" w:eastAsia="仿宋_GB2312"/>
              </w:rPr>
              <w:t>二、交付期：合同签订后13日内完成供货、安装、调试。</w:t>
            </w:r>
          </w:p>
          <w:p>
            <w:pPr>
              <w:pStyle w:val="null3"/>
              <w:jc w:val="both"/>
            </w:pPr>
            <w:r>
              <w:rPr>
                <w:rFonts w:ascii="仿宋_GB2312" w:hAnsi="仿宋_GB2312" w:cs="仿宋_GB2312" w:eastAsia="仿宋_GB2312"/>
              </w:rPr>
              <w:t>三、交付地点：采购人指定地点。</w:t>
            </w:r>
          </w:p>
          <w:p>
            <w:pPr>
              <w:pStyle w:val="null3"/>
              <w:jc w:val="both"/>
            </w:pPr>
            <w:r>
              <w:rPr>
                <w:rFonts w:ascii="仿宋_GB2312" w:hAnsi="仿宋_GB2312" w:cs="仿宋_GB2312" w:eastAsia="仿宋_GB2312"/>
              </w:rPr>
              <w:t>四、质保期：自终验合格之日起一年，凡厂家质保期有优于的按照厂家质保期执行。</w:t>
            </w:r>
          </w:p>
          <w:p>
            <w:pPr>
              <w:pStyle w:val="null3"/>
              <w:jc w:val="both"/>
            </w:pPr>
            <w:r>
              <w:rPr>
                <w:rFonts w:ascii="仿宋_GB2312" w:hAnsi="仿宋_GB2312" w:cs="仿宋_GB2312" w:eastAsia="仿宋_GB2312"/>
              </w:rPr>
              <w:t>五、质量要求：符合国家及行业有关现行规范、标准的要求。</w:t>
            </w:r>
          </w:p>
          <w:p>
            <w:pPr>
              <w:pStyle w:val="null3"/>
              <w:jc w:val="both"/>
            </w:pPr>
            <w:r>
              <w:rPr>
                <w:rFonts w:ascii="仿宋_GB2312" w:hAnsi="仿宋_GB2312" w:cs="仿宋_GB2312" w:eastAsia="仿宋_GB2312"/>
              </w:rPr>
              <w:t>六、合同价款包括但不限于货物价款(含通常配备的备品备件、易损件）、人工费、货物（产品）设计费、包装费、仓储费、运输费、装卸费、保险费、安装费、调试费、培训费、线材及配件费、电路改造、售后服务、验收费、利润、风险、税金等在项目实施过程中所发生的所有费用，任何错报、漏报由乙方投标人自行负责。</w:t>
            </w:r>
          </w:p>
          <w:p>
            <w:pPr>
              <w:pStyle w:val="null3"/>
              <w:jc w:val="both"/>
            </w:pPr>
            <w:r>
              <w:rPr>
                <w:rFonts w:ascii="仿宋_GB2312" w:hAnsi="仿宋_GB2312" w:cs="仿宋_GB2312" w:eastAsia="仿宋_GB2312"/>
              </w:rPr>
              <w:t>七、付款要求：货物全部进场并经甲方签收后支付合同暂定价的40%，验收合格后根据实际采购量及合同单价据实结算，支付至合同结算价款的100%。</w:t>
            </w:r>
          </w:p>
          <w:p>
            <w:pPr>
              <w:pStyle w:val="null3"/>
              <w:jc w:val="both"/>
            </w:pPr>
            <w:r>
              <w:rPr>
                <w:rFonts w:ascii="仿宋_GB2312" w:hAnsi="仿宋_GB2312" w:cs="仿宋_GB2312" w:eastAsia="仿宋_GB2312"/>
              </w:rPr>
              <w:t>八、供应商售后服务响应时间：保证7×24小时电话应急响应，保证3小时内到现场处理相关问题。</w:t>
            </w:r>
          </w:p>
          <w:p>
            <w:pPr>
              <w:pStyle w:val="null3"/>
            </w:pPr>
            <w:r>
              <w:rPr>
                <w:rFonts w:ascii="仿宋_GB2312" w:hAnsi="仿宋_GB2312" w:cs="仿宋_GB2312" w:eastAsia="仿宋_GB2312"/>
              </w:rPr>
              <w:t>九、供应商所投产品应当符合国家强制性标准。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合同签订后13日内完成供货、安装、调试。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合同签订后13日内完成供货、安装、调试。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其他，(因系统录入限制，该部分内容以合同条款为准)货物全部进场并经甲方签收后，达到付款条件起30个工作日内，支付合同总金额的40.0%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其他，(因系统录入限制，该部分内容以合同条款为准)验收合格后根据实际采购量及合同单价据实结算，达到付款条件起30个工作日内，支付合同总金额的60.0%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其他，(因系统录入限制，该部分内容以合同条款为准)货物全部进场并经甲方签收后，达到付款条件起30个工作日内，支付合同总金额的40.0%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其他，(因系统录入限制，该部分内容以合同条款为准)验收合格后根据实际采购量及合同单价据实结算，达到付款条件起30个工作日内，支付合同总金额的60.0%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(1)应有产品合格证、产品说明书、保修证明、易损件备件、专用工具清单和其他应具有的单证。(2)质量符 合国家法律法规规定的合格标准、招标文件、投标文件的要求。 (3)验收时间:中标供应商提出验收申请后，采购人应及时组织验收，采购人验收合 格后应当出具验收报告。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应有产品合格证、产品说明书、保修证明、易损件备件、专用工具清单和其他应具有的单证。(2)质量符合国家法律法规规定的合格标准、招标文件、投标文件的要求。(3)验收时间:中标供应商提出验收申请后，采购人应及时组织验收，采购人验收合格后应当出具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自终验合格之日起一年，凡厂家质保期有优于的按照厂家质保期执行。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自终验合格之日起一年，凡厂家质保期有优于的按照厂家质保期执行。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中标单位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3.5.2本项目非专门面向中小企业。项目所属行业：（根据《工业和信息化部、国家统计局、国家发展和改革委员会、财政部关于印发中小企业划型标准规定的通知》（工信部联企业〔2011〕300 号）规定的划分标准：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3.5.3落实政府采购政策： ①《关于进一步加大政府采购支持中小企业力度的通知》（财库〔2022〕19号）、《政府采购促进中小企业发展管理办法》（财库〔2020〕46号）、《财政部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②《国务院办公厅关于建立政府强制采购节能产品制度的通知》（国办发〔2007〕51号）、《财政部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③《关于运用政府采购政策支持乡村产业振兴的通知》（财库〔2021〕19 号）、《关于印发&lt;关于深入开展政府采购脱贫地区农副产品工作推进乡村产业振兴的实施意见&gt;的通知》（财库〔2021〕20 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号）、《陕西省财政厅关于印发&lt;陕西省中小企业政府采购信用融资办法&gt;的通知》（陕财办采〔2018〕23 号）。 ⑥《关于扩大政府采购支持绿色建材促进建筑品质提升政策实施范围的通知》（财库〔2022〕35号）、《财政部办公厅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⑦《国务院办公厅关于在政府采购中实施本国产品标准及相关政策的通知》（国办发〔2025〕34号）。若享受以上政策优惠的企业，提供相应声明函或品目清单范围内产品的有效认证证书。 3.5.4如投标人对多个包进行投标，可以中标1包。允许供应商参与多个标包的投标活动，但最终供应商只能获取一个标包(序号靠前标包)的中标资格。如同一供应商同时成为第1包、第2包的第一中标候选人，按照第1包、第2包的顺序只能成为序号靠前标包的中标供应商，其他标包按照推荐的中标候选人顺序顺延至下一名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投标人需在项目电子化交易系统中按要求填写《投标函》、《基本资格条件承诺函》完成承诺，提交相应资格证明文件并进行电子签章。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投标人需在项目电子化交易系统中按要求填写《投标函》、《基本资格条件承诺函》完成承诺，提交相应资格证明文件并进行电子签章。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投标人具有独立承担民事责任的能力</w:t>
            </w:r>
          </w:p>
        </w:tc>
        <w:tc>
          <w:tcPr>
            <w:tcW w:type="dxa" w:w="3322"/>
          </w:tcPr>
          <w:p>
            <w:pPr>
              <w:pStyle w:val="null3"/>
            </w:pPr>
            <w:r>
              <w:rPr>
                <w:rFonts w:ascii="仿宋_GB2312" w:hAnsi="仿宋_GB2312" w:cs="仿宋_GB2312" w:eastAsia="仿宋_GB2312"/>
              </w:rPr>
              <w:t>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投标人基本资格条件承诺函</w:t>
            </w:r>
          </w:p>
        </w:tc>
        <w:tc>
          <w:tcPr>
            <w:tcW w:type="dxa" w:w="3322"/>
          </w:tcPr>
          <w:p>
            <w:pPr>
              <w:pStyle w:val="null3"/>
            </w:pPr>
            <w:r>
              <w:rPr>
                <w:rFonts w:ascii="仿宋_GB2312" w:hAnsi="仿宋_GB2312" w:cs="仿宋_GB2312" w:eastAsia="仿宋_GB2312"/>
              </w:rPr>
              <w:t>投标人需在项目电子化交易系统中按要求填写《基本资格条件承诺函》完成承诺并进行电子签章。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投标人应提供的资格证明文件.docx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投标人具有独立承担民事责任的能力</w:t>
            </w:r>
          </w:p>
        </w:tc>
        <w:tc>
          <w:tcPr>
            <w:tcW w:type="dxa" w:w="3322"/>
          </w:tcPr>
          <w:p>
            <w:pPr>
              <w:pStyle w:val="null3"/>
            </w:pPr>
            <w:r>
              <w:rPr>
                <w:rFonts w:ascii="仿宋_GB2312" w:hAnsi="仿宋_GB2312" w:cs="仿宋_GB2312" w:eastAsia="仿宋_GB2312"/>
              </w:rPr>
              <w:t>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投标人基本资格条件承诺函</w:t>
            </w:r>
          </w:p>
        </w:tc>
        <w:tc>
          <w:tcPr>
            <w:tcW w:type="dxa" w:w="3322"/>
          </w:tcPr>
          <w:p>
            <w:pPr>
              <w:pStyle w:val="null3"/>
            </w:pPr>
            <w:r>
              <w:rPr>
                <w:rFonts w:ascii="仿宋_GB2312" w:hAnsi="仿宋_GB2312" w:cs="仿宋_GB2312" w:eastAsia="仿宋_GB2312"/>
              </w:rPr>
              <w:t>投标人需在项目电子化交易系统中按要求填写《基本资格条件承诺函》完成承诺并进行电子签章。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投标人应提供的资格证明文件.docx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（一）出现下列情形之一的，评审委员会应当启动异常低价投标（响应）审查程序：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 报价一览表1包.docx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交付期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 报价一览表1包.docx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投标人应提供的资格证明文件.docx 本国产品说明.docx 开标一览表 技术要求偏离表.docx 中小企业声明函 报价一览表1包.docx 政府采购供应商拒绝政府采购领域商业贿赂承诺书.docx 投标函 业绩证明文件及投标方案说明.docx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有效期应符合招标文件要求。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投标人报价是固定价且未超过预算金额（招标文件有最高限价（最高含税完全综合单价限价）的，报价未超过最高限价（最高含税完全综合单价限价））。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开标一览表 标的清单 报价一览表1包.docx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应符合招标文件规定的其他实质性要求。</w:t>
            </w:r>
          </w:p>
        </w:tc>
        <w:tc>
          <w:tcPr>
            <w:tcW w:type="dxa" w:w="1661"/>
          </w:tcPr>
          <w:p>
            <w:pPr>
              <w:pStyle w:val="null3"/>
            </w:pPr>
            <w:r>
              <w:rPr>
                <w:rFonts w:ascii="仿宋_GB2312" w:hAnsi="仿宋_GB2312" w:cs="仿宋_GB2312" w:eastAsia="仿宋_GB2312"/>
              </w:rPr>
              <w:t>政府采购供应商拒绝政府采购领域商业贿赂承诺书.docx 技术要求偏离表.docx 商务条款偏离表.docx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（一）出现下列情形之一的，评审委员会应当启动异常低价投标（响应）审查程序：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 报价一览表2包.docx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交付期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 报价一览表2包.docx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投标人应提供的资格证明文件.docx 本国产品说明.docx 开标一览表 技术要求偏离表.docx 中小企业声明函 报价一览表2包.docx 政府采购供应商拒绝政府采购领域商业贿赂承诺书.docx 投标函 业绩证明文件及投标方案说明.docx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有效期应符合招标文件要求。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投标人报价是固定价且未超过预算金额（招标文件有最高限价（最高含税完全综合单价限价）的，报价未超过最高限价（最高含税完全综合单价限价））。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开标一览表 标的清单 报价一览表2包.docx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应符合招标文件规定的其他实质性要求。</w:t>
            </w:r>
          </w:p>
        </w:tc>
        <w:tc>
          <w:tcPr>
            <w:tcW w:type="dxa" w:w="1661"/>
          </w:tcPr>
          <w:p>
            <w:pPr>
              <w:pStyle w:val="null3"/>
            </w:pPr>
            <w:r>
              <w:rPr>
                <w:rFonts w:ascii="仿宋_GB2312" w:hAnsi="仿宋_GB2312" w:cs="仿宋_GB2312" w:eastAsia="仿宋_GB2312"/>
              </w:rPr>
              <w:t>政府采购供应商拒绝政府采购领域商业贿赂承诺书.docx 技术要求偏离表.docx 商务条款偏离表.docx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提供投标人2023年1月1日以来类似项目业绩合同（以合同签订时间为准），每份计2分，满分8分。（注：以上证明文件在投标文件中附业绩合同扫描件并加盖公司公章。）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所投产品参数、功能指标无负偏离，完全符合招标文件参数要求计满分25分。每负偏离一项扣0.5分；扣完为止。（须在技术要求偏离表中据实响应，注明参数响应情况[正偏离/无偏离/负偏离]）。 注：投标人需附产品技术资料（包括但不限于检测报告、产品彩页、官网截图、厂家证明等材料）。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每提供一个得0.5分，满分1分；评审依据：所投产品具有国家确定的认证机构出具的、处于有效期之内的节能产品认证证书（提供证书扫描件）。2、所投产品属于环境标志产品每提供一个得0.5分，满分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0.5分，本项最高得3.5分。（须在投标文件中以醒目方式标注。）</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质保期限、交货期及售后响应时间</w:t>
            </w:r>
          </w:p>
        </w:tc>
        <w:tc>
          <w:tcPr>
            <w:tcW w:type="dxa" w:w="2492"/>
          </w:tcPr>
          <w:p>
            <w:pPr>
              <w:pStyle w:val="null3"/>
            </w:pPr>
            <w:r>
              <w:rPr>
                <w:rFonts w:ascii="仿宋_GB2312" w:hAnsi="仿宋_GB2312" w:cs="仿宋_GB2312" w:eastAsia="仿宋_GB2312"/>
              </w:rPr>
              <w:t>①同时满足招标文件最低质保年限外，每延长1年质保期加1分，满分4分。质保承诺无书面盖章承诺函的，本项0分。(注:单项产品的质保期不作为评分参考，实际实施以本项目采购文件第三章-3.4.7为准。)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拟投入本项目人员，包含项目负责人、供货、安装、售后保障等岗位人员配置计2分，未配置或者以上岗位缺陷、漏项不得分。 评审依据:投标人或者生产厂家相关社保证明或劳动关系材料，未提供不予计分。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承诺提供原厂配件、配件价格透明、配件库存充足且提供厂家售后保障承诺函的得2分；仅承诺提供配件、无厂家售后保障承诺函的得0.5分；无承诺得0分。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①项目对接与前置统筹准备；②供货安排；③货物运输及派送；④货物安装调试；⑤交付使用；⑥应急保障方案。 二、评审标准 1.完整性：方案须全面，对评审内容中的各项要求有详细描述； 2.可实施性：切合本项目实际情况，实施步骤清晰、合理； 3.针对性：方案能够紧扣项目实际情况，内容科学合理。 三、赋分标准 ①项目对接与前置统筹准备：每完全满足一项评审标准计0.5分，满分1.5分。 ②供货安排：每完全满足一项评审标准计0.5分，满分1.5分。 ③货物运输及派送：每完全满足一项评审标准计0.5分，满分1.5分。 ④货物安装调试：每完全满足一项评审标准计0.5分，满分1.5分。 ⑤交付使用：每完全满足一项评审标准计0.5分，满分1.5分 ⑥应急保障方案：每完全满足一项评审标准计0.5分，满分1.5分。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①实施进度计划保障；②产品仓储备货、包装防护措施；③质量保障；④备品备件配备保证措施。 二、评审标准 1.完整性：方案须全面，对评审内容中的各项要求有详细描述； 2.可实施性：切合本项目实际情况，实施步骤清晰、合理； 3.针对性：方案能够紧扣项目实际情况，内容科学合理。 三、赋分标准 ①实施进度计划保障：每完全满足一项评审标准计0.5分，满分1.5分。 ②产品仓储备货、包装防护措施：每完全满足一项评审标准计0.5分，满分1.5分。 ③质量保障：每完全满足一项评审标准计0.5分，满分1.5分。 ④备品备件配备保证措施：每完全满足一项评审标准计0.5分，满分1.5分。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售后服务评审内容点如下：①上门巡检、紧固、调试、维修、保养服务方案；②竣工整体保洁、成品保护方案；③增值服务。 二、评审标准 1.完整性：方案须全面，对评审内容中的各项要求有详细描述； 2.可实施性：切合本项目实际情况，实施步骤清晰、合理； 3.针对性：方案能够紧扣项目实际情况，内容科学合理。 三、赋分标准 ①上门巡检、紧固、调试、维修、保养服务方案：每完全满足一项评审标准计0.5分，满分1.5分。 ②竣工整体保洁、成品保护方案：每完全满足一项评审标准计0.5分，满分1.5分。 ③增值服务：每完全满足一项评审标准计0.5分，满分1.5分。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提供投标人2023年1月1日以来类似项目业绩合同（以合同签订时间为准），每份计2分，满分8分。（注：以上证明文件在投标文件中附业绩合同扫描件并加盖公司公章。）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所投产品参数、功能指标无负偏离，完全符合招标文件参数要求计满分25分。每负偏离一项扣0.5分；扣完为止。（须在技术要求偏离表中据实响应，注明参数响应情况[正偏离/无偏离/负偏离]）。 注：投标人需附产品技术资料（包括但不限于检测报告、产品彩页、官网截图、厂家证明等材料）。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每提供一个得0.5分，满分1分；评审依据：所投产品具有国家确定的认证机构出具的、处于有效期之内的节能产品认证证书（提供证书扫描件）。2、所投产品属于环境标志产品每提供一个得0.5分，满分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0.5分，本项最高得3.5分。（须在投标文件中以醒目方式标注。）</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质保期限、交货期及售后响应时间</w:t>
            </w:r>
          </w:p>
        </w:tc>
        <w:tc>
          <w:tcPr>
            <w:tcW w:type="dxa" w:w="2492"/>
          </w:tcPr>
          <w:p>
            <w:pPr>
              <w:pStyle w:val="null3"/>
            </w:pPr>
            <w:r>
              <w:rPr>
                <w:rFonts w:ascii="仿宋_GB2312" w:hAnsi="仿宋_GB2312" w:cs="仿宋_GB2312" w:eastAsia="仿宋_GB2312"/>
              </w:rPr>
              <w:t>①同时满足招标文件最低质保年限外，每延长1年质保期加1分，满分4分。质保承诺无书面盖章承诺函的，本项0分。(注:单项产品的质保期不作为评分参考，实际实施以本项目采购文件第三章-3.4.7为准。)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拟投入本项目人员，包含项目负责人、供货、安装、售后保障等岗位人员配置计2分，未配置或者以上岗位缺陷、漏项不得分。 评审依据:投标人或者生产厂家相关社保证明或劳动关系材料，未提供不予计分。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承诺提供原厂配件、配件价格透明、配件库存充足且提供厂家售后保障承诺函的得2分；仅承诺提供配件、无厂家售后保障承诺函的得0.5分；无承诺得0分。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①项目对接与前置统筹准备；②供货安排；③货物运输及派送；④货物安装调试；⑤交付使用；⑥应急保障方案。 二、评审标准 1.完整性：方案须全面，对评审内容中的各项要求有详细描述； 2.可实施性：切合本项目实际情况，实施步骤清晰、合理； 3.针对性：方案能够紧扣项目实际情况，内容科学合理。 三、赋分标准 ①项目对接与前置统筹准备：每完全满足一项评审标准计0.5分，满分1.5分。 ②供货安排：每完全满足一项评审标准计0.5分，满分1.5分。 ③货物运输及派送：每完全满足一项评审标准计0.5分，满分1.5分。 ④货物安装调试：每完全满足一项评审标准计0.5分，满分1.5分。 ⑤交付使用：每完全满足一项评审标准计0.5分，满分1.5分 ⑥应急保障方案：每完全满足一项评审标准计0.5分，满分1.5分。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①实施进度计划保障；②产品仓储备货、包装防护措施；③质量保障；④备品备件配备保证措施。 二、评审标准 1.完整性：方案须全面，对评审内容中的各项要求有详细描述； 2.可实施性：切合本项目实际情况，实施步骤清晰、合理； 3.针对性：方案能够紧扣项目实际情况，内容科学合理。 三、赋分标准 ①实施进度计划保障：每完全满足一项评审标准计0.5分，满分1.5分。 ②产品仓储备货、包装防护措施：每完全满足一项评审标准计0.5分，满分1.5分。 ③质量保障：每完全满足一项评审标准计0.5分，满分1.5分。 ④备品备件配备保证措施：每完全满足一项评审标准计0.5分，满分1.5分。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售后服务评审内容点如下：①上门巡检、紧固、调试、维修、保养服务方案；②竣工整体保洁、成品保护方案；③增值服务。 二、评审标准 1.完整性：方案须全面，对评审内容中的各项要求有详细描述； 2.可实施性：切合本项目实际情况，实施步骤清晰、合理； 3.针对性：方案能够紧扣项目实际情况，内容科学合理。 三、赋分标准 ①上门巡检、紧固、调试、维修、保养服务方案：每完全满足一项评审标准计0.5分，满分1.5分。 ②竣工整体保洁、成品保护方案：每完全满足一项评审标准计0.5分，满分1.5分。 ③增值服务：每完全满足一项评审标准计0.5分，满分1.5分。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详见附件：业绩证明文件及投标方案说明.docx</w:t>
      </w:r>
    </w:p>
    <w:p>
      <w:pPr>
        <w:pStyle w:val="null3"/>
        <w:ind w:firstLine="960"/>
      </w:pPr>
      <w:r>
        <w:rPr>
          <w:rFonts w:ascii="仿宋_GB2312" w:hAnsi="仿宋_GB2312" w:cs="仿宋_GB2312" w:eastAsia="仿宋_GB2312"/>
        </w:rPr>
        <w:t>详见附件：报价一览表1包.docx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详见附件：业绩证明文件及投标方案说明.docx</w:t>
      </w:r>
    </w:p>
    <w:p>
      <w:pPr>
        <w:pStyle w:val="null3"/>
        <w:ind w:firstLine="960"/>
      </w:pPr>
      <w:r>
        <w:rPr>
          <w:rFonts w:ascii="仿宋_GB2312" w:hAnsi="仿宋_GB2312" w:cs="仿宋_GB2312" w:eastAsia="仿宋_GB2312"/>
        </w:rPr>
        <w:t>详见附件：报价一览表2包.docx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详见附件：合同文本1包、2包-26年全区学校教育教学设施设备采购项目第一批次.docx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