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版本号：ZCBN-省本级-2026-0500220260601001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罪犯伙房屋架钢结构及地面维修项目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ZCBN-省本级-2026-05002</w:t>
      </w:r>
      <w:r>
        <w:br/>
      </w:r>
      <w:r>
        <w:br/>
      </w:r>
      <w:r>
        <w:br/>
      </w:r>
    </w:p>
    <w:p>
      <w:pPr>
        <w:pStyle w:val="null3"/>
        <w:jc w:val="center"/>
        <w:outlineLvl w:val="2"/>
      </w:pPr>
      <w:r>
        <w:rPr>
          <w:rFonts w:ascii="仿宋_GB2312" w:hAnsi="仿宋_GB2312" w:cs="仿宋_GB2312" w:eastAsia="仿宋_GB2312"/>
          <w:sz w:val="28"/>
          <w:b/>
        </w:rPr>
        <w:t>陕西省渭南监狱</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陕西省渭南监狱</w:t>
      </w:r>
      <w:r>
        <w:rPr>
          <w:rFonts w:ascii="仿宋_GB2312" w:hAnsi="仿宋_GB2312" w:cs="仿宋_GB2312" w:eastAsia="仿宋_GB2312"/>
        </w:rPr>
        <w:t>委托，拟对</w:t>
      </w:r>
      <w:r>
        <w:rPr>
          <w:rFonts w:ascii="仿宋_GB2312" w:hAnsi="仿宋_GB2312" w:cs="仿宋_GB2312" w:eastAsia="仿宋_GB2312"/>
        </w:rPr>
        <w:t>罪犯伙房屋架钢结构及地面维修项目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ZCBN-省本级-2026-05002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罪犯伙房屋架钢结构及地面维修项目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罪犯伙房屋架钢结构及地面维修项目（具体详见工程量清单）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采购包1（罪犯伙房屋架钢结构及地面维修项目）：属于专门面向中小企业采购。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若提供证明材料的，以证明材料为准。</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3、具有履行本合同所必需的设备和专业技术能力的说明或承诺：提供具有履行本合同所必需的设备和专业技术能力的说明或承诺（格式自拟，加盖投标人公章）。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6、供应商资格要求：供应商须具备建筑工程施工总承包三级及以上资质、特种工程（结构补强）专业承包资质（不分等级），并持有有效安全生产许可证。</w:t>
      </w:r>
    </w:p>
    <w:p>
      <w:pPr>
        <w:pStyle w:val="null3"/>
      </w:pPr>
      <w:r>
        <w:rPr>
          <w:rFonts w:ascii="仿宋_GB2312" w:hAnsi="仿宋_GB2312" w:cs="仿宋_GB2312" w:eastAsia="仿宋_GB2312"/>
        </w:rPr>
        <w:t>7、项目经理资格要求：项目经理须具备建筑工程专业二级及以上注册建造师证书，有效的安全生产考核合格证书（B证），提供无在建项目承诺；</w:t>
      </w:r>
    </w:p>
    <w:p>
      <w:pPr>
        <w:pStyle w:val="null3"/>
      </w:pPr>
      <w:r>
        <w:rPr>
          <w:rFonts w:ascii="仿宋_GB2312" w:hAnsi="仿宋_GB2312" w:cs="仿宋_GB2312" w:eastAsia="仿宋_GB2312"/>
        </w:rPr>
        <w:t>8、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9、控股关系：单位负责人为同一人或者存在直接控股、管理关系的不同投标供应商，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11、保证金：从基本存款账户转出的磋商保证金凭证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09132065463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代理服务费收费标准：参考《国家计委关于印发&lt;招标代理服务收费管理暂行办法&gt;的通知》（ 计价格【2002】1980号）及《国家发改委关于降低部分建设项目收费标准规范收费行为等有 关问题的通知》（发改价格[2011]534号）规定按标准收取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陕西省渭南监狱</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陕西省渭南监狱</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（1）本工程应按要求完成工程全部内容。 （2）本工程验收标准为达到合格标准。 （3）本项目还需要达到以下验收要求:符合竟争性磋商文件和磋商响应文件所要求以及国家相关技术标准，并在项目完成后，由采购人组成验收小组进行验收(必要时聘请相应专家或委托相应部门验收),经过验收小组检查后一致认为已达到要求视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地址：陕西省渭南市临渭区海兴城南门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471,000.00</w:t>
      </w:r>
    </w:p>
    <w:p>
      <w:pPr>
        <w:pStyle w:val="null3"/>
      </w:pPr>
      <w:r>
        <w:rPr>
          <w:rFonts w:ascii="仿宋_GB2312" w:hAnsi="仿宋_GB2312" w:cs="仿宋_GB2312" w:eastAsia="仿宋_GB2312"/>
        </w:rPr>
        <w:t>采购包最高限价（元）: 470,956.84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罪犯伙房屋架钢结构及地面维修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标的名称：罪犯伙房屋架钢结构及地面维修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一、工程概况</w:t>
            </w:r>
          </w:p>
          <w:p>
            <w:pPr>
              <w:pStyle w:val="null3"/>
            </w:pPr>
            <w:r>
              <w:rPr>
                <w:rFonts w:ascii="仿宋_GB2312" w:hAnsi="仿宋_GB2312" w:cs="仿宋_GB2312" w:eastAsia="仿宋_GB2312"/>
                <w:sz w:val="20"/>
              </w:rPr>
              <w:t>工程名称：罪犯伙房屋架钢结构及地面维修项目</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工程地点：</w:t>
            </w:r>
            <w:r>
              <w:rPr>
                <w:rFonts w:ascii="仿宋_GB2312" w:hAnsi="仿宋_GB2312" w:cs="仿宋_GB2312" w:eastAsia="仿宋_GB2312"/>
                <w:sz w:val="20"/>
              </w:rPr>
              <w:t>陕西省渭南监狱</w:t>
            </w:r>
            <w:r>
              <w:rPr>
                <w:rFonts w:ascii="仿宋_GB2312" w:hAnsi="仿宋_GB2312" w:cs="仿宋_GB2312" w:eastAsia="仿宋_GB2312"/>
                <w:sz w:val="20"/>
              </w:rPr>
              <w:t>。</w:t>
            </w:r>
          </w:p>
          <w:p>
            <w:pPr>
              <w:pStyle w:val="null3"/>
            </w:pPr>
            <w:r>
              <w:rPr>
                <w:rFonts w:ascii="仿宋_GB2312" w:hAnsi="仿宋_GB2312" w:cs="仿宋_GB2312" w:eastAsia="仿宋_GB2312"/>
                <w:sz w:val="21"/>
              </w:rPr>
              <w:t>工程</w:t>
            </w:r>
            <w:r>
              <w:rPr>
                <w:rFonts w:ascii="仿宋_GB2312" w:hAnsi="仿宋_GB2312" w:cs="仿宋_GB2312" w:eastAsia="仿宋_GB2312"/>
                <w:sz w:val="21"/>
              </w:rPr>
              <w:t>范围</w:t>
            </w:r>
            <w:r>
              <w:rPr>
                <w:rFonts w:ascii="仿宋_GB2312" w:hAnsi="仿宋_GB2312" w:cs="仿宋_GB2312" w:eastAsia="仿宋_GB2312"/>
                <w:sz w:val="21"/>
              </w:rPr>
              <w:t>：</w:t>
            </w:r>
            <w:r>
              <w:rPr>
                <w:rFonts w:ascii="仿宋_GB2312" w:hAnsi="仿宋_GB2312" w:cs="仿宋_GB2312" w:eastAsia="仿宋_GB2312"/>
                <w:sz w:val="20"/>
              </w:rPr>
              <w:t>罪犯伙房屋架钢结构及地面维修项目</w:t>
            </w:r>
            <w:r>
              <w:rPr>
                <w:rFonts w:ascii="仿宋_GB2312" w:hAnsi="仿宋_GB2312" w:cs="仿宋_GB2312" w:eastAsia="仿宋_GB2312"/>
                <w:sz w:val="20"/>
              </w:rPr>
              <w:t>（</w:t>
            </w:r>
            <w:r>
              <w:rPr>
                <w:rFonts w:ascii="仿宋_GB2312" w:hAnsi="仿宋_GB2312" w:cs="仿宋_GB2312" w:eastAsia="仿宋_GB2312"/>
                <w:sz w:val="20"/>
              </w:rPr>
              <w:t>具体</w:t>
            </w:r>
            <w:r>
              <w:rPr>
                <w:rFonts w:ascii="仿宋_GB2312" w:hAnsi="仿宋_GB2312" w:cs="仿宋_GB2312" w:eastAsia="仿宋_GB2312"/>
                <w:sz w:val="21"/>
              </w:rPr>
              <w:t>详见工程量清单）</w:t>
            </w:r>
            <w:r>
              <w:rPr>
                <w:rFonts w:ascii="仿宋_GB2312" w:hAnsi="仿宋_GB2312" w:cs="仿宋_GB2312" w:eastAsia="仿宋_GB2312"/>
                <w:sz w:val="21"/>
              </w:rPr>
              <w:t>；</w:t>
            </w:r>
          </w:p>
          <w:p>
            <w:pPr>
              <w:pStyle w:val="null3"/>
            </w:pPr>
            <w:r>
              <w:rPr>
                <w:rFonts w:ascii="仿宋_GB2312" w:hAnsi="仿宋_GB2312" w:cs="仿宋_GB2312" w:eastAsia="仿宋_GB2312"/>
                <w:sz w:val="21"/>
              </w:rPr>
              <w:t>施工日期（工期）：</w:t>
            </w:r>
            <w:r>
              <w:rPr>
                <w:rFonts w:ascii="仿宋_GB2312" w:hAnsi="仿宋_GB2312" w:cs="仿宋_GB2312" w:eastAsia="仿宋_GB2312"/>
                <w:sz w:val="21"/>
              </w:rPr>
              <w:t>30日历天；</w:t>
            </w:r>
          </w:p>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p>
            <w:pPr>
              <w:pStyle w:val="null3"/>
            </w:pPr>
            <w:r>
              <w:rPr>
                <w:rFonts w:ascii="仿宋_GB2312" w:hAnsi="仿宋_GB2312" w:cs="仿宋_GB2312" w:eastAsia="仿宋_GB2312"/>
                <w:sz w:val="21"/>
              </w:rPr>
              <w:t>二、其他说明：</w:t>
            </w:r>
          </w:p>
          <w:p>
            <w:pPr>
              <w:pStyle w:val="null3"/>
            </w:pPr>
            <w:r>
              <w:rPr>
                <w:rFonts w:ascii="仿宋_GB2312" w:hAnsi="仿宋_GB2312" w:cs="仿宋_GB2312" w:eastAsia="仿宋_GB2312"/>
                <w:sz w:val="21"/>
              </w:rPr>
              <w:t>工程量清单中所有的灯具需具备防尘功能。</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3、若采用保函形式缴纳保证金的供应商，需在文件递交截止之日前，将保函原件发至邮箱（2268936619@qq.com）。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 供应商需在项目电子化交易系统中按要求上传相应证明文件并进行电子签章,若提供证明材料的，以证明材料为准。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若提供证明材料的，以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供应商须具备建筑工程施工总承包三级及以上资质、特种工程（结构补强）专业承包资质（不分等级），并持有有效安全生产许可证。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项目经理须具备建筑工程专业二级及以上注册建造师证书，有效的安全生产考核合格证书（B证），提供无在建项目承诺；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从基本存款账户转出的磋商保证金凭证</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除明确允许投标人可以自行编写的外，响应文件是否按照竞争性磋商文件给定的格式和要求编制</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投标响应文件有效期是否符合磋商文件的要求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赋分标准（10分）： ①每一项评审内容完全满足评审标准得5分；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 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赋分标准（10分）： ①每一项评审内容完全满足评审标准得5分；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评审内容：投标人具有近三年（2023年1月至今）的类似业绩（合同扫描件并加盖投标人公章，以合同签订时间为准），每个计3分，最多得6分；未提供不得分。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