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31AFC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技术方案</w:t>
      </w:r>
      <w:bookmarkStart w:id="0" w:name="_GoBack"/>
      <w:bookmarkEnd w:id="0"/>
    </w:p>
    <w:p w14:paraId="53CB2F24">
      <w:pPr>
        <w:rPr>
          <w:rFonts w:hint="eastAsia"/>
        </w:rPr>
      </w:pPr>
    </w:p>
    <w:p w14:paraId="6242E7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根据详细评审细则拟定（格式自拟）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8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2026-06-01T07:01:44Z</dcterms:created>
  <dc:creator>Administrator</dc:creator>
  <cp:lastModifiedBy>呜呼拉嘿</cp:lastModifiedBy>
  <dcterms:modified xsi:type="dcterms:W3CDTF">2026-06-01T07:02:07Z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eyJoZGlkIjoiMjFmNjVmNDI4NWNiZGI2MWNjNDcyOWQ1MWJmY2VkYjciLCJ1c2VySWQiOiIzMTk1NTk3MDEifQ==</vt:lpwstr>
  </property>
  <property fmtid="{D5CDD505-2E9C-101B-9397-08002B2CF9AE}" pid="4" name="ICV">
    <vt:lpwstr>82BDAE63C6FA4CC489552AE7BE6D4B00_12</vt:lpwstr>
  </property>
</Properties>
</file>