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A26359">
      <w:pPr>
        <w:spacing w:line="480" w:lineRule="exact"/>
        <w:jc w:val="center"/>
        <w:rPr>
          <w:rFonts w:hint="eastAsia" w:ascii="宋体" w:hAnsi="宋体" w:cs="宋体"/>
          <w:color w:val="auto"/>
          <w:sz w:val="28"/>
          <w:highlight w:val="none"/>
        </w:rPr>
      </w:pPr>
      <w:r>
        <w:rPr>
          <w:rFonts w:hint="eastAsia" w:ascii="宋体" w:hAnsi="宋体" w:cs="宋体"/>
          <w:color w:val="auto"/>
          <w:sz w:val="28"/>
          <w:highlight w:val="none"/>
        </w:rPr>
        <w:t>（本模板为合同样稿，正式稿由双方依据招投标文件制定）</w:t>
      </w:r>
    </w:p>
    <w:p w14:paraId="3549D835">
      <w:pPr>
        <w:spacing w:line="480" w:lineRule="exact"/>
        <w:ind w:firstLine="573"/>
        <w:rPr>
          <w:color w:val="auto"/>
          <w:sz w:val="24"/>
          <w:highlight w:val="none"/>
        </w:rPr>
      </w:pPr>
    </w:p>
    <w:p w14:paraId="48DA8F9A">
      <w:pPr>
        <w:spacing w:line="520" w:lineRule="exact"/>
        <w:jc w:val="center"/>
        <w:rPr>
          <w:rFonts w:ascii="楷体_GB2312" w:eastAsia="楷体_GB2312"/>
          <w:color w:val="auto"/>
          <w:sz w:val="30"/>
          <w:szCs w:val="30"/>
          <w:highlight w:val="none"/>
        </w:rPr>
      </w:pPr>
    </w:p>
    <w:p w14:paraId="784F3763">
      <w:pPr>
        <w:spacing w:line="520" w:lineRule="exact"/>
        <w:jc w:val="center"/>
        <w:rPr>
          <w:rFonts w:ascii="楷体_GB2312" w:eastAsia="楷体_GB2312"/>
          <w:color w:val="auto"/>
          <w:sz w:val="30"/>
          <w:szCs w:val="30"/>
          <w:highlight w:val="none"/>
        </w:rPr>
      </w:pPr>
    </w:p>
    <w:p w14:paraId="0271DFB1">
      <w:pPr>
        <w:spacing w:line="520" w:lineRule="exact"/>
        <w:jc w:val="center"/>
        <w:rPr>
          <w:rFonts w:ascii="宋体" w:hAnsi="宋体"/>
          <w:color w:val="auto"/>
          <w:sz w:val="48"/>
          <w:szCs w:val="48"/>
          <w:highlight w:val="none"/>
        </w:rPr>
      </w:pPr>
      <w:r>
        <w:rPr>
          <w:rFonts w:ascii="宋体" w:hAnsi="宋体"/>
          <w:color w:val="auto"/>
          <w:sz w:val="48"/>
          <w:szCs w:val="48"/>
          <w:highlight w:val="none"/>
        </w:rPr>
        <w:t>政府采购合同</w:t>
      </w:r>
    </w:p>
    <w:p w14:paraId="2AAFF604">
      <w:pPr>
        <w:spacing w:line="520" w:lineRule="exact"/>
        <w:jc w:val="center"/>
        <w:rPr>
          <w:rFonts w:ascii="宋体" w:hAnsi="宋体"/>
          <w:color w:val="auto"/>
          <w:sz w:val="28"/>
          <w:highlight w:val="none"/>
        </w:rPr>
      </w:pPr>
    </w:p>
    <w:p w14:paraId="0D9FC299">
      <w:pPr>
        <w:spacing w:line="520" w:lineRule="exact"/>
        <w:jc w:val="center"/>
        <w:rPr>
          <w:rFonts w:ascii="宋体" w:hAnsi="宋体"/>
          <w:b/>
          <w:color w:val="auto"/>
          <w:sz w:val="44"/>
          <w:highlight w:val="none"/>
        </w:rPr>
      </w:pPr>
    </w:p>
    <w:p w14:paraId="21918B94">
      <w:pPr>
        <w:spacing w:line="520" w:lineRule="exact"/>
        <w:jc w:val="center"/>
        <w:rPr>
          <w:rFonts w:ascii="宋体" w:hAnsi="宋体"/>
          <w:b/>
          <w:color w:val="auto"/>
          <w:sz w:val="44"/>
          <w:highlight w:val="none"/>
        </w:rPr>
      </w:pPr>
    </w:p>
    <w:p w14:paraId="311DF221">
      <w:pPr>
        <w:spacing w:line="520" w:lineRule="exact"/>
        <w:jc w:val="center"/>
        <w:rPr>
          <w:rFonts w:ascii="宋体" w:hAnsi="宋体"/>
          <w:b/>
          <w:color w:val="auto"/>
          <w:sz w:val="44"/>
          <w:highlight w:val="none"/>
        </w:rPr>
      </w:pPr>
    </w:p>
    <w:p w14:paraId="58DADDA3">
      <w:pPr>
        <w:spacing w:line="520" w:lineRule="exact"/>
        <w:rPr>
          <w:rFonts w:ascii="宋体" w:hAnsi="宋体"/>
          <w:color w:val="auto"/>
          <w:sz w:val="28"/>
          <w:highlight w:val="none"/>
        </w:rPr>
      </w:pPr>
    </w:p>
    <w:p w14:paraId="08CD6158">
      <w:pPr>
        <w:spacing w:line="520" w:lineRule="exact"/>
        <w:rPr>
          <w:rFonts w:ascii="宋体" w:hAnsi="宋体"/>
          <w:color w:val="auto"/>
          <w:sz w:val="28"/>
          <w:highlight w:val="none"/>
        </w:rPr>
      </w:pPr>
    </w:p>
    <w:p w14:paraId="3343575A">
      <w:pPr>
        <w:spacing w:line="520" w:lineRule="exact"/>
        <w:ind w:firstLine="640" w:firstLineChars="200"/>
        <w:rPr>
          <w:rFonts w:hint="eastAsia" w:ascii="宋体" w:hAnsi="宋体"/>
          <w:bCs/>
          <w:color w:val="auto"/>
          <w:sz w:val="32"/>
          <w:szCs w:val="32"/>
          <w:highlight w:val="none"/>
          <w:u w:val="single"/>
        </w:rPr>
      </w:pPr>
      <w:r>
        <w:rPr>
          <w:rFonts w:hint="eastAsia" w:ascii="宋体" w:hAnsi="宋体"/>
          <w:color w:val="auto"/>
          <w:sz w:val="32"/>
          <w:szCs w:val="32"/>
          <w:highlight w:val="none"/>
        </w:rPr>
        <w:t>项目名称</w:t>
      </w:r>
      <w:r>
        <w:rPr>
          <w:rFonts w:hint="eastAsia" w:ascii="宋体" w:hAnsi="宋体"/>
          <w:bCs/>
          <w:color w:val="auto"/>
          <w:sz w:val="32"/>
          <w:szCs w:val="32"/>
          <w:highlight w:val="none"/>
        </w:rPr>
        <w:t>：</w:t>
      </w:r>
      <w:r>
        <w:rPr>
          <w:rFonts w:hint="eastAsia" w:ascii="宋体" w:hAnsi="宋体"/>
          <w:bCs/>
          <w:color w:val="auto"/>
          <w:sz w:val="32"/>
          <w:szCs w:val="32"/>
          <w:highlight w:val="none"/>
          <w:u w:val="single"/>
        </w:rPr>
        <w:t>陕西省2026年度电信普遍服务项目</w:t>
      </w:r>
    </w:p>
    <w:p w14:paraId="1159BAB9">
      <w:pPr>
        <w:spacing w:line="520" w:lineRule="exact"/>
        <w:ind w:firstLine="640" w:firstLineChars="200"/>
        <w:rPr>
          <w:rFonts w:hint="default" w:ascii="宋体" w:hAnsi="宋体" w:eastAsia="宋体"/>
          <w:bCs/>
          <w:color w:val="auto"/>
          <w:sz w:val="32"/>
          <w:szCs w:val="32"/>
          <w:highlight w:val="none"/>
          <w:u w:val="single"/>
          <w:lang w:val="en-US" w:eastAsia="zh-CN"/>
        </w:rPr>
      </w:pPr>
      <w:r>
        <w:rPr>
          <w:rFonts w:hint="eastAsia" w:ascii="宋体" w:hAnsi="宋体"/>
          <w:bCs/>
          <w:color w:val="auto"/>
          <w:sz w:val="32"/>
          <w:szCs w:val="32"/>
          <w:highlight w:val="none"/>
          <w:u w:val="none"/>
          <w:lang w:val="en-US" w:eastAsia="zh-CN"/>
        </w:rPr>
        <w:t>包名称：</w:t>
      </w:r>
      <w:r>
        <w:rPr>
          <w:rFonts w:hint="eastAsia" w:ascii="宋体" w:hAnsi="宋体"/>
          <w:bCs/>
          <w:color w:val="auto"/>
          <w:sz w:val="32"/>
          <w:szCs w:val="32"/>
          <w:highlight w:val="none"/>
          <w:u w:val="single"/>
          <w:lang w:val="en-US" w:eastAsia="zh-CN"/>
        </w:rPr>
        <w:t xml:space="preserve">                                 </w:t>
      </w:r>
    </w:p>
    <w:p w14:paraId="7DA465DE">
      <w:pPr>
        <w:spacing w:line="520" w:lineRule="exact"/>
        <w:ind w:firstLine="627" w:firstLineChars="196"/>
        <w:rPr>
          <w:rFonts w:ascii="宋体" w:hAnsi="宋体"/>
          <w:color w:val="auto"/>
          <w:sz w:val="32"/>
          <w:szCs w:val="32"/>
          <w:highlight w:val="none"/>
        </w:rPr>
      </w:pPr>
      <w:r>
        <w:rPr>
          <w:rFonts w:hint="eastAsia" w:ascii="宋体" w:hAnsi="宋体"/>
          <w:bCs/>
          <w:color w:val="auto"/>
          <w:sz w:val="32"/>
          <w:szCs w:val="32"/>
          <w:highlight w:val="none"/>
        </w:rPr>
        <w:t>批准文号：</w:t>
      </w:r>
      <w:r>
        <w:rPr>
          <w:rFonts w:hint="eastAsia" w:ascii="宋体" w:hAnsi="宋体"/>
          <w:color w:val="auto"/>
          <w:sz w:val="32"/>
          <w:szCs w:val="32"/>
          <w:highlight w:val="none"/>
          <w:u w:val="single"/>
        </w:rPr>
        <w:t xml:space="preserve">                                     </w:t>
      </w:r>
    </w:p>
    <w:p w14:paraId="4B0CA2E6">
      <w:pPr>
        <w:spacing w:line="520" w:lineRule="exact"/>
        <w:ind w:firstLine="640" w:firstLineChars="200"/>
        <w:rPr>
          <w:rFonts w:hint="eastAsia" w:ascii="宋体" w:hAnsi="宋体"/>
          <w:color w:val="auto"/>
          <w:sz w:val="32"/>
          <w:szCs w:val="32"/>
          <w:highlight w:val="none"/>
        </w:rPr>
      </w:pPr>
      <w:r>
        <w:rPr>
          <w:rFonts w:hint="eastAsia" w:ascii="宋体" w:hAnsi="宋体"/>
          <w:color w:val="auto"/>
          <w:sz w:val="32"/>
          <w:szCs w:val="32"/>
          <w:highlight w:val="none"/>
        </w:rPr>
        <w:t>合同编号：</w:t>
      </w:r>
      <w:r>
        <w:rPr>
          <w:rFonts w:hint="eastAsia" w:ascii="宋体" w:hAnsi="宋体"/>
          <w:color w:val="auto"/>
          <w:sz w:val="32"/>
          <w:highlight w:val="none"/>
          <w:u w:val="single"/>
        </w:rPr>
        <w:t xml:space="preserve">                                     </w:t>
      </w:r>
    </w:p>
    <w:p w14:paraId="535DE5D1">
      <w:pPr>
        <w:keepNext w:val="0"/>
        <w:keepLines w:val="0"/>
        <w:pageBreakBefore w:val="0"/>
        <w:widowControl w:val="0"/>
        <w:kinsoku/>
        <w:wordWrap/>
        <w:overflowPunct/>
        <w:topLinePunct w:val="0"/>
        <w:autoSpaceDE w:val="0"/>
        <w:autoSpaceDN w:val="0"/>
        <w:bidi w:val="0"/>
        <w:adjustRightInd w:val="0"/>
        <w:snapToGrid/>
        <w:spacing w:line="360" w:lineRule="auto"/>
        <w:ind w:firstLine="640" w:firstLineChars="200"/>
        <w:jc w:val="left"/>
        <w:textAlignment w:val="auto"/>
        <w:rPr>
          <w:rFonts w:ascii="宋体" w:hAnsi="宋体"/>
          <w:color w:val="auto"/>
          <w:sz w:val="32"/>
          <w:szCs w:val="32"/>
          <w:highlight w:val="none"/>
          <w:u w:val="single"/>
        </w:rPr>
      </w:pPr>
      <w:r>
        <w:rPr>
          <w:rFonts w:hint="eastAsia" w:ascii="宋体" w:hAnsi="宋体"/>
          <w:color w:val="auto"/>
          <w:sz w:val="32"/>
          <w:szCs w:val="32"/>
          <w:highlight w:val="none"/>
        </w:rPr>
        <w:t>采购代理机构：</w:t>
      </w:r>
      <w:r>
        <w:rPr>
          <w:rFonts w:hint="eastAsia" w:ascii="宋体" w:hAnsi="宋体" w:cs="宋体"/>
          <w:color w:val="auto"/>
          <w:sz w:val="28"/>
          <w:szCs w:val="28"/>
          <w:highlight w:val="none"/>
          <w:u w:val="single"/>
        </w:rPr>
        <w:t>中招国际招标有限公司</w:t>
      </w:r>
    </w:p>
    <w:p w14:paraId="32C203AD">
      <w:pPr>
        <w:keepNext w:val="0"/>
        <w:keepLines w:val="0"/>
        <w:pageBreakBefore w:val="0"/>
        <w:widowControl w:val="0"/>
        <w:kinsoku/>
        <w:wordWrap/>
        <w:overflowPunct/>
        <w:topLinePunct w:val="0"/>
        <w:autoSpaceDE w:val="0"/>
        <w:autoSpaceDN w:val="0"/>
        <w:bidi w:val="0"/>
        <w:adjustRightInd w:val="0"/>
        <w:snapToGrid/>
        <w:spacing w:line="360" w:lineRule="auto"/>
        <w:ind w:firstLine="640" w:firstLineChars="200"/>
        <w:jc w:val="left"/>
        <w:textAlignment w:val="auto"/>
        <w:rPr>
          <w:rFonts w:ascii="宋体" w:hAnsi="宋体"/>
          <w:color w:val="auto"/>
          <w:sz w:val="32"/>
          <w:szCs w:val="32"/>
          <w:highlight w:val="none"/>
          <w:u w:val="single"/>
        </w:rPr>
      </w:pPr>
      <w:r>
        <w:rPr>
          <w:rFonts w:hint="eastAsia" w:ascii="宋体" w:hAnsi="宋体"/>
          <w:color w:val="auto"/>
          <w:sz w:val="32"/>
          <w:szCs w:val="32"/>
          <w:highlight w:val="none"/>
        </w:rPr>
        <w:t>甲方：</w:t>
      </w:r>
      <w:r>
        <w:rPr>
          <w:rFonts w:hint="eastAsia" w:ascii="宋体" w:hAnsi="宋体" w:cs="宋体"/>
          <w:color w:val="auto"/>
          <w:sz w:val="28"/>
          <w:szCs w:val="28"/>
          <w:highlight w:val="none"/>
          <w:u w:val="single"/>
        </w:rPr>
        <w:t>陕西省通信管理局</w:t>
      </w:r>
    </w:p>
    <w:p w14:paraId="4D001A4B">
      <w:pPr>
        <w:spacing w:line="520" w:lineRule="exact"/>
        <w:ind w:firstLine="640" w:firstLineChars="200"/>
        <w:rPr>
          <w:rFonts w:ascii="宋体" w:hAnsi="宋体"/>
          <w:color w:val="auto"/>
          <w:sz w:val="32"/>
          <w:szCs w:val="32"/>
          <w:highlight w:val="none"/>
          <w:u w:val="single"/>
        </w:rPr>
      </w:pPr>
      <w:r>
        <w:rPr>
          <w:rFonts w:hint="eastAsia" w:ascii="宋体" w:hAnsi="宋体"/>
          <w:color w:val="auto"/>
          <w:sz w:val="32"/>
          <w:szCs w:val="32"/>
          <w:highlight w:val="none"/>
        </w:rPr>
        <w:t>乙方：</w:t>
      </w:r>
      <w:r>
        <w:rPr>
          <w:rFonts w:hint="eastAsia" w:ascii="宋体" w:hAnsi="宋体"/>
          <w:color w:val="auto"/>
          <w:sz w:val="32"/>
          <w:szCs w:val="32"/>
          <w:highlight w:val="none"/>
          <w:u w:val="single"/>
        </w:rPr>
        <w:t>（供应商名称）</w:t>
      </w:r>
    </w:p>
    <w:p w14:paraId="097710F4">
      <w:pPr>
        <w:spacing w:line="520" w:lineRule="exact"/>
        <w:rPr>
          <w:rFonts w:ascii="宋体" w:hAnsi="宋体"/>
          <w:color w:val="auto"/>
          <w:sz w:val="32"/>
          <w:szCs w:val="32"/>
          <w:highlight w:val="none"/>
        </w:rPr>
      </w:pPr>
    </w:p>
    <w:p w14:paraId="750AC879">
      <w:pPr>
        <w:spacing w:line="520" w:lineRule="exact"/>
        <w:rPr>
          <w:rFonts w:ascii="宋体" w:hAnsi="宋体"/>
          <w:color w:val="auto"/>
          <w:sz w:val="32"/>
          <w:szCs w:val="32"/>
          <w:highlight w:val="none"/>
        </w:rPr>
      </w:pPr>
    </w:p>
    <w:p w14:paraId="30FC1702">
      <w:pPr>
        <w:spacing w:line="520" w:lineRule="exact"/>
        <w:rPr>
          <w:rFonts w:ascii="宋体" w:hAnsi="宋体"/>
          <w:color w:val="auto"/>
          <w:sz w:val="32"/>
          <w:szCs w:val="32"/>
          <w:highlight w:val="none"/>
        </w:rPr>
      </w:pPr>
    </w:p>
    <w:p w14:paraId="7AB1AF2B">
      <w:pPr>
        <w:spacing w:line="520" w:lineRule="exact"/>
        <w:rPr>
          <w:rFonts w:ascii="宋体" w:hAnsi="宋体"/>
          <w:color w:val="auto"/>
          <w:sz w:val="32"/>
          <w:szCs w:val="32"/>
          <w:highlight w:val="none"/>
        </w:rPr>
      </w:pPr>
    </w:p>
    <w:p w14:paraId="101ACD81">
      <w:pPr>
        <w:spacing w:line="520" w:lineRule="exact"/>
        <w:rPr>
          <w:rFonts w:ascii="宋体" w:hAnsi="宋体"/>
          <w:color w:val="auto"/>
          <w:sz w:val="32"/>
          <w:szCs w:val="32"/>
          <w:highlight w:val="none"/>
        </w:rPr>
      </w:pPr>
    </w:p>
    <w:p w14:paraId="72FFE49D">
      <w:pPr>
        <w:spacing w:line="520" w:lineRule="exact"/>
        <w:ind w:firstLine="944" w:firstLineChars="295"/>
        <w:rPr>
          <w:rFonts w:ascii="宋体" w:hAnsi="宋体"/>
          <w:color w:val="auto"/>
          <w:sz w:val="32"/>
          <w:szCs w:val="32"/>
          <w:highlight w:val="none"/>
        </w:rPr>
      </w:pPr>
      <w:r>
        <w:rPr>
          <w:rFonts w:ascii="宋体" w:hAnsi="宋体"/>
          <w:b/>
          <w:bCs/>
          <w:color w:val="auto"/>
          <w:sz w:val="32"/>
          <w:szCs w:val="32"/>
          <w:highlight w:val="none"/>
        </w:rPr>
        <w:t>签订日期：</w:t>
      </w:r>
      <w:r>
        <w:rPr>
          <w:rFonts w:hint="eastAsia" w:ascii="宋体" w:hAnsi="宋体"/>
          <w:color w:val="auto"/>
          <w:sz w:val="32"/>
          <w:szCs w:val="32"/>
          <w:highlight w:val="none"/>
          <w:u w:val="single"/>
        </w:rPr>
        <w:t xml:space="preserve">         </w:t>
      </w:r>
      <w:r>
        <w:rPr>
          <w:rFonts w:ascii="宋体" w:hAnsi="宋体"/>
          <w:color w:val="auto"/>
          <w:sz w:val="32"/>
          <w:szCs w:val="32"/>
          <w:highlight w:val="none"/>
        </w:rPr>
        <w:t>年</w:t>
      </w:r>
      <w:r>
        <w:rPr>
          <w:rFonts w:hint="eastAsia" w:ascii="宋体" w:hAnsi="宋体"/>
          <w:color w:val="auto"/>
          <w:sz w:val="32"/>
          <w:szCs w:val="32"/>
          <w:highlight w:val="none"/>
          <w:u w:val="single"/>
        </w:rPr>
        <w:t xml:space="preserve">    </w:t>
      </w:r>
      <w:r>
        <w:rPr>
          <w:rFonts w:ascii="宋体" w:hAnsi="宋体"/>
          <w:color w:val="auto"/>
          <w:sz w:val="32"/>
          <w:szCs w:val="32"/>
          <w:highlight w:val="none"/>
        </w:rPr>
        <w:t>月</w:t>
      </w:r>
      <w:r>
        <w:rPr>
          <w:rFonts w:hint="eastAsia" w:ascii="宋体" w:hAnsi="宋体"/>
          <w:color w:val="auto"/>
          <w:sz w:val="32"/>
          <w:szCs w:val="32"/>
          <w:highlight w:val="none"/>
          <w:u w:val="single"/>
        </w:rPr>
        <w:t xml:space="preserve">     </w:t>
      </w:r>
      <w:r>
        <w:rPr>
          <w:rFonts w:hint="eastAsia" w:ascii="宋体" w:hAnsi="宋体"/>
          <w:color w:val="auto"/>
          <w:sz w:val="32"/>
          <w:szCs w:val="32"/>
          <w:highlight w:val="none"/>
        </w:rPr>
        <w:t>日</w:t>
      </w:r>
    </w:p>
    <w:p w14:paraId="0D8E303A">
      <w:pPr>
        <w:spacing w:line="520" w:lineRule="exact"/>
        <w:rPr>
          <w:rFonts w:hint="eastAsia" w:ascii="仿宋_GB2312" w:eastAsia="仿宋_GB2312"/>
          <w:color w:val="auto"/>
          <w:sz w:val="30"/>
          <w:szCs w:val="30"/>
          <w:highlight w:val="none"/>
        </w:rPr>
      </w:pPr>
    </w:p>
    <w:p w14:paraId="2D1BBC32">
      <w:pPr>
        <w:spacing w:line="520" w:lineRule="exact"/>
        <w:rPr>
          <w:rFonts w:ascii="仿宋_GB2312" w:eastAsia="仿宋_GB2312"/>
          <w:color w:val="auto"/>
          <w:sz w:val="30"/>
          <w:szCs w:val="30"/>
          <w:highlight w:val="none"/>
        </w:rPr>
      </w:pPr>
    </w:p>
    <w:p w14:paraId="5B0E2C9D">
      <w:pPr>
        <w:autoSpaceDE w:val="0"/>
        <w:autoSpaceDN w:val="0"/>
        <w:adjustRightInd w:val="0"/>
        <w:snapToGrid w:val="0"/>
        <w:spacing w:after="158" w:afterLines="50" w:line="360" w:lineRule="auto"/>
        <w:jc w:val="left"/>
        <w:rPr>
          <w:rFonts w:ascii="宋体" w:hAnsi="宋体" w:cs="宋体"/>
          <w:b/>
          <w:color w:val="auto"/>
          <w:kern w:val="0"/>
          <w:sz w:val="24"/>
          <w:highlight w:val="none"/>
          <w:lang w:val="zh-CN"/>
        </w:rPr>
      </w:pPr>
      <w:r>
        <w:rPr>
          <w:rFonts w:hint="eastAsia" w:ascii="宋体" w:hAnsi="宋体" w:cs="宋体"/>
          <w:b/>
          <w:color w:val="auto"/>
          <w:kern w:val="0"/>
          <w:sz w:val="24"/>
          <w:highlight w:val="none"/>
          <w:lang w:val="zh-CN"/>
        </w:rPr>
        <w:t>甲方：</w:t>
      </w:r>
      <w:r>
        <w:rPr>
          <w:rFonts w:hint="eastAsia" w:ascii="宋体" w:hAnsi="宋体"/>
          <w:color w:val="auto"/>
          <w:sz w:val="24"/>
          <w:szCs w:val="20"/>
          <w:highlight w:val="none"/>
        </w:rPr>
        <w:t>陕西省通信管理局</w:t>
      </w:r>
    </w:p>
    <w:p w14:paraId="653152A6">
      <w:pPr>
        <w:snapToGrid w:val="0"/>
        <w:spacing w:after="158" w:afterLines="50" w:line="360" w:lineRule="auto"/>
        <w:rPr>
          <w:rFonts w:ascii="宋体" w:hAnsi="宋体"/>
          <w:color w:val="auto"/>
          <w:sz w:val="24"/>
          <w:highlight w:val="none"/>
          <w:u w:val="single"/>
        </w:rPr>
      </w:pPr>
      <w:r>
        <w:rPr>
          <w:rFonts w:hint="eastAsia" w:ascii="宋体" w:hAnsi="宋体"/>
          <w:color w:val="auto"/>
          <w:sz w:val="24"/>
          <w:highlight w:val="none"/>
        </w:rPr>
        <w:t>联系人：</w:t>
      </w:r>
    </w:p>
    <w:p w14:paraId="0EE39B5A">
      <w:pPr>
        <w:snapToGrid w:val="0"/>
        <w:spacing w:after="158" w:afterLines="50" w:line="360" w:lineRule="auto"/>
        <w:rPr>
          <w:rFonts w:ascii="宋体" w:hAnsi="宋体"/>
          <w:color w:val="auto"/>
          <w:sz w:val="24"/>
          <w:highlight w:val="none"/>
          <w:u w:val="single"/>
        </w:rPr>
      </w:pPr>
      <w:r>
        <w:rPr>
          <w:rFonts w:hint="eastAsia" w:ascii="宋体" w:hAnsi="宋体"/>
          <w:color w:val="auto"/>
          <w:sz w:val="24"/>
          <w:highlight w:val="none"/>
        </w:rPr>
        <w:t>地址：</w:t>
      </w:r>
      <w:r>
        <w:rPr>
          <w:rFonts w:hint="eastAsia" w:ascii="宋体" w:hAnsi="宋体"/>
          <w:color w:val="auto"/>
          <w:sz w:val="24"/>
          <w:szCs w:val="20"/>
          <w:highlight w:val="none"/>
        </w:rPr>
        <w:t>西安市科技四路195号</w:t>
      </w:r>
    </w:p>
    <w:p w14:paraId="48525677">
      <w:pPr>
        <w:snapToGrid w:val="0"/>
        <w:spacing w:after="158" w:afterLines="50" w:line="360" w:lineRule="auto"/>
        <w:rPr>
          <w:rFonts w:ascii="宋体" w:hAnsi="宋体"/>
          <w:color w:val="auto"/>
          <w:sz w:val="24"/>
          <w:highlight w:val="none"/>
        </w:rPr>
      </w:pPr>
      <w:r>
        <w:rPr>
          <w:rFonts w:hint="eastAsia" w:ascii="宋体" w:hAnsi="宋体"/>
          <w:color w:val="auto"/>
          <w:sz w:val="24"/>
          <w:highlight w:val="none"/>
        </w:rPr>
        <w:t>联系电话：029-88333393  传真：</w:t>
      </w:r>
    </w:p>
    <w:p w14:paraId="3DC6E017">
      <w:pPr>
        <w:snapToGrid w:val="0"/>
        <w:spacing w:after="158" w:afterLines="50" w:line="360" w:lineRule="auto"/>
        <w:rPr>
          <w:rFonts w:ascii="宋体" w:hAnsi="宋体"/>
          <w:color w:val="auto"/>
          <w:sz w:val="24"/>
          <w:highlight w:val="none"/>
        </w:rPr>
      </w:pPr>
      <w:r>
        <w:rPr>
          <w:rFonts w:ascii="宋体" w:hAnsi="宋体"/>
          <w:color w:val="auto"/>
          <w:sz w:val="24"/>
          <w:highlight w:val="none"/>
        </w:rPr>
        <w:t xml:space="preserve">E-mail: </w:t>
      </w:r>
    </w:p>
    <w:p w14:paraId="52C85DFE">
      <w:pPr>
        <w:autoSpaceDE w:val="0"/>
        <w:autoSpaceDN w:val="0"/>
        <w:adjustRightInd w:val="0"/>
        <w:snapToGrid w:val="0"/>
        <w:spacing w:after="158" w:afterLines="50" w:line="360" w:lineRule="auto"/>
        <w:jc w:val="left"/>
        <w:rPr>
          <w:rFonts w:ascii="宋体" w:hAnsi="宋体" w:cs="宋体"/>
          <w:b/>
          <w:color w:val="auto"/>
          <w:kern w:val="0"/>
          <w:sz w:val="24"/>
          <w:highlight w:val="none"/>
          <w:lang w:val="zh-CN"/>
        </w:rPr>
      </w:pPr>
      <w:r>
        <w:rPr>
          <w:rFonts w:hint="eastAsia" w:ascii="宋体" w:hAnsi="宋体" w:cs="宋体"/>
          <w:b/>
          <w:color w:val="auto"/>
          <w:kern w:val="0"/>
          <w:sz w:val="24"/>
          <w:highlight w:val="none"/>
          <w:lang w:val="zh-CN"/>
        </w:rPr>
        <w:t>乙方：</w:t>
      </w:r>
    </w:p>
    <w:p w14:paraId="1971EEB7">
      <w:pPr>
        <w:snapToGrid w:val="0"/>
        <w:spacing w:after="158" w:afterLines="50" w:line="360" w:lineRule="auto"/>
        <w:rPr>
          <w:rFonts w:ascii="宋体" w:hAnsi="宋体"/>
          <w:color w:val="auto"/>
          <w:sz w:val="24"/>
          <w:highlight w:val="none"/>
          <w:u w:val="single"/>
        </w:rPr>
      </w:pPr>
      <w:r>
        <w:rPr>
          <w:rFonts w:hint="eastAsia" w:ascii="宋体" w:hAnsi="宋体"/>
          <w:color w:val="auto"/>
          <w:sz w:val="24"/>
          <w:highlight w:val="none"/>
        </w:rPr>
        <w:t>联系人：</w:t>
      </w:r>
    </w:p>
    <w:p w14:paraId="0A793AF7">
      <w:pPr>
        <w:snapToGrid w:val="0"/>
        <w:spacing w:after="158" w:afterLines="50" w:line="360" w:lineRule="auto"/>
        <w:rPr>
          <w:rFonts w:ascii="宋体" w:hAnsi="宋体"/>
          <w:color w:val="auto"/>
          <w:sz w:val="24"/>
          <w:highlight w:val="none"/>
          <w:u w:val="single"/>
        </w:rPr>
      </w:pPr>
      <w:r>
        <w:rPr>
          <w:rFonts w:hint="eastAsia" w:ascii="宋体" w:hAnsi="宋体"/>
          <w:color w:val="auto"/>
          <w:sz w:val="24"/>
          <w:highlight w:val="none"/>
        </w:rPr>
        <w:t>地址：</w:t>
      </w:r>
    </w:p>
    <w:p w14:paraId="101F36D4">
      <w:pPr>
        <w:snapToGrid w:val="0"/>
        <w:spacing w:after="158" w:afterLines="50" w:line="360" w:lineRule="auto"/>
        <w:rPr>
          <w:rFonts w:ascii="宋体" w:hAnsi="宋体"/>
          <w:color w:val="auto"/>
          <w:sz w:val="24"/>
          <w:highlight w:val="none"/>
        </w:rPr>
      </w:pPr>
      <w:r>
        <w:rPr>
          <w:rFonts w:hint="eastAsia" w:ascii="宋体" w:hAnsi="宋体"/>
          <w:color w:val="auto"/>
          <w:sz w:val="24"/>
          <w:highlight w:val="none"/>
        </w:rPr>
        <w:t>联系电话：     传真：</w:t>
      </w:r>
    </w:p>
    <w:p w14:paraId="774D89D1">
      <w:pPr>
        <w:snapToGrid w:val="0"/>
        <w:spacing w:after="158" w:afterLines="50" w:line="360" w:lineRule="auto"/>
        <w:rPr>
          <w:rFonts w:ascii="宋体" w:hAnsi="宋体"/>
          <w:color w:val="auto"/>
          <w:sz w:val="24"/>
          <w:highlight w:val="none"/>
        </w:rPr>
      </w:pPr>
      <w:r>
        <w:rPr>
          <w:rFonts w:ascii="宋体" w:hAnsi="宋体"/>
          <w:color w:val="auto"/>
          <w:sz w:val="24"/>
          <w:highlight w:val="none"/>
        </w:rPr>
        <w:t xml:space="preserve">E-mail: </w:t>
      </w:r>
    </w:p>
    <w:p w14:paraId="205E9418">
      <w:pPr>
        <w:snapToGrid w:val="0"/>
        <w:spacing w:after="158" w:afterLines="50" w:line="360" w:lineRule="auto"/>
        <w:ind w:firstLine="480" w:firstLineChars="200"/>
        <w:rPr>
          <w:rFonts w:ascii="宋体" w:hAnsi="宋体"/>
          <w:color w:val="auto"/>
          <w:sz w:val="24"/>
          <w:highlight w:val="none"/>
        </w:rPr>
      </w:pPr>
      <w:r>
        <w:rPr>
          <w:rFonts w:hint="eastAsia" w:ascii="宋体" w:hAnsi="宋体"/>
          <w:color w:val="auto"/>
          <w:sz w:val="24"/>
          <w:highlight w:val="none"/>
        </w:rPr>
        <w:t>根据《中华人民共和国</w:t>
      </w:r>
      <w:r>
        <w:rPr>
          <w:rFonts w:hint="eastAsia" w:ascii="宋体" w:hAnsi="宋体"/>
          <w:color w:val="auto"/>
          <w:sz w:val="24"/>
          <w:highlight w:val="none"/>
          <w:lang w:val="en-US" w:eastAsia="zh-CN"/>
        </w:rPr>
        <w:t>民法典</w:t>
      </w:r>
      <w:r>
        <w:rPr>
          <w:rFonts w:hint="eastAsia" w:ascii="宋体" w:hAnsi="宋体"/>
          <w:color w:val="auto"/>
          <w:sz w:val="24"/>
          <w:highlight w:val="none"/>
        </w:rPr>
        <w:t>》《工业和信息化部办公厅关于印发&lt;电信普遍服务项目竣工验收管理办法&gt;的通知》（工信厅通信〔2022〕16号）和《财政部 工业和信息化部关于修订&lt;电信普遍服务补助资金管理办法&gt;的通知》（财建〔2022〕27号）及其他有关法律、法规规定，在平等、自愿、协商一致的基础上，甲、乙双方就乙方承担甲方</w:t>
      </w:r>
      <w:r>
        <w:rPr>
          <w:rFonts w:hint="eastAsia" w:ascii="宋体" w:hAnsi="宋体"/>
          <w:color w:val="auto"/>
          <w:sz w:val="24"/>
          <w:highlight w:val="none"/>
          <w:u w:val="single"/>
        </w:rPr>
        <w:t>陕西省2026年度电信普遍服务项目</w:t>
      </w:r>
      <w:r>
        <w:rPr>
          <w:rFonts w:hint="eastAsia" w:ascii="宋体" w:hAnsi="宋体"/>
          <w:color w:val="auto"/>
          <w:sz w:val="24"/>
          <w:highlight w:val="none"/>
        </w:rPr>
        <w:t>有关事务达成如下协议：</w:t>
      </w:r>
    </w:p>
    <w:p w14:paraId="7D67BC1F">
      <w:pPr>
        <w:tabs>
          <w:tab w:val="left" w:pos="1134"/>
          <w:tab w:val="left" w:pos="1418"/>
        </w:tabs>
        <w:snapToGrid w:val="0"/>
        <w:spacing w:line="360" w:lineRule="auto"/>
        <w:ind w:firstLine="480" w:firstLineChars="200"/>
        <w:rPr>
          <w:rFonts w:hint="eastAsia" w:ascii="宋体" w:hAnsi="宋体" w:cs="宋体"/>
          <w:b/>
          <w:color w:val="auto"/>
          <w:sz w:val="24"/>
          <w:highlight w:val="none"/>
        </w:rPr>
      </w:pPr>
      <w:r>
        <w:rPr>
          <w:rFonts w:hint="eastAsia" w:ascii="宋体" w:hAnsi="宋体" w:cs="宋体"/>
          <w:b/>
          <w:color w:val="auto"/>
          <w:sz w:val="24"/>
          <w:highlight w:val="none"/>
        </w:rPr>
        <w:t>第一条  项目内容</w:t>
      </w:r>
    </w:p>
    <w:p w14:paraId="261B1C87">
      <w:pPr>
        <w:snapToGrid w:val="0"/>
        <w:spacing w:line="360" w:lineRule="auto"/>
        <w:ind w:firstLine="480" w:firstLineChars="200"/>
        <w:jc w:val="left"/>
        <w:rPr>
          <w:rFonts w:hint="eastAsia" w:ascii="宋体" w:hAnsi="宋体" w:eastAsia="宋体" w:cs="宋体"/>
          <w:color w:val="auto"/>
          <w:sz w:val="24"/>
          <w:highlight w:val="none"/>
          <w:lang w:eastAsia="zh-CN"/>
        </w:rPr>
      </w:pPr>
      <w:r>
        <w:rPr>
          <w:rFonts w:hint="eastAsia" w:ascii="宋体" w:hAnsi="宋体" w:cs="宋体"/>
          <w:color w:val="auto"/>
          <w:sz w:val="24"/>
          <w:highlight w:val="none"/>
        </w:rPr>
        <w:t>1.</w:t>
      </w:r>
      <w:r>
        <w:rPr>
          <w:rFonts w:hint="eastAsia" w:ascii="宋体" w:hAnsi="宋体" w:cs="宋体"/>
          <w:color w:val="auto"/>
          <w:sz w:val="24"/>
          <w:highlight w:val="none"/>
          <w:lang w:val="en-US" w:eastAsia="zh-CN"/>
        </w:rPr>
        <w:t>包</w:t>
      </w:r>
      <w:r>
        <w:rPr>
          <w:rFonts w:hint="eastAsia" w:ascii="宋体" w:hAnsi="宋体" w:cs="宋体"/>
          <w:color w:val="auto"/>
          <w:sz w:val="24"/>
          <w:highlight w:val="none"/>
        </w:rPr>
        <w:t>名称：</w:t>
      </w:r>
      <w:r>
        <w:rPr>
          <w:rFonts w:hint="eastAsia" w:ascii="宋体" w:hAnsi="宋体" w:cs="宋体"/>
          <w:i/>
          <w:iCs/>
          <w:color w:val="auto"/>
          <w:sz w:val="24"/>
          <w:highlight w:val="none"/>
          <w:u w:val="single"/>
          <w:lang w:val="en-US" w:eastAsia="zh-CN" w:bidi="ar"/>
        </w:rPr>
        <w:t xml:space="preserve">  </w:t>
      </w:r>
      <w:r>
        <w:rPr>
          <w:rFonts w:hint="eastAsia" w:ascii="宋体" w:hAnsi="宋体" w:cs="宋体"/>
          <w:color w:val="auto"/>
          <w:sz w:val="24"/>
          <w:highlight w:val="none"/>
          <w:lang w:val="en-US" w:eastAsia="zh-CN"/>
        </w:rPr>
        <w:t xml:space="preserve"> </w:t>
      </w:r>
    </w:p>
    <w:p w14:paraId="29CE271E">
      <w:pPr>
        <w:snapToGrid w:val="0"/>
        <w:spacing w:line="360" w:lineRule="auto"/>
        <w:ind w:firstLine="480" w:firstLineChars="200"/>
        <w:rPr>
          <w:rFonts w:hint="default" w:ascii="宋体" w:hAnsi="宋体" w:eastAsia="宋体"/>
          <w:color w:val="auto"/>
          <w:kern w:val="0"/>
          <w:sz w:val="24"/>
          <w:highlight w:val="none"/>
          <w:lang w:val="en-US" w:eastAsia="zh-CN"/>
        </w:rPr>
      </w:pPr>
      <w:r>
        <w:rPr>
          <w:rFonts w:hint="eastAsia" w:ascii="宋体" w:hAnsi="宋体" w:cs="宋体"/>
          <w:color w:val="auto"/>
          <w:sz w:val="24"/>
          <w:highlight w:val="none"/>
          <w:lang w:bidi="ar"/>
        </w:rPr>
        <w:t>2.</w:t>
      </w:r>
      <w:r>
        <w:rPr>
          <w:rFonts w:hint="eastAsia" w:ascii="宋体" w:hAnsi="宋体" w:cs="宋体"/>
          <w:color w:val="auto"/>
          <w:sz w:val="24"/>
          <w:highlight w:val="none"/>
          <w:lang w:eastAsia="zh-CN" w:bidi="ar"/>
        </w:rPr>
        <w:t>项目</w:t>
      </w:r>
      <w:r>
        <w:rPr>
          <w:rFonts w:hint="eastAsia" w:ascii="宋体" w:hAnsi="宋体" w:cs="宋体"/>
          <w:color w:val="auto"/>
          <w:sz w:val="24"/>
          <w:highlight w:val="none"/>
          <w:lang w:bidi="ar"/>
        </w:rPr>
        <w:t>内容：对</w:t>
      </w:r>
      <w:r>
        <w:rPr>
          <w:rFonts w:hint="eastAsia" w:ascii="宋体" w:hAnsi="宋体" w:cs="宋体"/>
          <w:i/>
          <w:iCs/>
          <w:color w:val="auto"/>
          <w:sz w:val="24"/>
          <w:highlight w:val="none"/>
          <w:u w:val="single"/>
          <w:lang w:val="en-US" w:eastAsia="zh-CN" w:bidi="ar"/>
        </w:rPr>
        <w:t xml:space="preserve">  </w:t>
      </w:r>
      <w:r>
        <w:rPr>
          <w:rFonts w:hint="eastAsia" w:ascii="宋体" w:hAnsi="宋体" w:cs="宋体"/>
          <w:color w:val="auto"/>
          <w:sz w:val="24"/>
          <w:highlight w:val="none"/>
          <w:lang w:bidi="ar"/>
        </w:rPr>
        <w:t>进行4G网络补强，共需建设</w:t>
      </w:r>
      <w:r>
        <w:rPr>
          <w:rFonts w:hint="eastAsia" w:ascii="宋体" w:hAnsi="宋体" w:cs="宋体"/>
          <w:i/>
          <w:iCs/>
          <w:color w:val="auto"/>
          <w:sz w:val="24"/>
          <w:highlight w:val="none"/>
          <w:u w:val="single"/>
          <w:lang w:val="en-US" w:eastAsia="zh-CN" w:bidi="ar"/>
        </w:rPr>
        <w:t xml:space="preserve">  </w:t>
      </w:r>
      <w:r>
        <w:rPr>
          <w:rFonts w:hint="eastAsia" w:ascii="宋体" w:hAnsi="宋体" w:cs="宋体"/>
          <w:color w:val="auto"/>
          <w:sz w:val="24"/>
          <w:highlight w:val="none"/>
          <w:lang w:bidi="ar"/>
        </w:rPr>
        <w:t>个基站；对</w:t>
      </w:r>
      <w:r>
        <w:rPr>
          <w:rFonts w:hint="eastAsia" w:ascii="宋体" w:hAnsi="宋体" w:cs="宋体"/>
          <w:i/>
          <w:iCs/>
          <w:color w:val="auto"/>
          <w:sz w:val="24"/>
          <w:highlight w:val="none"/>
          <w:u w:val="single"/>
          <w:lang w:val="en-US" w:eastAsia="zh-CN" w:bidi="ar"/>
        </w:rPr>
        <w:t xml:space="preserve">  </w:t>
      </w:r>
      <w:r>
        <w:rPr>
          <w:rFonts w:hint="eastAsia" w:ascii="宋体" w:hAnsi="宋体" w:cs="宋体"/>
          <w:color w:val="auto"/>
          <w:sz w:val="24"/>
          <w:highlight w:val="none"/>
          <w:lang w:bidi="ar"/>
        </w:rPr>
        <w:t>进行5G网络覆盖，共需建设</w:t>
      </w:r>
      <w:r>
        <w:rPr>
          <w:rFonts w:hint="eastAsia" w:ascii="宋体" w:hAnsi="宋体" w:cs="宋体"/>
          <w:i/>
          <w:iCs/>
          <w:color w:val="auto"/>
          <w:sz w:val="24"/>
          <w:highlight w:val="none"/>
          <w:u w:val="single"/>
          <w:lang w:val="en-US" w:eastAsia="zh-CN" w:bidi="ar"/>
        </w:rPr>
        <w:t xml:space="preserve">  </w:t>
      </w:r>
      <w:r>
        <w:rPr>
          <w:rFonts w:hint="eastAsia" w:ascii="宋体" w:hAnsi="宋体" w:cs="宋体"/>
          <w:color w:val="auto"/>
          <w:sz w:val="24"/>
          <w:highlight w:val="none"/>
          <w:lang w:bidi="ar"/>
        </w:rPr>
        <w:t>个基站，并负责上述基站建成后的六年运行维护。新建的4G/5G基站应建设宏基站，隧道内等不具备建设宏基站条件的特殊场景可结合实际建设微基站等适当形态基站，并在铁塔和机房等显著位置喷绘“国家电信普遍服务（第十二批）项目”字样。</w:t>
      </w:r>
    </w:p>
    <w:p w14:paraId="614518F6">
      <w:pPr>
        <w:snapToGrid w:val="0"/>
        <w:spacing w:line="360" w:lineRule="auto"/>
        <w:ind w:firstLine="480" w:firstLineChars="200"/>
        <w:rPr>
          <w:rFonts w:hint="eastAsia" w:ascii="宋体" w:hAnsi="宋体" w:cs="宋体"/>
          <w:color w:val="auto"/>
          <w:sz w:val="24"/>
          <w:highlight w:val="none"/>
          <w:lang w:bidi="ar"/>
        </w:rPr>
      </w:pPr>
      <w:r>
        <w:rPr>
          <w:rFonts w:hint="eastAsia" w:ascii="宋体" w:hAnsi="宋体" w:cs="宋体"/>
          <w:color w:val="auto"/>
          <w:sz w:val="24"/>
          <w:highlight w:val="none"/>
          <w:lang w:bidi="ar"/>
        </w:rPr>
        <w:t>3.阶段安排和阶段性成果要求：</w:t>
      </w:r>
    </w:p>
    <w:p w14:paraId="70F64E84">
      <w:pPr>
        <w:snapToGrid w:val="0"/>
        <w:spacing w:line="360" w:lineRule="auto"/>
        <w:ind w:firstLine="480" w:firstLineChars="200"/>
        <w:rPr>
          <w:rFonts w:hint="eastAsia" w:ascii="宋体" w:hAnsi="宋体" w:cs="宋体"/>
          <w:color w:val="auto"/>
          <w:sz w:val="24"/>
          <w:highlight w:val="none"/>
          <w:lang w:eastAsia="zh-CN" w:bidi="ar"/>
        </w:rPr>
      </w:pPr>
      <w:r>
        <w:rPr>
          <w:rFonts w:hint="eastAsia" w:ascii="宋体" w:hAnsi="宋体" w:cs="宋体"/>
          <w:color w:val="auto"/>
          <w:sz w:val="24"/>
          <w:highlight w:val="none"/>
          <w:lang w:bidi="ar"/>
        </w:rPr>
        <w:t>各方应按照合同和协议加强工作协同，确保年度项目按照时间节点高质量完成</w:t>
      </w:r>
      <w:r>
        <w:rPr>
          <w:rFonts w:hint="eastAsia" w:ascii="宋体" w:hAnsi="宋体" w:cs="宋体"/>
          <w:color w:val="auto"/>
          <w:sz w:val="24"/>
          <w:highlight w:val="none"/>
          <w:lang w:eastAsia="zh-CN" w:bidi="ar"/>
        </w:rPr>
        <w:t>。</w:t>
      </w:r>
    </w:p>
    <w:p w14:paraId="12C3E145">
      <w:pPr>
        <w:snapToGrid w:val="0"/>
        <w:spacing w:line="360" w:lineRule="auto"/>
        <w:ind w:firstLine="480" w:firstLineChars="200"/>
        <w:rPr>
          <w:rFonts w:hint="eastAsia" w:ascii="宋体" w:hAnsi="宋体" w:cs="宋体"/>
          <w:color w:val="auto"/>
          <w:sz w:val="24"/>
          <w:highlight w:val="none"/>
          <w:lang w:bidi="ar"/>
        </w:rPr>
      </w:pPr>
      <w:r>
        <w:rPr>
          <w:rFonts w:hint="eastAsia" w:ascii="宋体" w:hAnsi="宋体" w:cs="宋体"/>
          <w:color w:val="auto"/>
          <w:sz w:val="24"/>
          <w:highlight w:val="none"/>
          <w:lang w:bidi="ar"/>
        </w:rPr>
        <w:t>（1）</w:t>
      </w:r>
      <w:r>
        <w:rPr>
          <w:rFonts w:hint="eastAsia" w:ascii="宋体" w:hAnsi="宋体" w:cs="宋体"/>
          <w:color w:val="auto"/>
          <w:sz w:val="24"/>
          <w:highlight w:val="none"/>
          <w:u w:val="single"/>
          <w:lang w:bidi="ar"/>
        </w:rPr>
        <w:t xml:space="preserve">    </w:t>
      </w:r>
      <w:r>
        <w:rPr>
          <w:rFonts w:hint="eastAsia" w:ascii="宋体" w:hAnsi="宋体" w:cs="宋体"/>
          <w:color w:val="auto"/>
          <w:sz w:val="24"/>
          <w:highlight w:val="none"/>
          <w:lang w:bidi="ar"/>
        </w:rPr>
        <w:t>年</w:t>
      </w:r>
      <w:r>
        <w:rPr>
          <w:rFonts w:hint="eastAsia" w:ascii="宋体" w:hAnsi="宋体" w:cs="宋体"/>
          <w:color w:val="auto"/>
          <w:sz w:val="24"/>
          <w:highlight w:val="none"/>
          <w:u w:val="single"/>
          <w:lang w:bidi="ar"/>
        </w:rPr>
        <w:t xml:space="preserve">  </w:t>
      </w:r>
      <w:r>
        <w:rPr>
          <w:rFonts w:hint="eastAsia" w:ascii="宋体" w:hAnsi="宋体" w:cs="宋体"/>
          <w:color w:val="auto"/>
          <w:sz w:val="24"/>
          <w:highlight w:val="none"/>
          <w:lang w:bidi="ar"/>
        </w:rPr>
        <w:t>月完成主体工程（完成全部</w:t>
      </w:r>
      <w:r>
        <w:rPr>
          <w:rFonts w:hint="eastAsia" w:ascii="宋体" w:hAnsi="宋体" w:cs="仿宋_GB2312"/>
          <w:color w:val="auto"/>
          <w:sz w:val="24"/>
          <w:highlight w:val="none"/>
        </w:rPr>
        <w:t>4G</w:t>
      </w:r>
      <w:r>
        <w:rPr>
          <w:rFonts w:hint="eastAsia" w:ascii="宋体" w:hAnsi="宋体" w:cs="仿宋_GB2312"/>
          <w:color w:val="auto"/>
          <w:sz w:val="24"/>
          <w:highlight w:val="none"/>
          <w:lang w:val="en-US" w:eastAsia="zh-CN"/>
        </w:rPr>
        <w:t>/5G</w:t>
      </w:r>
      <w:r>
        <w:rPr>
          <w:rFonts w:hint="eastAsia" w:ascii="宋体" w:hAnsi="宋体" w:cs="宋体"/>
          <w:color w:val="auto"/>
          <w:sz w:val="24"/>
          <w:highlight w:val="none"/>
          <w:lang w:bidi="ar"/>
        </w:rPr>
        <w:t>设施建设）。</w:t>
      </w:r>
    </w:p>
    <w:p w14:paraId="334F10A3">
      <w:pPr>
        <w:snapToGrid w:val="0"/>
        <w:spacing w:line="360" w:lineRule="auto"/>
        <w:ind w:firstLine="480" w:firstLineChars="200"/>
        <w:rPr>
          <w:rFonts w:hint="eastAsia" w:ascii="宋体" w:hAnsi="宋体" w:cs="宋体"/>
          <w:color w:val="auto"/>
          <w:sz w:val="24"/>
          <w:highlight w:val="none"/>
          <w:lang w:bidi="ar"/>
        </w:rPr>
      </w:pPr>
      <w:r>
        <w:rPr>
          <w:rFonts w:hint="eastAsia" w:ascii="宋体" w:hAnsi="宋体" w:cs="宋体"/>
          <w:color w:val="auto"/>
          <w:sz w:val="24"/>
          <w:highlight w:val="none"/>
          <w:lang w:bidi="ar"/>
        </w:rPr>
        <w:t>（2）</w:t>
      </w:r>
      <w:r>
        <w:rPr>
          <w:rFonts w:hint="eastAsia" w:ascii="宋体" w:hAnsi="宋体"/>
          <w:color w:val="auto"/>
          <w:sz w:val="24"/>
          <w:highlight w:val="none"/>
        </w:rPr>
        <w:t>合同签订一年内完成所有建设目标</w:t>
      </w:r>
      <w:r>
        <w:rPr>
          <w:rFonts w:hint="eastAsia" w:ascii="宋体" w:hAnsi="宋体" w:cs="宋体"/>
          <w:color w:val="auto"/>
          <w:sz w:val="24"/>
          <w:highlight w:val="none"/>
          <w:lang w:bidi="ar"/>
        </w:rPr>
        <w:t>。除全年施工期较短的区域外，年度项目原则上应在合同签署后1年内完成，如确因客观条件等限制无法按期完成，实施企业应在合同到期前3个月向本省(区、市)通信管理局提出延期申请。</w:t>
      </w:r>
    </w:p>
    <w:p w14:paraId="49F47660">
      <w:pPr>
        <w:snapToGrid w:val="0"/>
        <w:spacing w:line="360" w:lineRule="auto"/>
        <w:ind w:firstLine="480" w:firstLineChars="200"/>
        <w:rPr>
          <w:rFonts w:hint="eastAsia" w:ascii="宋体" w:hAnsi="宋体" w:cs="宋体"/>
          <w:color w:val="auto"/>
          <w:sz w:val="24"/>
          <w:highlight w:val="none"/>
          <w:lang w:bidi="ar"/>
        </w:rPr>
      </w:pPr>
      <w:r>
        <w:rPr>
          <w:rFonts w:hint="eastAsia" w:ascii="宋体" w:hAnsi="宋体" w:cs="宋体"/>
          <w:color w:val="auto"/>
          <w:sz w:val="24"/>
          <w:highlight w:val="none"/>
          <w:lang w:bidi="ar"/>
        </w:rPr>
        <w:t>4.项目主要考核指标（主要成果名称及形式）：</w:t>
      </w:r>
    </w:p>
    <w:p w14:paraId="402DF9F2">
      <w:pPr>
        <w:snapToGrid w:val="0"/>
        <w:spacing w:line="360" w:lineRule="auto"/>
        <w:ind w:firstLine="480" w:firstLineChars="200"/>
        <w:rPr>
          <w:rFonts w:hint="eastAsia" w:ascii="宋体" w:hAnsi="宋体" w:cs="宋体"/>
          <w:color w:val="auto"/>
          <w:sz w:val="24"/>
          <w:highlight w:val="none"/>
          <w:lang w:bidi="ar"/>
        </w:rPr>
      </w:pPr>
      <w:r>
        <w:rPr>
          <w:rFonts w:hint="eastAsia" w:ascii="宋体" w:hAnsi="宋体" w:cs="宋体"/>
          <w:color w:val="auto"/>
          <w:sz w:val="24"/>
          <w:highlight w:val="none"/>
          <w:lang w:bidi="ar"/>
        </w:rPr>
        <w:t>（1）主体工程阶段：</w:t>
      </w:r>
      <w:r>
        <w:rPr>
          <w:rFonts w:hint="eastAsia" w:ascii="宋体" w:hAnsi="宋体" w:cs="宋体"/>
          <w:color w:val="auto"/>
          <w:sz w:val="24"/>
          <w:highlight w:val="none"/>
          <w:u w:val="single"/>
          <w:lang w:bidi="ar"/>
        </w:rPr>
        <w:t xml:space="preserve">    </w:t>
      </w:r>
      <w:r>
        <w:rPr>
          <w:rFonts w:hint="eastAsia" w:ascii="宋体" w:hAnsi="宋体" w:cs="宋体"/>
          <w:color w:val="auto"/>
          <w:sz w:val="24"/>
          <w:highlight w:val="none"/>
          <w:lang w:bidi="ar"/>
        </w:rPr>
        <w:t>年</w:t>
      </w:r>
      <w:r>
        <w:rPr>
          <w:rFonts w:hint="eastAsia" w:ascii="宋体" w:hAnsi="宋体" w:cs="宋体"/>
          <w:color w:val="auto"/>
          <w:sz w:val="24"/>
          <w:highlight w:val="none"/>
          <w:u w:val="single"/>
          <w:lang w:bidi="ar"/>
        </w:rPr>
        <w:t xml:space="preserve">  </w:t>
      </w:r>
      <w:r>
        <w:rPr>
          <w:rFonts w:hint="eastAsia" w:ascii="宋体" w:hAnsi="宋体" w:cs="宋体"/>
          <w:color w:val="auto"/>
          <w:sz w:val="24"/>
          <w:highlight w:val="none"/>
          <w:lang w:bidi="ar"/>
        </w:rPr>
        <w:t>月底前完成所有项目的立项、设计批复、监理委托、施工委托、</w:t>
      </w:r>
      <w:r>
        <w:rPr>
          <w:rFonts w:hint="eastAsia" w:ascii="宋体" w:hAnsi="宋体" w:cs="仿宋_GB2312"/>
          <w:color w:val="auto"/>
          <w:sz w:val="24"/>
          <w:highlight w:val="none"/>
        </w:rPr>
        <w:t>4G</w:t>
      </w:r>
      <w:r>
        <w:rPr>
          <w:rFonts w:hint="eastAsia" w:ascii="宋体" w:hAnsi="宋体" w:cs="仿宋_GB2312"/>
          <w:color w:val="auto"/>
          <w:sz w:val="24"/>
          <w:highlight w:val="none"/>
          <w:lang w:val="en-US" w:eastAsia="zh-CN"/>
        </w:rPr>
        <w:t>/5G</w:t>
      </w:r>
      <w:r>
        <w:rPr>
          <w:rFonts w:hint="eastAsia" w:ascii="宋体" w:hAnsi="宋体" w:cs="宋体"/>
          <w:color w:val="auto"/>
          <w:sz w:val="24"/>
          <w:highlight w:val="none"/>
          <w:lang w:bidi="ar"/>
        </w:rPr>
        <w:t>设施建设。</w:t>
      </w:r>
    </w:p>
    <w:p w14:paraId="5D86DC7D">
      <w:pPr>
        <w:snapToGrid w:val="0"/>
        <w:spacing w:line="360" w:lineRule="auto"/>
        <w:ind w:firstLine="480" w:firstLineChars="200"/>
        <w:rPr>
          <w:rFonts w:hint="eastAsia" w:ascii="宋体" w:hAnsi="宋体" w:cs="宋体"/>
          <w:color w:val="auto"/>
          <w:sz w:val="24"/>
          <w:highlight w:val="none"/>
          <w:lang w:bidi="ar"/>
        </w:rPr>
      </w:pPr>
      <w:r>
        <w:rPr>
          <w:rFonts w:hint="eastAsia" w:ascii="宋体" w:hAnsi="宋体" w:cs="宋体"/>
          <w:color w:val="auto"/>
          <w:sz w:val="24"/>
          <w:highlight w:val="none"/>
          <w:lang w:bidi="ar"/>
        </w:rPr>
        <w:t>（2）竣工验收阶段：合同签订后一年内完成工程竣工资料的收集、项目的验收、项目审计、工程竣工验收报告。</w:t>
      </w:r>
    </w:p>
    <w:p w14:paraId="6A55370A">
      <w:pPr>
        <w:snapToGrid w:val="0"/>
        <w:spacing w:line="360" w:lineRule="auto"/>
        <w:ind w:firstLine="480" w:firstLineChars="200"/>
        <w:rPr>
          <w:rFonts w:hint="eastAsia" w:ascii="宋体" w:hAnsi="宋体" w:cs="宋体"/>
          <w:color w:val="auto"/>
          <w:sz w:val="24"/>
          <w:highlight w:val="none"/>
          <w:lang w:bidi="ar"/>
        </w:rPr>
      </w:pPr>
      <w:r>
        <w:rPr>
          <w:rFonts w:hint="eastAsia" w:ascii="宋体" w:hAnsi="宋体" w:cs="宋体"/>
          <w:color w:val="auto"/>
          <w:sz w:val="24"/>
          <w:highlight w:val="none"/>
          <w:lang w:bidi="ar"/>
        </w:rPr>
        <w:t>5.成果应符合以下质量要求：</w:t>
      </w:r>
    </w:p>
    <w:p w14:paraId="7191631F">
      <w:pPr>
        <w:snapToGrid w:val="0"/>
        <w:spacing w:line="360" w:lineRule="auto"/>
        <w:ind w:firstLine="480" w:firstLineChars="200"/>
        <w:rPr>
          <w:rFonts w:hint="eastAsia" w:ascii="宋体" w:hAnsi="宋体" w:eastAsia="宋体" w:cs="宋体"/>
          <w:color w:val="auto"/>
          <w:sz w:val="24"/>
          <w:highlight w:val="none"/>
          <w:lang w:bidi="ar"/>
        </w:rPr>
      </w:pPr>
      <w:r>
        <w:rPr>
          <w:rFonts w:hint="eastAsia" w:ascii="宋体" w:hAnsi="宋体" w:eastAsia="宋体" w:cs="宋体"/>
          <w:color w:val="auto"/>
          <w:sz w:val="24"/>
          <w:highlight w:val="none"/>
          <w:lang w:bidi="ar"/>
        </w:rPr>
        <w:t>（1）中华人民共和国通信行业标准《通信建筑工程设计规范》；</w:t>
      </w:r>
    </w:p>
    <w:p w14:paraId="204BE3D4">
      <w:pPr>
        <w:snapToGrid w:val="0"/>
        <w:spacing w:line="360" w:lineRule="auto"/>
        <w:ind w:firstLine="480" w:firstLineChars="200"/>
        <w:rPr>
          <w:rFonts w:hint="eastAsia" w:ascii="宋体" w:hAnsi="宋体" w:eastAsia="宋体" w:cs="宋体"/>
          <w:color w:val="auto"/>
          <w:sz w:val="24"/>
          <w:highlight w:val="none"/>
          <w:lang w:bidi="ar"/>
        </w:rPr>
      </w:pPr>
      <w:r>
        <w:rPr>
          <w:rFonts w:hint="eastAsia" w:ascii="宋体" w:hAnsi="宋体" w:eastAsia="宋体" w:cs="宋体"/>
          <w:color w:val="auto"/>
          <w:sz w:val="24"/>
          <w:highlight w:val="none"/>
          <w:lang w:bidi="ar"/>
        </w:rPr>
        <w:t>（2）中华人民共和国通信行业标准《通信建设工程安全生产操作规范》；</w:t>
      </w:r>
    </w:p>
    <w:p w14:paraId="21F6E2C4">
      <w:pPr>
        <w:snapToGrid w:val="0"/>
        <w:spacing w:line="360" w:lineRule="auto"/>
        <w:ind w:firstLine="480" w:firstLineChars="200"/>
        <w:rPr>
          <w:rFonts w:hint="eastAsia" w:ascii="宋体" w:hAnsi="宋体" w:eastAsia="宋体" w:cs="宋体"/>
          <w:color w:val="auto"/>
          <w:sz w:val="24"/>
          <w:highlight w:val="none"/>
          <w:lang w:bidi="ar"/>
        </w:rPr>
      </w:pPr>
      <w:r>
        <w:rPr>
          <w:rFonts w:hint="eastAsia" w:ascii="宋体" w:hAnsi="宋体" w:eastAsia="宋体" w:cs="宋体"/>
          <w:color w:val="auto"/>
          <w:sz w:val="24"/>
          <w:highlight w:val="none"/>
          <w:lang w:bidi="ar"/>
        </w:rPr>
        <w:t>（3）中华人民共和国通信行业标准《通信工程建设环境保护技术暂行规定》；</w:t>
      </w:r>
    </w:p>
    <w:p w14:paraId="370F4F88">
      <w:pPr>
        <w:snapToGrid w:val="0"/>
        <w:spacing w:line="360" w:lineRule="auto"/>
        <w:ind w:firstLine="480" w:firstLineChars="200"/>
        <w:rPr>
          <w:rFonts w:hint="eastAsia" w:ascii="宋体" w:hAnsi="宋体" w:eastAsia="宋体" w:cs="宋体"/>
          <w:color w:val="auto"/>
          <w:sz w:val="24"/>
          <w:highlight w:val="none"/>
          <w:lang w:bidi="ar"/>
        </w:rPr>
      </w:pPr>
      <w:r>
        <w:rPr>
          <w:rFonts w:hint="eastAsia" w:ascii="宋体" w:hAnsi="宋体" w:eastAsia="宋体" w:cs="宋体"/>
          <w:color w:val="auto"/>
          <w:sz w:val="24"/>
          <w:highlight w:val="none"/>
          <w:lang w:bidi="ar"/>
        </w:rPr>
        <w:t>（4）工业和信息化部印发的《通信建设工程安全生产管理规定》（工信部通信[2015]406号）；</w:t>
      </w:r>
    </w:p>
    <w:p w14:paraId="5C2BAE97">
      <w:pPr>
        <w:snapToGrid w:val="0"/>
        <w:spacing w:line="360" w:lineRule="auto"/>
        <w:ind w:firstLine="480" w:firstLineChars="200"/>
        <w:rPr>
          <w:rFonts w:hint="eastAsia" w:ascii="宋体" w:hAnsi="宋体" w:eastAsia="宋体" w:cs="宋体"/>
          <w:color w:val="auto"/>
          <w:sz w:val="24"/>
          <w:highlight w:val="none"/>
          <w:lang w:bidi="ar"/>
        </w:rPr>
      </w:pPr>
      <w:r>
        <w:rPr>
          <w:rFonts w:hint="eastAsia" w:ascii="宋体" w:hAnsi="宋体" w:eastAsia="宋体" w:cs="宋体"/>
          <w:color w:val="auto"/>
          <w:sz w:val="24"/>
          <w:highlight w:val="none"/>
          <w:lang w:bidi="ar"/>
        </w:rPr>
        <w:t>（5）工业和信息化部印发的《通信网络安全防护管理办法》；</w:t>
      </w:r>
    </w:p>
    <w:p w14:paraId="2FB341EB">
      <w:pPr>
        <w:snapToGrid w:val="0"/>
        <w:spacing w:line="360" w:lineRule="auto"/>
        <w:ind w:firstLine="480" w:firstLineChars="200"/>
        <w:rPr>
          <w:rFonts w:hint="eastAsia" w:ascii="宋体" w:hAnsi="宋体" w:eastAsia="宋体" w:cs="宋体"/>
          <w:color w:val="auto"/>
          <w:sz w:val="24"/>
          <w:highlight w:val="none"/>
          <w:lang w:bidi="ar"/>
        </w:rPr>
      </w:pPr>
      <w:r>
        <w:rPr>
          <w:rFonts w:hint="eastAsia" w:ascii="宋体" w:hAnsi="宋体" w:eastAsia="宋体" w:cs="宋体"/>
          <w:color w:val="auto"/>
          <w:sz w:val="24"/>
          <w:highlight w:val="none"/>
          <w:lang w:bidi="ar"/>
        </w:rPr>
        <w:t>（6）TD-LTE/FDD-LTE及第五代数字蜂窝移动通信相关要求；</w:t>
      </w:r>
    </w:p>
    <w:p w14:paraId="2219B21A">
      <w:pPr>
        <w:snapToGrid w:val="0"/>
        <w:spacing w:line="360" w:lineRule="auto"/>
        <w:ind w:firstLine="480" w:firstLineChars="200"/>
        <w:rPr>
          <w:rFonts w:hint="eastAsia" w:ascii="宋体" w:hAnsi="宋体" w:eastAsia="宋体" w:cs="宋体"/>
          <w:color w:val="auto"/>
          <w:sz w:val="24"/>
          <w:highlight w:val="none"/>
          <w:lang w:bidi="ar"/>
        </w:rPr>
      </w:pPr>
      <w:r>
        <w:rPr>
          <w:rFonts w:hint="eastAsia" w:ascii="宋体" w:hAnsi="宋体" w:eastAsia="宋体" w:cs="宋体"/>
          <w:color w:val="auto"/>
          <w:sz w:val="24"/>
          <w:highlight w:val="none"/>
          <w:lang w:bidi="ar"/>
        </w:rPr>
        <w:t>（7）实施企业应按照电信基础设施共建共享相关要求开展建设，并在电信普遍服务管理支撑平台上“点亮”，原则上“随建随点”；</w:t>
      </w:r>
    </w:p>
    <w:p w14:paraId="78C70DE3">
      <w:pPr>
        <w:snapToGrid w:val="0"/>
        <w:spacing w:line="360" w:lineRule="auto"/>
        <w:ind w:firstLine="480" w:firstLineChars="200"/>
        <w:rPr>
          <w:rFonts w:hint="eastAsia" w:ascii="宋体" w:hAnsi="宋体" w:eastAsia="宋体" w:cs="宋体"/>
          <w:color w:val="auto"/>
          <w:sz w:val="24"/>
          <w:highlight w:val="none"/>
          <w:lang w:eastAsia="zh-CN" w:bidi="ar"/>
        </w:rPr>
      </w:pPr>
      <w:r>
        <w:rPr>
          <w:rFonts w:hint="eastAsia" w:ascii="宋体" w:hAnsi="宋体" w:eastAsia="宋体" w:cs="宋体"/>
          <w:color w:val="auto"/>
          <w:sz w:val="24"/>
          <w:highlight w:val="none"/>
          <w:lang w:bidi="ar"/>
        </w:rPr>
        <w:t>（8）新建5G基站同步提供的4G和5G信号，均应分别符合竣工验收管理办法中4G基站、5G基站的信号强度、速率等标准要求。</w:t>
      </w:r>
    </w:p>
    <w:p w14:paraId="6B9106B1">
      <w:pPr>
        <w:tabs>
          <w:tab w:val="left" w:pos="1134"/>
          <w:tab w:val="left" w:pos="1418"/>
        </w:tabs>
        <w:snapToGrid w:val="0"/>
        <w:spacing w:line="360" w:lineRule="auto"/>
        <w:ind w:firstLine="480" w:firstLineChars="200"/>
        <w:rPr>
          <w:rFonts w:hint="eastAsia" w:ascii="宋体" w:hAnsi="宋体" w:cs="宋体"/>
          <w:b/>
          <w:color w:val="auto"/>
          <w:sz w:val="24"/>
          <w:highlight w:val="none"/>
        </w:rPr>
      </w:pPr>
      <w:r>
        <w:rPr>
          <w:rFonts w:hint="eastAsia" w:ascii="宋体" w:hAnsi="宋体" w:cs="宋体"/>
          <w:b/>
          <w:color w:val="auto"/>
          <w:sz w:val="24"/>
          <w:highlight w:val="none"/>
        </w:rPr>
        <w:t>第二条  经费及支付</w:t>
      </w:r>
    </w:p>
    <w:p w14:paraId="4BA94304">
      <w:pPr>
        <w:snapToGrid w:val="0"/>
        <w:spacing w:line="360" w:lineRule="auto"/>
        <w:ind w:firstLine="480" w:firstLineChars="200"/>
        <w:rPr>
          <w:rFonts w:hint="eastAsia" w:ascii="宋体" w:hAnsi="宋体" w:cs="宋体"/>
          <w:color w:val="auto"/>
          <w:sz w:val="24"/>
          <w:highlight w:val="none"/>
        </w:rPr>
      </w:pPr>
      <w:bookmarkStart w:id="0" w:name="_Hlk17367693"/>
      <w:r>
        <w:rPr>
          <w:rFonts w:hint="eastAsia" w:ascii="宋体" w:hAnsi="宋体" w:cs="宋体"/>
          <w:color w:val="auto"/>
          <w:sz w:val="24"/>
          <w:highlight w:val="none"/>
        </w:rPr>
        <w:t>1.中央财政补助金额为人民币（大写）</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元整（￥：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元）。</w:t>
      </w:r>
    </w:p>
    <w:p w14:paraId="34FDB862">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w:t>
      </w:r>
      <w:bookmarkEnd w:id="0"/>
      <w:r>
        <w:rPr>
          <w:rFonts w:hint="eastAsia" w:ascii="宋体" w:hAnsi="宋体" w:cs="宋体"/>
          <w:color w:val="auto"/>
          <w:sz w:val="24"/>
          <w:highlight w:val="none"/>
        </w:rPr>
        <w:t>本合同签订后60日内，拨付中标金额的</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0%。</w:t>
      </w:r>
    </w:p>
    <w:p w14:paraId="166A3F4F">
      <w:pPr>
        <w:snapToGrid w:val="0"/>
        <w:spacing w:line="360" w:lineRule="auto"/>
        <w:ind w:firstLine="480" w:firstLineChars="200"/>
        <w:rPr>
          <w:rFonts w:hint="eastAsia" w:ascii="宋体" w:hAnsi="宋体" w:cs="宋体"/>
          <w:b/>
          <w:color w:val="auto"/>
          <w:sz w:val="24"/>
          <w:highlight w:val="none"/>
        </w:rPr>
      </w:pPr>
      <w:r>
        <w:rPr>
          <w:rFonts w:hint="eastAsia" w:ascii="宋体" w:hAnsi="宋体" w:cs="宋体"/>
          <w:b/>
          <w:color w:val="auto"/>
          <w:sz w:val="24"/>
          <w:highlight w:val="none"/>
        </w:rPr>
        <w:t>3.电信普遍服务补助资金不超过项目建设及6年运维成本概算的30%，不足部分由中标人自筹，资金投入成本概算需遵循以企业投入为主的原则。</w:t>
      </w:r>
    </w:p>
    <w:p w14:paraId="4073C2B0">
      <w:pPr>
        <w:tabs>
          <w:tab w:val="left" w:pos="1134"/>
          <w:tab w:val="left" w:pos="1418"/>
        </w:tabs>
        <w:snapToGrid w:val="0"/>
        <w:spacing w:line="360" w:lineRule="auto"/>
        <w:ind w:firstLine="480" w:firstLineChars="200"/>
        <w:rPr>
          <w:rFonts w:hint="eastAsia" w:ascii="宋体" w:hAnsi="宋体" w:cs="宋体"/>
          <w:b/>
          <w:color w:val="auto"/>
          <w:sz w:val="24"/>
          <w:highlight w:val="none"/>
        </w:rPr>
      </w:pPr>
      <w:r>
        <w:rPr>
          <w:rFonts w:hint="eastAsia" w:ascii="宋体" w:hAnsi="宋体" w:cs="宋体"/>
          <w:b/>
          <w:color w:val="auto"/>
          <w:sz w:val="24"/>
          <w:highlight w:val="none"/>
        </w:rPr>
        <w:t>第三条  项目履行期限及地点</w:t>
      </w:r>
      <w:r>
        <w:rPr>
          <w:rFonts w:hint="eastAsia" w:ascii="宋体" w:hAnsi="宋体" w:cs="宋体"/>
          <w:b/>
          <w:color w:val="auto"/>
          <w:sz w:val="24"/>
          <w:highlight w:val="none"/>
        </w:rPr>
        <w:tab/>
      </w:r>
    </w:p>
    <w:p w14:paraId="6E8CEBC8">
      <w:pPr>
        <w:snapToGrid w:val="0"/>
        <w:spacing w:line="360" w:lineRule="auto"/>
        <w:ind w:firstLine="480" w:firstLineChars="200"/>
        <w:rPr>
          <w:rFonts w:hint="eastAsia" w:ascii="宋体" w:hAnsi="宋体" w:cs="宋体"/>
          <w:b/>
          <w:color w:val="auto"/>
          <w:sz w:val="24"/>
          <w:highlight w:val="none"/>
        </w:rPr>
      </w:pPr>
      <w:r>
        <w:rPr>
          <w:rFonts w:hint="eastAsia" w:ascii="宋体" w:hAnsi="宋体" w:cs="宋体"/>
          <w:color w:val="auto"/>
          <w:kern w:val="0"/>
          <w:sz w:val="24"/>
          <w:highlight w:val="none"/>
          <w:lang w:val="zh-CN"/>
        </w:rPr>
        <w:t>1.项目履行期限为：项目建设期限为</w:t>
      </w:r>
      <w:bookmarkStart w:id="1" w:name="_Hlk17368347"/>
      <w:r>
        <w:rPr>
          <w:rFonts w:hint="eastAsia" w:ascii="宋体" w:hAnsi="宋体"/>
          <w:color w:val="auto"/>
          <w:sz w:val="24"/>
          <w:highlight w:val="none"/>
        </w:rPr>
        <w:t>合同签订一年内完成所有建设目标</w:t>
      </w:r>
      <w:r>
        <w:rPr>
          <w:rFonts w:hint="eastAsia" w:ascii="宋体" w:hAnsi="宋体" w:cs="宋体"/>
          <w:color w:val="auto"/>
          <w:kern w:val="0"/>
          <w:sz w:val="24"/>
          <w:highlight w:val="none"/>
          <w:lang w:val="zh-CN"/>
        </w:rPr>
        <w:t>，</w:t>
      </w:r>
      <w:bookmarkEnd w:id="1"/>
      <w:r>
        <w:rPr>
          <w:rFonts w:hint="eastAsia" w:ascii="宋体" w:hAnsi="宋体" w:cs="宋体"/>
          <w:color w:val="auto"/>
          <w:kern w:val="0"/>
          <w:sz w:val="24"/>
          <w:highlight w:val="none"/>
          <w:lang w:val="zh-CN"/>
        </w:rPr>
        <w:t>项目运维期限为竣工验收合格之日起6年。</w:t>
      </w:r>
    </w:p>
    <w:p w14:paraId="02AED765">
      <w:pPr>
        <w:autoSpaceDE w:val="0"/>
        <w:autoSpaceDN w:val="0"/>
        <w:adjustRightInd w:val="0"/>
        <w:snapToGrid w:val="0"/>
        <w:spacing w:line="360" w:lineRule="auto"/>
        <w:ind w:firstLine="480" w:firstLineChars="200"/>
        <w:jc w:val="left"/>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bidi="ar"/>
        </w:rPr>
        <w:t>2．项目履行地点为：</w:t>
      </w:r>
      <w:r>
        <w:rPr>
          <w:rFonts w:hint="eastAsia" w:ascii="宋体" w:hAnsi="宋体" w:cs="宋体"/>
          <w:color w:val="auto"/>
          <w:kern w:val="0"/>
          <w:sz w:val="24"/>
          <w:highlight w:val="none"/>
          <w:u w:val="single"/>
          <w:lang w:val="zh-CN" w:bidi="ar"/>
        </w:rPr>
        <w:t xml:space="preserve">                           </w:t>
      </w:r>
    </w:p>
    <w:p w14:paraId="147C551F">
      <w:pPr>
        <w:tabs>
          <w:tab w:val="left" w:pos="1134"/>
          <w:tab w:val="left" w:pos="1418"/>
        </w:tabs>
        <w:snapToGrid w:val="0"/>
        <w:spacing w:line="360" w:lineRule="auto"/>
        <w:ind w:firstLine="480" w:firstLineChars="200"/>
        <w:rPr>
          <w:rFonts w:hint="eastAsia" w:ascii="宋体" w:hAnsi="宋体" w:cs="宋体"/>
          <w:b/>
          <w:color w:val="auto"/>
          <w:sz w:val="24"/>
          <w:highlight w:val="none"/>
        </w:rPr>
      </w:pPr>
      <w:r>
        <w:rPr>
          <w:rFonts w:hint="eastAsia" w:ascii="宋体" w:hAnsi="宋体" w:cs="宋体"/>
          <w:b/>
          <w:color w:val="auto"/>
          <w:sz w:val="24"/>
          <w:highlight w:val="none"/>
        </w:rPr>
        <w:t>第四条  基本要求</w:t>
      </w:r>
    </w:p>
    <w:p w14:paraId="2231DFDE">
      <w:pPr>
        <w:autoSpaceDE w:val="0"/>
        <w:autoSpaceDN w:val="0"/>
        <w:adjustRightInd w:val="0"/>
        <w:snapToGrid w:val="0"/>
        <w:spacing w:line="360" w:lineRule="auto"/>
        <w:ind w:firstLine="480" w:firstLineChars="200"/>
        <w:jc w:val="left"/>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1.自本合同签订之日起，乙方应履行合同所规定的任务，按时完成并交付项目成果。</w:t>
      </w:r>
    </w:p>
    <w:p w14:paraId="33A67E96">
      <w:pPr>
        <w:autoSpaceDE w:val="0"/>
        <w:autoSpaceDN w:val="0"/>
        <w:adjustRightInd w:val="0"/>
        <w:snapToGrid w:val="0"/>
        <w:spacing w:line="360" w:lineRule="auto"/>
        <w:ind w:firstLine="480" w:firstLineChars="200"/>
        <w:jc w:val="left"/>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2.为保证应交付成果的质量，乙方应向甲方提供参加任务工作人员情况及分工，乙方参加的主要工作人员须与甲方协商。乙方应保证其主要工作人员的稳定性。如果需要更换任何人员，应事先取得委托方的同意，且接替人员的职位、资历应当与调换的人相当。乙方指定为任务负责人。</w:t>
      </w:r>
    </w:p>
    <w:p w14:paraId="355C4D4C">
      <w:pPr>
        <w:autoSpaceDE w:val="0"/>
        <w:autoSpaceDN w:val="0"/>
        <w:adjustRightInd w:val="0"/>
        <w:snapToGrid w:val="0"/>
        <w:spacing w:line="360" w:lineRule="auto"/>
        <w:ind w:firstLine="480" w:firstLineChars="200"/>
        <w:jc w:val="left"/>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3.本合同规定的任务未经甲方书面同意，不得转包和分包。</w:t>
      </w:r>
    </w:p>
    <w:p w14:paraId="0368F5BD">
      <w:pPr>
        <w:tabs>
          <w:tab w:val="left" w:pos="1134"/>
          <w:tab w:val="left" w:pos="1418"/>
        </w:tabs>
        <w:snapToGrid w:val="0"/>
        <w:spacing w:line="360" w:lineRule="auto"/>
        <w:ind w:firstLine="480" w:firstLineChars="200"/>
        <w:rPr>
          <w:rFonts w:hint="eastAsia" w:ascii="宋体" w:hAnsi="宋体" w:cs="宋体"/>
          <w:b/>
          <w:color w:val="auto"/>
          <w:sz w:val="24"/>
          <w:highlight w:val="none"/>
        </w:rPr>
      </w:pPr>
      <w:r>
        <w:rPr>
          <w:rFonts w:hint="eastAsia" w:ascii="宋体" w:hAnsi="宋体" w:cs="宋体"/>
          <w:b/>
          <w:color w:val="auto"/>
          <w:sz w:val="24"/>
          <w:highlight w:val="none"/>
        </w:rPr>
        <w:t>第五条  验收、结算、交付</w:t>
      </w:r>
    </w:p>
    <w:p w14:paraId="7D8DAF73">
      <w:pPr>
        <w:snapToGrid w:val="0"/>
        <w:spacing w:line="360" w:lineRule="auto"/>
        <w:ind w:firstLine="480" w:firstLineChars="200"/>
        <w:rPr>
          <w:rFonts w:hint="eastAsia" w:ascii="宋体" w:hAnsi="宋体"/>
          <w:color w:val="auto"/>
          <w:sz w:val="24"/>
          <w:highlight w:val="none"/>
          <w:lang w:eastAsia="zh-CN" w:bidi="ar"/>
        </w:rPr>
      </w:pPr>
      <w:r>
        <w:rPr>
          <w:rFonts w:hint="eastAsia" w:ascii="宋体" w:hAnsi="宋体"/>
          <w:color w:val="auto"/>
          <w:sz w:val="24"/>
          <w:highlight w:val="none"/>
          <w:lang w:eastAsia="zh-CN" w:bidi="ar"/>
        </w:rPr>
        <w:t>1.验收范围及内容</w:t>
      </w:r>
    </w:p>
    <w:p w14:paraId="22CD510E">
      <w:pPr>
        <w:snapToGrid w:val="0"/>
        <w:spacing w:line="360" w:lineRule="auto"/>
        <w:ind w:firstLine="480" w:firstLineChars="200"/>
        <w:rPr>
          <w:rFonts w:hint="eastAsia" w:ascii="宋体" w:hAnsi="宋体"/>
          <w:color w:val="auto"/>
          <w:sz w:val="24"/>
          <w:highlight w:val="none"/>
          <w:lang w:eastAsia="zh-CN" w:bidi="ar"/>
        </w:rPr>
      </w:pPr>
      <w:r>
        <w:rPr>
          <w:rFonts w:hint="eastAsia" w:ascii="宋体" w:hAnsi="宋体"/>
          <w:color w:val="auto"/>
          <w:sz w:val="24"/>
          <w:highlight w:val="none"/>
          <w:lang w:eastAsia="zh-CN" w:bidi="ar"/>
        </w:rPr>
        <w:t>竣工验收范围为陕西省通信管理局等与承担企业签订年度任务合同中约定的网络建设工程。</w:t>
      </w:r>
    </w:p>
    <w:p w14:paraId="5D1EE519">
      <w:pPr>
        <w:snapToGrid w:val="0"/>
        <w:spacing w:line="360" w:lineRule="auto"/>
        <w:ind w:firstLine="480" w:firstLineChars="200"/>
        <w:rPr>
          <w:rFonts w:hint="eastAsia" w:ascii="宋体" w:hAnsi="宋体"/>
          <w:color w:val="auto"/>
          <w:sz w:val="24"/>
          <w:highlight w:val="none"/>
          <w:lang w:eastAsia="zh-CN" w:bidi="ar"/>
        </w:rPr>
      </w:pPr>
      <w:r>
        <w:rPr>
          <w:rFonts w:hint="eastAsia" w:ascii="宋体" w:hAnsi="宋体"/>
          <w:color w:val="auto"/>
          <w:sz w:val="24"/>
          <w:highlight w:val="none"/>
          <w:lang w:eastAsia="zh-CN" w:bidi="ar"/>
        </w:rPr>
        <w:t>竣工验收内容包括4G/5G基站建设情况、4G网络覆盖情况、5G网络应用情况、中央财政补助资金管理使用情况以及合同规定的其他内容等。</w:t>
      </w:r>
    </w:p>
    <w:p w14:paraId="6D664974">
      <w:pPr>
        <w:snapToGrid w:val="0"/>
        <w:spacing w:line="360" w:lineRule="auto"/>
        <w:ind w:firstLine="480" w:firstLineChars="200"/>
        <w:rPr>
          <w:rFonts w:hint="eastAsia" w:ascii="宋体" w:hAnsi="宋体"/>
          <w:color w:val="auto"/>
          <w:sz w:val="24"/>
          <w:highlight w:val="none"/>
          <w:lang w:eastAsia="zh-CN" w:bidi="ar"/>
        </w:rPr>
      </w:pPr>
      <w:r>
        <w:rPr>
          <w:rFonts w:hint="eastAsia" w:ascii="宋体" w:hAnsi="宋体"/>
          <w:color w:val="auto"/>
          <w:sz w:val="24"/>
          <w:highlight w:val="none"/>
          <w:lang w:eastAsia="zh-CN" w:bidi="ar"/>
        </w:rPr>
        <w:t>2.验收标准</w:t>
      </w:r>
    </w:p>
    <w:p w14:paraId="5509D00C">
      <w:pPr>
        <w:snapToGrid w:val="0"/>
        <w:spacing w:line="360" w:lineRule="auto"/>
        <w:ind w:firstLine="480" w:firstLineChars="200"/>
        <w:rPr>
          <w:rFonts w:hint="eastAsia" w:ascii="宋体" w:hAnsi="宋体"/>
          <w:color w:val="auto"/>
          <w:sz w:val="24"/>
          <w:highlight w:val="none"/>
          <w:lang w:eastAsia="zh-CN" w:bidi="ar"/>
        </w:rPr>
      </w:pPr>
      <w:r>
        <w:rPr>
          <w:rFonts w:hint="eastAsia" w:ascii="宋体" w:hAnsi="宋体"/>
          <w:color w:val="auto"/>
          <w:sz w:val="24"/>
          <w:highlight w:val="none"/>
          <w:lang w:eastAsia="zh-CN" w:bidi="ar"/>
        </w:rPr>
        <w:t>基站选址应优先覆盖村委会、学校、卫生室等主要公共机构、人口聚居区，以及合同约定的其他范围。</w:t>
      </w:r>
    </w:p>
    <w:p w14:paraId="5C39FDC4">
      <w:pPr>
        <w:snapToGrid w:val="0"/>
        <w:spacing w:line="360" w:lineRule="auto"/>
        <w:ind w:firstLine="480" w:firstLineChars="200"/>
        <w:rPr>
          <w:rFonts w:hint="eastAsia" w:ascii="宋体" w:hAnsi="宋体"/>
          <w:color w:val="auto"/>
          <w:sz w:val="24"/>
          <w:highlight w:val="none"/>
          <w:lang w:eastAsia="zh-CN" w:bidi="ar"/>
        </w:rPr>
      </w:pPr>
      <w:r>
        <w:rPr>
          <w:rFonts w:hint="eastAsia" w:ascii="宋体" w:hAnsi="宋体"/>
          <w:color w:val="auto"/>
          <w:sz w:val="24"/>
          <w:highlight w:val="none"/>
          <w:lang w:eastAsia="zh-CN" w:bidi="ar"/>
        </w:rPr>
        <w:t>承担企业应在每个承建基站覆盖范围内选取不少于3个测试点进行测试，测试点优先选择上述重点点位。</w:t>
      </w:r>
    </w:p>
    <w:p w14:paraId="0C2E3D13">
      <w:pPr>
        <w:snapToGrid w:val="0"/>
        <w:spacing w:line="360" w:lineRule="auto"/>
        <w:ind w:firstLine="480" w:firstLineChars="200"/>
        <w:rPr>
          <w:rFonts w:hint="eastAsia" w:ascii="宋体" w:hAnsi="宋体"/>
          <w:color w:val="auto"/>
          <w:sz w:val="24"/>
          <w:highlight w:val="none"/>
          <w:lang w:eastAsia="zh-CN" w:bidi="ar"/>
        </w:rPr>
      </w:pPr>
      <w:r>
        <w:rPr>
          <w:rFonts w:hint="eastAsia" w:ascii="宋体" w:hAnsi="宋体"/>
          <w:color w:val="auto"/>
          <w:sz w:val="24"/>
          <w:highlight w:val="none"/>
          <w:lang w:eastAsia="zh-CN" w:bidi="ar"/>
        </w:rPr>
        <w:t>移动宽带网络覆盖项目竣工验收时应从电信普遍服务管理支撑平台导出验收文件，对项目承担企业、行政村信息、网络覆盖信息进行核验。4G 基站所有测试点的参考信号接收功率（RSRP）值应大于-110dBm，且至少有一个测试点下行速率不低于10Mbps。5G 基站所有测试点RSRP值应大于-110dBm，且至少有一个测试点下行速率不低于100Mbps。网络速率测试通过电信普遍服务专用APP进行，测试方法应符合YD/T 2892-2015《宽带速率测试方法 移动用户上网体验》。</w:t>
      </w:r>
    </w:p>
    <w:p w14:paraId="73DF0A1B">
      <w:pPr>
        <w:snapToGrid w:val="0"/>
        <w:spacing w:line="360" w:lineRule="auto"/>
        <w:ind w:firstLine="480" w:firstLineChars="200"/>
        <w:rPr>
          <w:rFonts w:hint="eastAsia" w:ascii="宋体" w:hAnsi="宋体"/>
          <w:color w:val="auto"/>
          <w:sz w:val="24"/>
          <w:highlight w:val="none"/>
          <w:lang w:eastAsia="zh-CN" w:bidi="ar"/>
        </w:rPr>
      </w:pPr>
      <w:r>
        <w:rPr>
          <w:rFonts w:hint="eastAsia" w:ascii="宋体" w:hAnsi="宋体"/>
          <w:color w:val="auto"/>
          <w:sz w:val="24"/>
          <w:highlight w:val="none"/>
          <w:lang w:val="en-US" w:eastAsia="zh-CN" w:bidi="ar"/>
        </w:rPr>
        <w:t>3</w:t>
      </w:r>
      <w:r>
        <w:rPr>
          <w:rFonts w:hint="eastAsia" w:ascii="宋体" w:hAnsi="宋体"/>
          <w:color w:val="auto"/>
          <w:sz w:val="24"/>
          <w:highlight w:val="none"/>
          <w:lang w:eastAsia="zh-CN" w:bidi="ar"/>
        </w:rPr>
        <w:t>.竣工验收程序</w:t>
      </w:r>
    </w:p>
    <w:p w14:paraId="28AA6AF1">
      <w:pPr>
        <w:snapToGrid w:val="0"/>
        <w:spacing w:line="360" w:lineRule="auto"/>
        <w:ind w:firstLine="480" w:firstLineChars="200"/>
        <w:rPr>
          <w:rFonts w:hint="eastAsia" w:ascii="宋体" w:hAnsi="宋体"/>
          <w:color w:val="auto"/>
          <w:sz w:val="24"/>
          <w:highlight w:val="none"/>
          <w:lang w:eastAsia="zh-CN" w:bidi="ar"/>
        </w:rPr>
      </w:pPr>
      <w:r>
        <w:rPr>
          <w:rFonts w:hint="eastAsia" w:ascii="宋体" w:hAnsi="宋体"/>
          <w:color w:val="auto"/>
          <w:sz w:val="24"/>
          <w:highlight w:val="none"/>
          <w:lang w:eastAsia="zh-CN" w:bidi="ar"/>
        </w:rPr>
        <w:t>电信普遍服务项目承担企业应做好项目建设投资及运行维护费归集，作为项目验收、审计、绩效评价等的重要依据。</w:t>
      </w:r>
    </w:p>
    <w:p w14:paraId="1D70A293">
      <w:pPr>
        <w:snapToGrid w:val="0"/>
        <w:spacing w:line="360" w:lineRule="auto"/>
        <w:ind w:firstLine="480" w:firstLineChars="200"/>
        <w:rPr>
          <w:rFonts w:hint="eastAsia" w:ascii="宋体" w:hAnsi="宋体"/>
          <w:color w:val="auto"/>
          <w:sz w:val="24"/>
          <w:highlight w:val="none"/>
          <w:lang w:eastAsia="zh-CN" w:bidi="ar"/>
        </w:rPr>
      </w:pPr>
      <w:r>
        <w:rPr>
          <w:rFonts w:hint="eastAsia" w:ascii="宋体" w:hAnsi="宋体"/>
          <w:color w:val="auto"/>
          <w:sz w:val="24"/>
          <w:highlight w:val="none"/>
          <w:lang w:eastAsia="zh-CN" w:bidi="ar"/>
        </w:rPr>
        <w:t>电信普遍服务项目承担企业应按照相关规定进行竣工验收自验。省（区、市）通信管理局可委托地市人民政府进行初验，初验合格后项目承担企业向所在省（区、市）通信管理局提交竣工验收申请及相关材料，上述工作应在项目完工后3个月内完成。</w:t>
      </w:r>
    </w:p>
    <w:p w14:paraId="4013FEAE">
      <w:pPr>
        <w:snapToGrid w:val="0"/>
        <w:spacing w:line="360" w:lineRule="auto"/>
        <w:ind w:firstLine="480" w:firstLineChars="200"/>
        <w:rPr>
          <w:rFonts w:hint="eastAsia" w:ascii="宋体" w:hAnsi="宋体"/>
          <w:color w:val="auto"/>
          <w:sz w:val="24"/>
          <w:highlight w:val="none"/>
          <w:lang w:eastAsia="zh-CN" w:bidi="ar"/>
        </w:rPr>
      </w:pPr>
      <w:r>
        <w:rPr>
          <w:rFonts w:hint="eastAsia" w:ascii="宋体" w:hAnsi="宋体"/>
          <w:color w:val="auto"/>
          <w:sz w:val="24"/>
          <w:highlight w:val="none"/>
          <w:lang w:eastAsia="zh-CN" w:bidi="ar"/>
        </w:rPr>
        <w:t>项目承担企业提交的竣工验收申请及相关材料应包括：</w:t>
      </w:r>
    </w:p>
    <w:p w14:paraId="439F9C70">
      <w:pPr>
        <w:snapToGrid w:val="0"/>
        <w:spacing w:line="360" w:lineRule="auto"/>
        <w:ind w:firstLine="480" w:firstLineChars="200"/>
        <w:rPr>
          <w:rFonts w:hint="eastAsia" w:ascii="宋体" w:hAnsi="宋体"/>
          <w:color w:val="auto"/>
          <w:sz w:val="24"/>
          <w:highlight w:val="none"/>
          <w:lang w:eastAsia="zh-CN" w:bidi="ar"/>
        </w:rPr>
      </w:pPr>
      <w:r>
        <w:rPr>
          <w:rFonts w:hint="eastAsia" w:ascii="宋体" w:hAnsi="宋体"/>
          <w:color w:val="auto"/>
          <w:sz w:val="24"/>
          <w:highlight w:val="none"/>
          <w:lang w:eastAsia="zh-CN" w:bidi="ar"/>
        </w:rPr>
        <w:t>（一）立项材料：投标文件、中标通知书、合同、主管部门相关文件等；</w:t>
      </w:r>
    </w:p>
    <w:p w14:paraId="1F3B0783">
      <w:pPr>
        <w:snapToGrid w:val="0"/>
        <w:spacing w:line="360" w:lineRule="auto"/>
        <w:ind w:firstLine="480" w:firstLineChars="200"/>
        <w:rPr>
          <w:rFonts w:hint="eastAsia" w:ascii="宋体" w:hAnsi="宋体"/>
          <w:color w:val="auto"/>
          <w:sz w:val="24"/>
          <w:highlight w:val="none"/>
          <w:lang w:eastAsia="zh-CN" w:bidi="ar"/>
        </w:rPr>
      </w:pPr>
      <w:r>
        <w:rPr>
          <w:rFonts w:hint="eastAsia" w:ascii="宋体" w:hAnsi="宋体"/>
          <w:color w:val="auto"/>
          <w:sz w:val="24"/>
          <w:highlight w:val="none"/>
          <w:lang w:eastAsia="zh-CN" w:bidi="ar"/>
        </w:rPr>
        <w:t>（二）管理制度：企业内部相关部门职责分工、资金管理、工程管理等规章制度；</w:t>
      </w:r>
    </w:p>
    <w:p w14:paraId="10B59C0D">
      <w:pPr>
        <w:snapToGrid w:val="0"/>
        <w:spacing w:line="360" w:lineRule="auto"/>
        <w:ind w:firstLine="480" w:firstLineChars="200"/>
        <w:rPr>
          <w:rFonts w:hint="eastAsia" w:ascii="宋体" w:hAnsi="宋体"/>
          <w:color w:val="auto"/>
          <w:sz w:val="24"/>
          <w:highlight w:val="none"/>
          <w:lang w:eastAsia="zh-CN" w:bidi="ar"/>
        </w:rPr>
      </w:pPr>
      <w:r>
        <w:rPr>
          <w:rFonts w:hint="eastAsia" w:ascii="宋体" w:hAnsi="宋体"/>
          <w:color w:val="auto"/>
          <w:sz w:val="24"/>
          <w:highlight w:val="none"/>
          <w:lang w:eastAsia="zh-CN" w:bidi="ar"/>
        </w:rPr>
        <w:t>（三）实施材料：项目工程设计文件、设计调整文件等；</w:t>
      </w:r>
    </w:p>
    <w:p w14:paraId="345F92E9">
      <w:pPr>
        <w:snapToGrid w:val="0"/>
        <w:spacing w:line="360" w:lineRule="auto"/>
        <w:ind w:firstLine="480" w:firstLineChars="200"/>
        <w:rPr>
          <w:rFonts w:hint="eastAsia" w:ascii="宋体" w:hAnsi="宋体"/>
          <w:color w:val="auto"/>
          <w:sz w:val="24"/>
          <w:highlight w:val="none"/>
          <w:lang w:eastAsia="zh-CN" w:bidi="ar"/>
        </w:rPr>
      </w:pPr>
      <w:r>
        <w:rPr>
          <w:rFonts w:hint="eastAsia" w:ascii="宋体" w:hAnsi="宋体"/>
          <w:color w:val="auto"/>
          <w:sz w:val="24"/>
          <w:highlight w:val="none"/>
          <w:lang w:eastAsia="zh-CN" w:bidi="ar"/>
        </w:rPr>
        <w:t>（四）竣工材料：项目竣工验收自验报告、项目竣工财务结算报告等；</w:t>
      </w:r>
    </w:p>
    <w:p w14:paraId="150C10A8">
      <w:pPr>
        <w:snapToGrid w:val="0"/>
        <w:spacing w:line="360" w:lineRule="auto"/>
        <w:ind w:firstLine="480" w:firstLineChars="200"/>
        <w:rPr>
          <w:rFonts w:hint="eastAsia" w:ascii="宋体" w:hAnsi="宋体"/>
          <w:color w:val="auto"/>
          <w:sz w:val="24"/>
          <w:highlight w:val="none"/>
          <w:lang w:eastAsia="zh-CN" w:bidi="ar"/>
        </w:rPr>
      </w:pPr>
      <w:r>
        <w:rPr>
          <w:rFonts w:hint="eastAsia" w:ascii="宋体" w:hAnsi="宋体"/>
          <w:color w:val="auto"/>
          <w:sz w:val="24"/>
          <w:highlight w:val="none"/>
          <w:lang w:eastAsia="zh-CN" w:bidi="ar"/>
        </w:rPr>
        <w:t>（五）对所提供材料（包括电子版）的真实性、准确性、完整性负责的声明。</w:t>
      </w:r>
    </w:p>
    <w:p w14:paraId="0FED5948">
      <w:pPr>
        <w:snapToGrid w:val="0"/>
        <w:spacing w:line="360" w:lineRule="auto"/>
        <w:ind w:firstLine="480" w:firstLineChars="200"/>
        <w:rPr>
          <w:rFonts w:hint="eastAsia" w:ascii="宋体" w:hAnsi="宋体"/>
          <w:color w:val="auto"/>
          <w:sz w:val="24"/>
          <w:highlight w:val="none"/>
          <w:lang w:eastAsia="zh-CN" w:bidi="ar"/>
        </w:rPr>
      </w:pPr>
      <w:r>
        <w:rPr>
          <w:rFonts w:hint="eastAsia" w:ascii="宋体" w:hAnsi="宋体"/>
          <w:color w:val="auto"/>
          <w:sz w:val="24"/>
          <w:highlight w:val="none"/>
          <w:lang w:eastAsia="zh-CN" w:bidi="ar"/>
        </w:rPr>
        <w:t>在收到项目承担企业竣工验收申请及相关材料后，省（区、市）通信管理局商同级财政厅（局）、工业和信息化主管部门，及时抽调相关领域专家组成竣工验收检查小组，开展项目验收。</w:t>
      </w:r>
      <w:r>
        <w:rPr>
          <w:rFonts w:hint="eastAsia" w:ascii="宋体" w:hAnsi="宋体"/>
          <w:color w:val="auto"/>
          <w:sz w:val="24"/>
          <w:highlight w:val="none"/>
          <w:lang w:eastAsia="zh-CN" w:bidi="ar"/>
        </w:rPr>
        <w:tab/>
      </w:r>
    </w:p>
    <w:p w14:paraId="6757C926">
      <w:pPr>
        <w:snapToGrid w:val="0"/>
        <w:spacing w:line="360" w:lineRule="auto"/>
        <w:ind w:firstLine="480" w:firstLineChars="200"/>
        <w:rPr>
          <w:rFonts w:hint="eastAsia" w:ascii="宋体" w:hAnsi="宋体"/>
          <w:color w:val="auto"/>
          <w:sz w:val="24"/>
          <w:highlight w:val="none"/>
          <w:lang w:eastAsia="zh-CN" w:bidi="ar"/>
        </w:rPr>
      </w:pPr>
      <w:r>
        <w:rPr>
          <w:rFonts w:hint="eastAsia" w:ascii="宋体" w:hAnsi="宋体"/>
          <w:color w:val="auto"/>
          <w:sz w:val="24"/>
          <w:highlight w:val="none"/>
          <w:lang w:eastAsia="zh-CN" w:bidi="ar"/>
        </w:rPr>
        <w:t>项目验收可以采取会议评审、实地抽查等方式。竣工验收检查小组应严格审核承担企业的工程建设、补助资金使用等方面材料，形成书面验收意见。</w:t>
      </w:r>
    </w:p>
    <w:p w14:paraId="30565BB2">
      <w:pPr>
        <w:snapToGrid w:val="0"/>
        <w:spacing w:line="360" w:lineRule="auto"/>
        <w:ind w:firstLine="480" w:firstLineChars="200"/>
        <w:rPr>
          <w:rFonts w:hint="eastAsia" w:ascii="宋体" w:hAnsi="宋体"/>
          <w:color w:val="auto"/>
          <w:sz w:val="24"/>
          <w:highlight w:val="none"/>
          <w:lang w:eastAsia="zh-CN" w:bidi="ar"/>
        </w:rPr>
      </w:pPr>
      <w:r>
        <w:rPr>
          <w:rFonts w:hint="eastAsia" w:ascii="宋体" w:hAnsi="宋体"/>
          <w:color w:val="auto"/>
          <w:sz w:val="24"/>
          <w:highlight w:val="none"/>
          <w:lang w:eastAsia="zh-CN" w:bidi="ar"/>
        </w:rPr>
        <w:t>项目验收时应抽取一定数量的行政村开展实地检查，包括项目建设内容、建设标准、施工质量和业务开通等情况。</w:t>
      </w:r>
    </w:p>
    <w:p w14:paraId="4902741F">
      <w:pPr>
        <w:snapToGrid w:val="0"/>
        <w:spacing w:line="360" w:lineRule="auto"/>
        <w:ind w:firstLine="480" w:firstLineChars="200"/>
        <w:rPr>
          <w:rFonts w:hint="eastAsia" w:ascii="宋体" w:hAnsi="宋体"/>
          <w:color w:val="auto"/>
          <w:sz w:val="24"/>
          <w:highlight w:val="none"/>
          <w:lang w:eastAsia="zh-CN" w:bidi="ar"/>
        </w:rPr>
      </w:pPr>
      <w:r>
        <w:rPr>
          <w:rFonts w:hint="eastAsia" w:ascii="宋体" w:hAnsi="宋体"/>
          <w:color w:val="auto"/>
          <w:sz w:val="24"/>
          <w:highlight w:val="none"/>
          <w:lang w:eastAsia="zh-CN" w:bidi="ar"/>
        </w:rPr>
        <w:t>省（区、市）通信管理局在项目验收结束后，对于通过验收的项目应于 10 个工作日内公示验收结果；对于未通过验收的项目，应及时报工业和信息化部，同时责令承担企业在1个月内完成整改并重新提交验收申请。</w:t>
      </w:r>
    </w:p>
    <w:p w14:paraId="06D8F7E8">
      <w:pPr>
        <w:snapToGrid w:val="0"/>
        <w:spacing w:line="360" w:lineRule="auto"/>
        <w:ind w:firstLine="480" w:firstLineChars="200"/>
        <w:rPr>
          <w:rFonts w:hint="eastAsia" w:ascii="宋体" w:hAnsi="宋体"/>
          <w:color w:val="auto"/>
          <w:sz w:val="24"/>
          <w:highlight w:val="none"/>
          <w:lang w:eastAsia="zh-CN" w:bidi="ar"/>
        </w:rPr>
      </w:pPr>
      <w:r>
        <w:rPr>
          <w:rFonts w:hint="eastAsia" w:ascii="宋体" w:hAnsi="宋体"/>
          <w:color w:val="auto"/>
          <w:sz w:val="24"/>
          <w:highlight w:val="none"/>
          <w:lang w:eastAsia="zh-CN" w:bidi="ar"/>
        </w:rPr>
        <w:t>省（区、市）通信管理局应于完成项目验收后 2 个月内，将验收及公示情况以书面形式报工业和信息化部，并对项目承担企业验收申请作出批复。</w:t>
      </w:r>
    </w:p>
    <w:p w14:paraId="732FC1F7">
      <w:pPr>
        <w:snapToGrid w:val="0"/>
        <w:spacing w:line="360" w:lineRule="auto"/>
        <w:ind w:firstLine="480" w:firstLineChars="200"/>
        <w:rPr>
          <w:rFonts w:hint="eastAsia" w:ascii="宋体" w:hAnsi="宋体"/>
          <w:color w:val="auto"/>
          <w:sz w:val="24"/>
          <w:highlight w:val="none"/>
          <w:lang w:eastAsia="zh-CN" w:bidi="ar"/>
        </w:rPr>
      </w:pPr>
      <w:r>
        <w:rPr>
          <w:rFonts w:hint="eastAsia" w:ascii="宋体" w:hAnsi="宋体"/>
          <w:color w:val="auto"/>
          <w:sz w:val="24"/>
          <w:highlight w:val="none"/>
          <w:lang w:val="en-US" w:eastAsia="zh-CN" w:bidi="ar"/>
        </w:rPr>
        <w:t>4</w:t>
      </w:r>
      <w:r>
        <w:rPr>
          <w:rFonts w:hint="eastAsia" w:ascii="宋体" w:hAnsi="宋体"/>
          <w:color w:val="auto"/>
          <w:sz w:val="24"/>
          <w:highlight w:val="none"/>
          <w:lang w:eastAsia="zh-CN" w:bidi="ar"/>
        </w:rPr>
        <w:t>.结算</w:t>
      </w:r>
    </w:p>
    <w:p w14:paraId="453451E3">
      <w:pPr>
        <w:snapToGrid w:val="0"/>
        <w:spacing w:line="360" w:lineRule="auto"/>
        <w:ind w:firstLine="480" w:firstLineChars="200"/>
        <w:rPr>
          <w:rFonts w:hint="eastAsia" w:ascii="宋体" w:hAnsi="宋体"/>
          <w:color w:val="auto"/>
          <w:sz w:val="24"/>
          <w:highlight w:val="none"/>
          <w:lang w:eastAsia="zh-CN" w:bidi="ar"/>
        </w:rPr>
      </w:pPr>
      <w:r>
        <w:rPr>
          <w:rFonts w:hint="eastAsia" w:ascii="宋体" w:hAnsi="宋体"/>
          <w:color w:val="auto"/>
          <w:sz w:val="24"/>
          <w:highlight w:val="none"/>
          <w:lang w:eastAsia="zh-CN" w:bidi="ar"/>
        </w:rPr>
        <w:t>乙方应在本项目通过竣工验收后向甲方递交竣工结算报告及完整的结算资料，双方按照本项目合同约定的合同价款，进行本项目竣工结算。甲方收到乙方递交的竣工结算报告及结算资料后进行审查，给予确认或者提出修改意见。</w:t>
      </w:r>
    </w:p>
    <w:p w14:paraId="0E8D4E21">
      <w:pPr>
        <w:snapToGrid w:val="0"/>
        <w:spacing w:line="360" w:lineRule="auto"/>
        <w:ind w:firstLine="480" w:firstLineChars="200"/>
        <w:rPr>
          <w:rFonts w:hint="eastAsia" w:ascii="宋体" w:hAnsi="宋体"/>
          <w:color w:val="auto"/>
          <w:sz w:val="24"/>
          <w:highlight w:val="none"/>
          <w:lang w:eastAsia="zh-CN" w:bidi="ar"/>
        </w:rPr>
      </w:pPr>
      <w:r>
        <w:rPr>
          <w:rFonts w:hint="eastAsia" w:ascii="宋体" w:hAnsi="宋体"/>
          <w:color w:val="auto"/>
          <w:sz w:val="24"/>
          <w:highlight w:val="none"/>
          <w:lang w:val="en-US" w:eastAsia="zh-CN" w:bidi="ar"/>
        </w:rPr>
        <w:t>5</w:t>
      </w:r>
      <w:r>
        <w:rPr>
          <w:rFonts w:hint="eastAsia" w:ascii="宋体" w:hAnsi="宋体"/>
          <w:color w:val="auto"/>
          <w:sz w:val="24"/>
          <w:highlight w:val="none"/>
          <w:lang w:eastAsia="zh-CN" w:bidi="ar"/>
        </w:rPr>
        <w:t>.交付</w:t>
      </w:r>
    </w:p>
    <w:p w14:paraId="50D312D9">
      <w:pPr>
        <w:snapToGrid w:val="0"/>
        <w:spacing w:line="360" w:lineRule="auto"/>
        <w:ind w:firstLine="480" w:firstLineChars="200"/>
        <w:rPr>
          <w:rFonts w:hint="eastAsia" w:ascii="宋体" w:hAnsi="宋体" w:eastAsia="宋体" w:cs="宋体"/>
          <w:color w:val="auto"/>
          <w:kern w:val="0"/>
          <w:sz w:val="24"/>
          <w:highlight w:val="none"/>
          <w:lang w:val="zh-CN" w:eastAsia="zh-CN"/>
        </w:rPr>
      </w:pPr>
      <w:r>
        <w:rPr>
          <w:rFonts w:hint="eastAsia" w:ascii="宋体" w:hAnsi="宋体"/>
          <w:color w:val="auto"/>
          <w:sz w:val="24"/>
          <w:highlight w:val="none"/>
          <w:lang w:eastAsia="zh-CN" w:bidi="ar"/>
        </w:rPr>
        <w:t>乙方提交的项目成果经甲方全部验收合格，开通覆盖后15个工作日，乙方应交付全部成果资料。全部成果资料包含：(1)立项文件；(2)设计文件及批复文件；(3)竣工文件：包括①工程概况②开工报告③施工组织设计④变更设计⑤隐蔽工程检查记录⑥测试报告⑦竣工图纸⑧竣工验收交接单等技术性资料；（4）监理文件；(5)建设单位以村为单位《财务决算报告》；(6)4G/5G信号接收功率（RSRP）测试报告。（7）对于未能按期或验收不合格的，甲方有权将结果向社会通报并责令限期整改。</w:t>
      </w:r>
    </w:p>
    <w:p w14:paraId="04770BCD">
      <w:pPr>
        <w:tabs>
          <w:tab w:val="left" w:pos="1134"/>
          <w:tab w:val="left" w:pos="1418"/>
        </w:tabs>
        <w:snapToGrid w:val="0"/>
        <w:spacing w:line="360" w:lineRule="auto"/>
        <w:ind w:firstLine="480" w:firstLineChars="200"/>
        <w:rPr>
          <w:rFonts w:hint="eastAsia" w:ascii="宋体" w:hAnsi="宋体" w:cs="宋体"/>
          <w:b/>
          <w:color w:val="auto"/>
          <w:sz w:val="24"/>
          <w:highlight w:val="none"/>
        </w:rPr>
      </w:pPr>
      <w:r>
        <w:rPr>
          <w:rFonts w:hint="eastAsia" w:ascii="宋体" w:hAnsi="宋体" w:cs="宋体"/>
          <w:b/>
          <w:color w:val="auto"/>
          <w:sz w:val="24"/>
          <w:highlight w:val="none"/>
        </w:rPr>
        <w:t>第六条  知识产权</w:t>
      </w:r>
    </w:p>
    <w:p w14:paraId="5D454B0F">
      <w:pPr>
        <w:autoSpaceDE w:val="0"/>
        <w:autoSpaceDN w:val="0"/>
        <w:adjustRightInd w:val="0"/>
        <w:snapToGrid w:val="0"/>
        <w:spacing w:line="360" w:lineRule="auto"/>
        <w:ind w:firstLine="480" w:firstLineChars="200"/>
        <w:jc w:val="left"/>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1.乙方应保证为甲方</w:t>
      </w:r>
      <w:bookmarkStart w:id="2" w:name="_GoBack"/>
      <w:bookmarkEnd w:id="2"/>
      <w:r>
        <w:rPr>
          <w:rFonts w:hint="eastAsia" w:ascii="宋体" w:hAnsi="宋体" w:cs="宋体"/>
          <w:color w:val="auto"/>
          <w:kern w:val="0"/>
          <w:sz w:val="24"/>
          <w:highlight w:val="none"/>
          <w:lang w:val="zh-CN"/>
        </w:rPr>
        <w:t>提供服务时不得侵犯第三人的权利。</w:t>
      </w:r>
    </w:p>
    <w:p w14:paraId="28CC6534">
      <w:pPr>
        <w:autoSpaceDE w:val="0"/>
        <w:autoSpaceDN w:val="0"/>
        <w:adjustRightInd w:val="0"/>
        <w:snapToGrid w:val="0"/>
        <w:spacing w:line="360" w:lineRule="auto"/>
        <w:ind w:firstLine="480" w:firstLineChars="200"/>
        <w:jc w:val="left"/>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2.乙方在为甲方提供服务时所获得成果的知识产权归甲方所有，未经甲方许可，乙方不得以任何方式使用，亦不得出于任何目的向第三方披露或许可第三方使用。</w:t>
      </w:r>
    </w:p>
    <w:p w14:paraId="4D1F7AE3">
      <w:pPr>
        <w:autoSpaceDE w:val="0"/>
        <w:autoSpaceDN w:val="0"/>
        <w:adjustRightInd w:val="0"/>
        <w:snapToGrid w:val="0"/>
        <w:spacing w:line="360" w:lineRule="auto"/>
        <w:ind w:firstLine="480" w:firstLineChars="200"/>
        <w:jc w:val="left"/>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3.若乙方在为甲方提供服务时侵犯了第三人的权利，致使甲方受到索赔或起诉，由此给甲方造成的一切损失由乙方承担，同时甲方有权解除合同，并有权要求乙方支付合同总额的10%的违约金。</w:t>
      </w:r>
    </w:p>
    <w:p w14:paraId="5E9C9C64">
      <w:pPr>
        <w:autoSpaceDE w:val="0"/>
        <w:autoSpaceDN w:val="0"/>
        <w:adjustRightInd w:val="0"/>
        <w:snapToGrid w:val="0"/>
        <w:spacing w:line="360" w:lineRule="auto"/>
        <w:ind w:firstLine="480" w:firstLineChars="200"/>
        <w:jc w:val="left"/>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4.若未经甲方许可，乙方擅自使用或向第三方披露或许可第三方使用在为甲方提供服务时所获得的成果，甲方有权要求乙方或第三方停止使用，同时有权要求乙方支付合同总额20%的违约金。</w:t>
      </w:r>
    </w:p>
    <w:p w14:paraId="1C1F9F34">
      <w:pPr>
        <w:tabs>
          <w:tab w:val="left" w:pos="1418"/>
        </w:tabs>
        <w:snapToGrid w:val="0"/>
        <w:spacing w:line="360" w:lineRule="auto"/>
        <w:ind w:firstLine="480" w:firstLineChars="200"/>
        <w:rPr>
          <w:rFonts w:hint="eastAsia" w:ascii="宋体" w:hAnsi="宋体" w:cs="宋体"/>
          <w:b/>
          <w:color w:val="auto"/>
          <w:sz w:val="24"/>
          <w:highlight w:val="none"/>
          <w:lang w:bidi="ar"/>
        </w:rPr>
      </w:pPr>
      <w:r>
        <w:rPr>
          <w:rFonts w:hint="eastAsia" w:ascii="宋体" w:hAnsi="宋体" w:cs="宋体"/>
          <w:b/>
          <w:color w:val="auto"/>
          <w:sz w:val="24"/>
          <w:highlight w:val="none"/>
        </w:rPr>
        <w:t xml:space="preserve">第七条  </w:t>
      </w:r>
      <w:r>
        <w:rPr>
          <w:rFonts w:hint="eastAsia" w:ascii="宋体" w:hAnsi="宋体" w:cs="宋体"/>
          <w:b/>
          <w:color w:val="auto"/>
          <w:sz w:val="24"/>
          <w:highlight w:val="none"/>
          <w:lang w:bidi="ar"/>
        </w:rPr>
        <w:t>保密</w:t>
      </w:r>
    </w:p>
    <w:p w14:paraId="23D2E8CD">
      <w:pPr>
        <w:autoSpaceDE w:val="0"/>
        <w:autoSpaceDN w:val="0"/>
        <w:adjustRightInd w:val="0"/>
        <w:snapToGrid w:val="0"/>
        <w:spacing w:line="360" w:lineRule="auto"/>
        <w:ind w:firstLine="480" w:firstLineChars="200"/>
        <w:jc w:val="left"/>
        <w:rPr>
          <w:rFonts w:hint="eastAsia" w:ascii="宋体" w:hAnsi="宋体" w:cs="宋体"/>
          <w:color w:val="auto"/>
          <w:kern w:val="0"/>
          <w:sz w:val="24"/>
          <w:highlight w:val="none"/>
          <w:lang w:val="zh-CN"/>
        </w:rPr>
      </w:pPr>
      <w:r>
        <w:rPr>
          <w:rFonts w:hint="eastAsia" w:ascii="宋体" w:hAnsi="宋体" w:cs="宋体"/>
          <w:color w:val="auto"/>
          <w:kern w:val="0"/>
          <w:sz w:val="24"/>
          <w:highlight w:val="none"/>
        </w:rPr>
        <w:t>1.</w:t>
      </w:r>
      <w:r>
        <w:rPr>
          <w:rFonts w:hint="eastAsia" w:ascii="宋体" w:hAnsi="宋体" w:cs="宋体"/>
          <w:color w:val="auto"/>
          <w:kern w:val="0"/>
          <w:sz w:val="24"/>
          <w:highlight w:val="none"/>
          <w:lang w:val="zh-CN"/>
        </w:rPr>
        <w:t>在本合同的履行期内，乙方获得与本项目相关的信息（包括获得的资料及成果等），应当采取适当有效的方式保护，不得未经授权使用、传播或公开。除非有甲方的书面许可，或已在社会上公开，该等信息应当在年内不得对外披露。</w:t>
      </w:r>
    </w:p>
    <w:p w14:paraId="76534A13">
      <w:pPr>
        <w:autoSpaceDE w:val="0"/>
        <w:autoSpaceDN w:val="0"/>
        <w:adjustRightInd w:val="0"/>
        <w:snapToGrid w:val="0"/>
        <w:spacing w:line="360" w:lineRule="auto"/>
        <w:ind w:firstLine="480" w:firstLineChars="200"/>
        <w:jc w:val="left"/>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2.乙方在项目实施过程中接触或产生涉密数据的，应严格按《中华人民共和国保守国家秘密法》及其他相关法律法规和制度执行。如由于乙方的原因而导致泄密的，乙方应承担相应法律责任。</w:t>
      </w:r>
    </w:p>
    <w:p w14:paraId="03BAE07D">
      <w:pPr>
        <w:tabs>
          <w:tab w:val="left" w:pos="1135"/>
          <w:tab w:val="left" w:pos="1418"/>
        </w:tabs>
        <w:snapToGrid w:val="0"/>
        <w:spacing w:line="360" w:lineRule="auto"/>
        <w:ind w:firstLine="480" w:firstLineChars="200"/>
        <w:rPr>
          <w:rFonts w:hint="eastAsia" w:ascii="宋体" w:hAnsi="宋体" w:cs="宋体"/>
          <w:b/>
          <w:color w:val="auto"/>
          <w:sz w:val="24"/>
          <w:highlight w:val="none"/>
          <w:lang w:bidi="ar"/>
        </w:rPr>
      </w:pPr>
      <w:r>
        <w:rPr>
          <w:rFonts w:hint="eastAsia" w:ascii="宋体" w:hAnsi="宋体" w:cs="宋体"/>
          <w:b/>
          <w:color w:val="auto"/>
          <w:sz w:val="24"/>
          <w:highlight w:val="none"/>
        </w:rPr>
        <w:t xml:space="preserve">第八条  </w:t>
      </w:r>
      <w:r>
        <w:rPr>
          <w:rFonts w:hint="eastAsia" w:ascii="宋体" w:hAnsi="宋体" w:cs="宋体"/>
          <w:b/>
          <w:color w:val="auto"/>
          <w:sz w:val="24"/>
          <w:highlight w:val="none"/>
          <w:lang w:bidi="ar"/>
        </w:rPr>
        <w:t>甲方的权利和义务</w:t>
      </w:r>
    </w:p>
    <w:p w14:paraId="1105CBE8">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1.甲方应按本合同约定付款。</w:t>
      </w:r>
    </w:p>
    <w:p w14:paraId="52FFDCD4">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2.甲方对乙方提供的工作成果进行验收，如发现与合同约定不符或不满足甲方需求，有权拒绝接受该工作成果。</w:t>
      </w:r>
    </w:p>
    <w:p w14:paraId="4895E3D8">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3.甲方将向乙方提供为完成服务工作所需要的信息、资料和其他相关协助。</w:t>
      </w:r>
    </w:p>
    <w:p w14:paraId="33797D6F">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4.甲方有权随时了解乙方的工作进展情况，并对经费使用进行监督检查。</w:t>
      </w:r>
    </w:p>
    <w:p w14:paraId="40BF050E">
      <w:pPr>
        <w:tabs>
          <w:tab w:val="left" w:pos="1135"/>
          <w:tab w:val="left" w:pos="1418"/>
        </w:tabs>
        <w:snapToGrid w:val="0"/>
        <w:spacing w:line="360" w:lineRule="auto"/>
        <w:ind w:firstLine="480" w:firstLineChars="200"/>
        <w:rPr>
          <w:rFonts w:hint="eastAsia" w:ascii="宋体" w:hAnsi="宋体" w:cs="宋体"/>
          <w:b/>
          <w:color w:val="auto"/>
          <w:sz w:val="24"/>
          <w:highlight w:val="none"/>
          <w:lang w:bidi="ar"/>
        </w:rPr>
      </w:pPr>
      <w:r>
        <w:rPr>
          <w:rFonts w:hint="eastAsia" w:ascii="宋体" w:hAnsi="宋体" w:cs="宋体"/>
          <w:b/>
          <w:color w:val="auto"/>
          <w:sz w:val="24"/>
          <w:highlight w:val="none"/>
        </w:rPr>
        <w:t xml:space="preserve">第九条  </w:t>
      </w:r>
      <w:r>
        <w:rPr>
          <w:rFonts w:hint="eastAsia" w:ascii="宋体" w:hAnsi="宋体" w:cs="宋体"/>
          <w:b/>
          <w:color w:val="auto"/>
          <w:sz w:val="24"/>
          <w:highlight w:val="none"/>
          <w:lang w:bidi="ar"/>
        </w:rPr>
        <w:t>乙方的权利和义务</w:t>
      </w:r>
    </w:p>
    <w:p w14:paraId="00F8383C">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1.乙方应根据本合同的约定提供服务并提交最终工作成果。</w:t>
      </w:r>
    </w:p>
    <w:p w14:paraId="09E4156C">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2.乙方应根据本合同的约定提交相关文件、资料。</w:t>
      </w:r>
    </w:p>
    <w:p w14:paraId="6A80C6AB">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3.在合同执行过程中，乙方有义务协助甲方对工作成果进行验收；并就甲方需要注意的事项以书面形式提请甲方注意。</w:t>
      </w:r>
    </w:p>
    <w:p w14:paraId="4114CFF2">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乙方应对项目经费实行单独核算、专款专用，保证项目经费的合理使用。项目经费使用必须满足完成本合同约定的任务。乙方有义务接受甲方的经费检查，按照甲方的管理要求提供经费使用情况和有关财务资料，并于项目成果验收时提交项目决算报告。经费使用过程中，乙方应严格遵守财政部等相关经费管理规定。</w:t>
      </w:r>
    </w:p>
    <w:p w14:paraId="280901CC">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5.乙方对于甲方的密级业务需求、技术资料、数据、保密信息等严格保密，并承担泄密造成的后果。</w:t>
      </w:r>
    </w:p>
    <w:p w14:paraId="47A4DC93">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6.在合同履行期间及工作成果提交后，对甲方的任何问题，乙方有义务提供免费咨询。</w:t>
      </w:r>
    </w:p>
    <w:p w14:paraId="76CDB48B">
      <w:pPr>
        <w:snapToGrid w:val="0"/>
        <w:spacing w:line="360" w:lineRule="auto"/>
        <w:ind w:firstLine="420" w:firstLineChars="200"/>
        <w:rPr>
          <w:rFonts w:hint="eastAsia" w:ascii="宋体" w:hAnsi="宋体" w:cs="宋体"/>
          <w:color w:val="auto"/>
          <w:sz w:val="24"/>
          <w:highlight w:val="none"/>
        </w:rPr>
      </w:pPr>
      <w:r>
        <w:rPr>
          <w:rFonts w:hint="eastAsia" w:ascii="宋体" w:hAnsi="宋体" w:cs="宋体"/>
          <w:color w:val="auto"/>
          <w:sz w:val="21"/>
          <w:szCs w:val="21"/>
          <w:highlight w:val="none"/>
        </w:rPr>
        <w:t>7.乙方有义务为甲方人员提供免费培训，确保甲方人员正确使用乙方提交的最终工作成果。</w:t>
      </w:r>
    </w:p>
    <w:p w14:paraId="782EC4A7">
      <w:pPr>
        <w:tabs>
          <w:tab w:val="left" w:pos="1135"/>
          <w:tab w:val="left" w:pos="1418"/>
        </w:tabs>
        <w:snapToGrid w:val="0"/>
        <w:spacing w:line="360" w:lineRule="auto"/>
        <w:ind w:firstLine="480" w:firstLineChars="200"/>
        <w:rPr>
          <w:rFonts w:hint="eastAsia" w:ascii="宋体" w:hAnsi="宋体" w:cs="宋体"/>
          <w:b/>
          <w:color w:val="auto"/>
          <w:sz w:val="24"/>
          <w:highlight w:val="none"/>
          <w:lang w:bidi="ar"/>
        </w:rPr>
      </w:pPr>
      <w:r>
        <w:rPr>
          <w:rFonts w:hint="eastAsia" w:ascii="宋体" w:hAnsi="宋体" w:cs="宋体"/>
          <w:b/>
          <w:color w:val="auto"/>
          <w:sz w:val="24"/>
          <w:highlight w:val="none"/>
        </w:rPr>
        <w:t xml:space="preserve">第十条  </w:t>
      </w:r>
      <w:r>
        <w:rPr>
          <w:rFonts w:hint="eastAsia" w:ascii="宋体" w:hAnsi="宋体" w:cs="宋体"/>
          <w:b/>
          <w:color w:val="auto"/>
          <w:sz w:val="24"/>
          <w:highlight w:val="none"/>
          <w:lang w:bidi="ar"/>
        </w:rPr>
        <w:t>违约索赔与赔偿</w:t>
      </w:r>
    </w:p>
    <w:p w14:paraId="1367D22F">
      <w:pPr>
        <w:autoSpaceDE w:val="0"/>
        <w:autoSpaceDN w:val="0"/>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lang w:val="zh-CN"/>
        </w:rPr>
        <w:t>1.误期索赔</w:t>
      </w:r>
    </w:p>
    <w:p w14:paraId="48480EC2">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kern w:val="0"/>
          <w:sz w:val="24"/>
          <w:highlight w:val="none"/>
        </w:rPr>
        <w:t>1）</w:t>
      </w:r>
      <w:r>
        <w:rPr>
          <w:rFonts w:hint="eastAsia" w:ascii="宋体" w:hAnsi="宋体" w:cs="宋体"/>
          <w:color w:val="auto"/>
          <w:kern w:val="0"/>
          <w:sz w:val="24"/>
          <w:highlight w:val="none"/>
          <w:lang w:val="zh-CN"/>
        </w:rPr>
        <w:t>除非双方书面同意延迟，若乙方未能按本合同的约定提供服务、交付服务成果，甲方有权要求乙方支付违约金。</w:t>
      </w:r>
      <w:r>
        <w:rPr>
          <w:rFonts w:hint="eastAsia" w:ascii="宋体" w:hAnsi="宋体" w:cs="宋体"/>
          <w:color w:val="auto"/>
          <w:sz w:val="24"/>
          <w:highlight w:val="none"/>
        </w:rPr>
        <w:t>每逾期一日乙方承担合同总价格2‰违约金，违约金以合同总价格30%为限。</w:t>
      </w:r>
    </w:p>
    <w:p w14:paraId="7E5A6DC1">
      <w:pPr>
        <w:autoSpaceDE w:val="0"/>
        <w:autoSpaceDN w:val="0"/>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kern w:val="0"/>
          <w:sz w:val="24"/>
          <w:highlight w:val="none"/>
        </w:rPr>
        <w:t>2）</w:t>
      </w:r>
      <w:r>
        <w:rPr>
          <w:rFonts w:hint="eastAsia" w:ascii="宋体" w:hAnsi="宋体" w:cs="宋体"/>
          <w:color w:val="auto"/>
          <w:sz w:val="24"/>
          <w:highlight w:val="none"/>
          <w:lang w:val="zh-CN"/>
        </w:rPr>
        <w:t>如果乙方</w:t>
      </w:r>
      <w:r>
        <w:rPr>
          <w:rFonts w:hint="eastAsia" w:ascii="宋体" w:hAnsi="宋体" w:cs="宋体"/>
          <w:color w:val="auto"/>
          <w:kern w:val="0"/>
          <w:sz w:val="24"/>
          <w:highlight w:val="none"/>
          <w:lang w:val="zh-CN"/>
        </w:rPr>
        <w:t>未能按本合同的约定提供服务，且延迟期限超过30日，</w:t>
      </w:r>
      <w:r>
        <w:rPr>
          <w:rFonts w:hint="eastAsia" w:ascii="宋体" w:hAnsi="宋体" w:cs="宋体"/>
          <w:color w:val="auto"/>
          <w:sz w:val="24"/>
          <w:highlight w:val="none"/>
          <w:lang w:val="zh-CN"/>
        </w:rPr>
        <w:t>甲方有权单方解除本合同，并有权要求乙方支付本合同总额10%的违约金。</w:t>
      </w:r>
    </w:p>
    <w:p w14:paraId="51D74650">
      <w:pPr>
        <w:autoSpaceDE w:val="0"/>
        <w:autoSpaceDN w:val="0"/>
        <w:adjustRightInd w:val="0"/>
        <w:snapToGrid w:val="0"/>
        <w:spacing w:line="360" w:lineRule="auto"/>
        <w:ind w:firstLine="480" w:firstLineChars="200"/>
        <w:jc w:val="left"/>
        <w:rPr>
          <w:rFonts w:hint="eastAsia" w:ascii="宋体" w:hAnsi="宋体" w:cs="宋体"/>
          <w:color w:val="auto"/>
          <w:kern w:val="0"/>
          <w:sz w:val="24"/>
          <w:highlight w:val="none"/>
          <w:lang w:val="zh-CN"/>
        </w:rPr>
      </w:pPr>
      <w:r>
        <w:rPr>
          <w:rFonts w:hint="eastAsia" w:ascii="宋体" w:hAnsi="宋体" w:cs="宋体"/>
          <w:color w:val="auto"/>
          <w:kern w:val="0"/>
          <w:sz w:val="24"/>
          <w:highlight w:val="none"/>
        </w:rPr>
        <w:t>2.</w:t>
      </w:r>
      <w:r>
        <w:rPr>
          <w:rFonts w:hint="eastAsia" w:ascii="宋体" w:hAnsi="宋体" w:cs="宋体"/>
          <w:color w:val="auto"/>
          <w:kern w:val="0"/>
          <w:sz w:val="24"/>
          <w:highlight w:val="none"/>
          <w:lang w:val="zh-CN"/>
        </w:rPr>
        <w:t>质量索赔</w:t>
      </w:r>
    </w:p>
    <w:p w14:paraId="7E9B9CB7">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1）经甲方组织的监理人员审查发现，乙方未按《</w:t>
      </w:r>
      <w:r>
        <w:rPr>
          <w:rFonts w:hint="eastAsia" w:ascii="宋体" w:hAnsi="宋体" w:cs="宋体"/>
          <w:color w:val="auto"/>
          <w:sz w:val="24"/>
          <w:highlight w:val="none"/>
          <w:lang w:eastAsia="zh-CN"/>
        </w:rPr>
        <w:t>202</w:t>
      </w:r>
      <w:r>
        <w:rPr>
          <w:rFonts w:hint="eastAsia" w:ascii="宋体" w:hAnsi="宋体" w:cs="宋体"/>
          <w:color w:val="auto"/>
          <w:sz w:val="24"/>
          <w:highlight w:val="none"/>
          <w:lang w:val="en-US" w:eastAsia="zh-CN"/>
        </w:rPr>
        <w:t>6</w:t>
      </w:r>
      <w:r>
        <w:rPr>
          <w:rFonts w:hint="eastAsia" w:ascii="宋体" w:hAnsi="宋体" w:cs="宋体"/>
          <w:color w:val="auto"/>
          <w:sz w:val="24"/>
          <w:highlight w:val="none"/>
          <w:lang w:eastAsia="zh-CN"/>
        </w:rPr>
        <w:t>年度</w:t>
      </w:r>
      <w:r>
        <w:rPr>
          <w:rFonts w:hint="eastAsia" w:ascii="宋体" w:hAnsi="宋体" w:cs="宋体"/>
          <w:color w:val="auto"/>
          <w:sz w:val="24"/>
          <w:highlight w:val="none"/>
        </w:rPr>
        <w:t>电信普遍服务实施方案》或有关规定要求完成任务，或在项目实施过程中出现重大质量问题，甲方有权要求乙方返工。</w:t>
      </w:r>
    </w:p>
    <w:p w14:paraId="0B0DAA30">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2）乙方应按照招标文件规定的完成维护事项，否则向甲方支付合同总价格10%的违约金；连续2年未按规定维护，甲方有权解除合同另行指定维护单位。</w:t>
      </w:r>
    </w:p>
    <w:p w14:paraId="328AEEAF">
      <w:pPr>
        <w:autoSpaceDE w:val="0"/>
        <w:autoSpaceDN w:val="0"/>
        <w:adjustRightInd w:val="0"/>
        <w:snapToGrid w:val="0"/>
        <w:spacing w:line="360" w:lineRule="auto"/>
        <w:ind w:firstLine="480" w:firstLineChars="200"/>
        <w:jc w:val="left"/>
        <w:rPr>
          <w:rFonts w:hint="eastAsia" w:ascii="宋体" w:hAnsi="宋体" w:cs="宋体"/>
          <w:color w:val="auto"/>
          <w:kern w:val="0"/>
          <w:sz w:val="24"/>
          <w:highlight w:val="none"/>
          <w:lang w:val="zh-CN"/>
        </w:rPr>
      </w:pPr>
      <w:r>
        <w:rPr>
          <w:rFonts w:hint="eastAsia" w:ascii="宋体" w:hAnsi="宋体" w:cs="宋体"/>
          <w:color w:val="auto"/>
          <w:kern w:val="0"/>
          <w:sz w:val="24"/>
          <w:highlight w:val="none"/>
        </w:rPr>
        <w:t>3.</w:t>
      </w:r>
      <w:r>
        <w:rPr>
          <w:rFonts w:hint="eastAsia" w:ascii="宋体" w:hAnsi="宋体" w:cs="宋体"/>
          <w:color w:val="auto"/>
          <w:kern w:val="0"/>
          <w:sz w:val="24"/>
          <w:highlight w:val="none"/>
          <w:lang w:val="zh-CN"/>
        </w:rPr>
        <w:t>不履行合同的违约索赔：</w:t>
      </w:r>
    </w:p>
    <w:p w14:paraId="53FBE837">
      <w:pPr>
        <w:autoSpaceDE w:val="0"/>
        <w:autoSpaceDN w:val="0"/>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lang w:val="zh-CN"/>
        </w:rPr>
        <w:t>未经</w:t>
      </w:r>
      <w:r>
        <w:rPr>
          <w:rFonts w:hint="eastAsia" w:ascii="宋体" w:hAnsi="宋体" w:cs="宋体"/>
          <w:color w:val="auto"/>
          <w:sz w:val="24"/>
          <w:highlight w:val="none"/>
          <w:lang w:val="zh-CN"/>
        </w:rPr>
        <w:t>甲方同意，</w:t>
      </w:r>
      <w:r>
        <w:rPr>
          <w:rFonts w:hint="eastAsia" w:ascii="宋体" w:hAnsi="宋体" w:cs="宋体"/>
          <w:color w:val="auto"/>
          <w:kern w:val="0"/>
          <w:sz w:val="24"/>
          <w:highlight w:val="none"/>
          <w:lang w:val="zh-CN"/>
        </w:rPr>
        <w:t>乙方拒不履行合同或部分不履行合同，导致合同解除或部分解除的，乙方按解除部分合同金额的</w:t>
      </w:r>
      <w:r>
        <w:rPr>
          <w:rFonts w:hint="eastAsia" w:ascii="宋体" w:hAnsi="宋体" w:cs="宋体"/>
          <w:color w:val="auto"/>
          <w:kern w:val="0"/>
          <w:sz w:val="24"/>
          <w:highlight w:val="none"/>
        </w:rPr>
        <w:t>20%</w:t>
      </w:r>
      <w:r>
        <w:rPr>
          <w:rFonts w:hint="eastAsia" w:ascii="宋体" w:hAnsi="宋体" w:cs="宋体"/>
          <w:color w:val="auto"/>
          <w:kern w:val="0"/>
          <w:sz w:val="24"/>
          <w:highlight w:val="none"/>
          <w:lang w:val="zh-CN"/>
        </w:rPr>
        <w:t>向甲方支付违约金。</w:t>
      </w:r>
    </w:p>
    <w:p w14:paraId="12A5DC78">
      <w:pPr>
        <w:autoSpaceDE w:val="0"/>
        <w:autoSpaceDN w:val="0"/>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4.</w:t>
      </w:r>
      <w:r>
        <w:rPr>
          <w:rFonts w:hint="eastAsia" w:ascii="宋体" w:hAnsi="宋体" w:cs="宋体"/>
          <w:color w:val="auto"/>
          <w:kern w:val="0"/>
          <w:sz w:val="24"/>
          <w:highlight w:val="none"/>
          <w:lang w:val="zh-CN"/>
        </w:rPr>
        <w:t>如乙方存在合同约定的违约行为时，甲方有权书面向乙方发出索赔通知，乙方应当在收到甲方索赔通知之日起10天内书面答复甲方，否则，视为该索赔已被乙方接受。乙方未能在收到索赔通知后10天内，或征得甲方同意的延长期限内，按照甲方从上列方法中选择的方案解决索赔事宜的，甲方将有权从未付合同价款中扣回索赔金额，同时保留进一步要求索赔的权利。所有违约金和赔偿金的支付不减轻乙方合同项下的任何责任和义务。</w:t>
      </w:r>
    </w:p>
    <w:p w14:paraId="3137B6E3">
      <w:pPr>
        <w:tabs>
          <w:tab w:val="left" w:pos="1135"/>
          <w:tab w:val="left" w:pos="1418"/>
        </w:tabs>
        <w:snapToGrid w:val="0"/>
        <w:spacing w:line="360" w:lineRule="auto"/>
        <w:ind w:firstLine="480" w:firstLineChars="200"/>
        <w:rPr>
          <w:rFonts w:hint="eastAsia" w:ascii="宋体" w:hAnsi="宋体" w:cs="宋体"/>
          <w:b/>
          <w:color w:val="auto"/>
          <w:sz w:val="24"/>
          <w:highlight w:val="none"/>
          <w:lang w:bidi="ar"/>
        </w:rPr>
      </w:pPr>
      <w:r>
        <w:rPr>
          <w:rFonts w:hint="eastAsia" w:ascii="宋体" w:hAnsi="宋体" w:cs="宋体"/>
          <w:b/>
          <w:color w:val="auto"/>
          <w:sz w:val="24"/>
          <w:highlight w:val="none"/>
        </w:rPr>
        <w:t xml:space="preserve">第十一条  </w:t>
      </w:r>
      <w:r>
        <w:rPr>
          <w:rFonts w:hint="eastAsia" w:ascii="宋体" w:hAnsi="宋体" w:cs="宋体"/>
          <w:b/>
          <w:color w:val="auto"/>
          <w:sz w:val="24"/>
          <w:highlight w:val="none"/>
          <w:lang w:bidi="ar"/>
        </w:rPr>
        <w:t>不可抗力</w:t>
      </w:r>
    </w:p>
    <w:p w14:paraId="336D9DE0">
      <w:pPr>
        <w:autoSpaceDE w:val="0"/>
        <w:autoSpaceDN w:val="0"/>
        <w:adjustRightInd w:val="0"/>
        <w:snapToGrid w:val="0"/>
        <w:spacing w:line="360" w:lineRule="auto"/>
        <w:ind w:firstLine="480" w:firstLineChars="200"/>
        <w:jc w:val="left"/>
        <w:rPr>
          <w:rFonts w:hint="eastAsia" w:ascii="宋体" w:hAnsi="宋体" w:cs="宋体"/>
          <w:color w:val="auto"/>
          <w:kern w:val="0"/>
          <w:sz w:val="24"/>
          <w:highlight w:val="none"/>
          <w:lang w:val="zh-CN"/>
        </w:rPr>
      </w:pPr>
      <w:r>
        <w:rPr>
          <w:rFonts w:hint="eastAsia" w:ascii="宋体" w:hAnsi="宋体" w:cs="宋体"/>
          <w:color w:val="auto"/>
          <w:kern w:val="0"/>
          <w:sz w:val="24"/>
          <w:highlight w:val="none"/>
        </w:rPr>
        <w:t>1.</w:t>
      </w:r>
      <w:r>
        <w:rPr>
          <w:rFonts w:hint="eastAsia" w:ascii="宋体" w:hAnsi="宋体" w:cs="宋体"/>
          <w:color w:val="auto"/>
          <w:kern w:val="0"/>
          <w:sz w:val="24"/>
          <w:highlight w:val="none"/>
          <w:lang w:val="zh-CN"/>
        </w:rPr>
        <w:t>如果本合同任何一方因受不可抗力事件影响而未能履行其在本合同下的全部或部分义务，该义务的履行在不可抗力事件妨碍其履行期间应予中止。</w:t>
      </w:r>
    </w:p>
    <w:p w14:paraId="2A6462C6">
      <w:pPr>
        <w:autoSpaceDE w:val="0"/>
        <w:autoSpaceDN w:val="0"/>
        <w:adjustRightInd w:val="0"/>
        <w:snapToGrid w:val="0"/>
        <w:spacing w:line="360" w:lineRule="auto"/>
        <w:ind w:firstLine="480" w:firstLineChars="200"/>
        <w:jc w:val="left"/>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2.不可抗力事件发生时，双方应立即通过友好协商决定如何执行本合同。不可抗力事件或其影响终止或消除后，双方须立即恢复履行各自在本合同项下的各项义务。如不可抗力及其影响无法终止或消除而致使合同任何一方丧失继续履行合同的能力，则双方可协商解除合同或暂时延迟合同的履行，且遭遇不可抗力一方无须为此承担责任。</w:t>
      </w:r>
    </w:p>
    <w:p w14:paraId="7FE8EBC1">
      <w:pPr>
        <w:autoSpaceDE w:val="0"/>
        <w:autoSpaceDN w:val="0"/>
        <w:adjustRightInd w:val="0"/>
        <w:snapToGrid w:val="0"/>
        <w:spacing w:line="360" w:lineRule="auto"/>
        <w:ind w:firstLine="480" w:firstLineChars="200"/>
        <w:jc w:val="left"/>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3.当事人迟延履行后发生不可抗力的，不能免除责任。</w:t>
      </w:r>
    </w:p>
    <w:p w14:paraId="6F44954C">
      <w:pPr>
        <w:tabs>
          <w:tab w:val="left" w:pos="1135"/>
          <w:tab w:val="left" w:pos="1418"/>
        </w:tabs>
        <w:snapToGrid w:val="0"/>
        <w:spacing w:line="360" w:lineRule="auto"/>
        <w:ind w:firstLine="480" w:firstLineChars="200"/>
        <w:rPr>
          <w:rFonts w:hint="eastAsia" w:ascii="宋体" w:hAnsi="宋体" w:cs="宋体"/>
          <w:b/>
          <w:color w:val="auto"/>
          <w:sz w:val="24"/>
          <w:highlight w:val="none"/>
          <w:lang w:bidi="ar"/>
        </w:rPr>
      </w:pPr>
      <w:r>
        <w:rPr>
          <w:rFonts w:hint="eastAsia" w:ascii="宋体" w:hAnsi="宋体" w:cs="宋体"/>
          <w:b/>
          <w:color w:val="auto"/>
          <w:sz w:val="24"/>
          <w:highlight w:val="none"/>
        </w:rPr>
        <w:t xml:space="preserve">第十二条  </w:t>
      </w:r>
      <w:r>
        <w:rPr>
          <w:rFonts w:hint="eastAsia" w:ascii="宋体" w:hAnsi="宋体" w:cs="宋体"/>
          <w:b/>
          <w:color w:val="auto"/>
          <w:sz w:val="24"/>
          <w:highlight w:val="none"/>
          <w:lang w:bidi="ar"/>
        </w:rPr>
        <w:t>争议的解决</w:t>
      </w:r>
    </w:p>
    <w:p w14:paraId="24FBF70C">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各方在履行合同中应协商解决争议事项，协商不成，各方均有权向甲方所在地的人民法院</w:t>
      </w:r>
      <w:r>
        <w:rPr>
          <w:rFonts w:hint="eastAsia" w:ascii="宋体" w:hAnsi="宋体" w:cs="宋体"/>
          <w:color w:val="auto"/>
          <w:sz w:val="24"/>
          <w:highlight w:val="none"/>
          <w:lang w:eastAsia="zh-CN"/>
        </w:rPr>
        <w:t>提起诉讼</w:t>
      </w:r>
      <w:r>
        <w:rPr>
          <w:rFonts w:hint="eastAsia" w:ascii="宋体" w:hAnsi="宋体" w:cs="宋体"/>
          <w:color w:val="auto"/>
          <w:sz w:val="24"/>
          <w:highlight w:val="none"/>
        </w:rPr>
        <w:t>。</w:t>
      </w:r>
    </w:p>
    <w:p w14:paraId="69AA5518">
      <w:pPr>
        <w:tabs>
          <w:tab w:val="left" w:pos="1135"/>
          <w:tab w:val="left" w:pos="1418"/>
        </w:tabs>
        <w:snapToGrid w:val="0"/>
        <w:spacing w:line="360" w:lineRule="auto"/>
        <w:ind w:firstLine="480" w:firstLineChars="200"/>
        <w:rPr>
          <w:rFonts w:hint="eastAsia" w:ascii="宋体" w:hAnsi="宋体" w:cs="宋体"/>
          <w:b/>
          <w:color w:val="auto"/>
          <w:sz w:val="24"/>
          <w:highlight w:val="none"/>
          <w:lang w:bidi="ar"/>
        </w:rPr>
      </w:pPr>
      <w:r>
        <w:rPr>
          <w:rFonts w:hint="eastAsia" w:ascii="宋体" w:hAnsi="宋体" w:cs="宋体"/>
          <w:b/>
          <w:color w:val="auto"/>
          <w:sz w:val="24"/>
          <w:highlight w:val="none"/>
        </w:rPr>
        <w:t xml:space="preserve">第十三条  </w:t>
      </w:r>
      <w:r>
        <w:rPr>
          <w:rFonts w:hint="eastAsia" w:ascii="宋体" w:hAnsi="宋体" w:cs="宋体"/>
          <w:b/>
          <w:color w:val="auto"/>
          <w:sz w:val="24"/>
          <w:highlight w:val="none"/>
          <w:lang w:bidi="ar"/>
        </w:rPr>
        <w:t>其它</w:t>
      </w:r>
    </w:p>
    <w:p w14:paraId="64328987">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1.本合同之附件及实施方案均为本合同不可分割之部分。</w:t>
      </w:r>
    </w:p>
    <w:p w14:paraId="280D986D">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2.本合同未尽事宜，由甲、乙双方另行议定，并签订补充协议。补充协议与本合同不一致的，以补充协议为准。</w:t>
      </w:r>
    </w:p>
    <w:p w14:paraId="224EC70C">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3.本合同及其附件和补充协议中未规定的事项，均遵照中华人民共和国有关法律、法规执行。</w:t>
      </w:r>
    </w:p>
    <w:p w14:paraId="4FEE593C">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附件：（1）项目实施方案</w:t>
      </w:r>
    </w:p>
    <w:p w14:paraId="6005D1B1">
      <w:pPr>
        <w:numPr>
          <w:ilvl w:val="0"/>
          <w:numId w:val="1"/>
        </w:numPr>
        <w:snapToGrid w:val="0"/>
        <w:spacing w:line="360" w:lineRule="auto"/>
        <w:ind w:firstLine="1080" w:firstLineChars="450"/>
        <w:rPr>
          <w:rFonts w:hint="eastAsia" w:ascii="宋体" w:hAnsi="宋体" w:cs="宋体"/>
          <w:color w:val="auto"/>
          <w:sz w:val="24"/>
          <w:highlight w:val="none"/>
        </w:rPr>
      </w:pPr>
      <w:r>
        <w:rPr>
          <w:rFonts w:hint="eastAsia" w:ascii="宋体" w:hAnsi="宋体" w:cs="宋体"/>
          <w:color w:val="auto"/>
          <w:sz w:val="24"/>
          <w:highlight w:val="none"/>
        </w:rPr>
        <w:t>乙方法人代表授权书原件（如有委托授权情形时签署）</w:t>
      </w:r>
    </w:p>
    <w:p w14:paraId="45F1FFD2">
      <w:pPr>
        <w:numPr>
          <w:ilvl w:val="0"/>
          <w:numId w:val="1"/>
        </w:numPr>
        <w:snapToGrid w:val="0"/>
        <w:spacing w:line="360" w:lineRule="auto"/>
        <w:ind w:firstLine="1080" w:firstLineChars="450"/>
        <w:rPr>
          <w:rFonts w:hint="eastAsia" w:ascii="宋体" w:hAnsi="宋体" w:cs="宋体"/>
          <w:color w:val="auto"/>
          <w:sz w:val="24"/>
          <w:highlight w:val="none"/>
        </w:rPr>
      </w:pPr>
      <w:r>
        <w:rPr>
          <w:rFonts w:hint="eastAsia" w:ascii="宋体" w:hAnsi="宋体" w:cs="宋体"/>
          <w:color w:val="auto"/>
          <w:sz w:val="24"/>
          <w:highlight w:val="none"/>
          <w:lang w:eastAsia="zh-CN"/>
        </w:rPr>
        <w:t>202</w:t>
      </w:r>
      <w:r>
        <w:rPr>
          <w:rFonts w:hint="eastAsia" w:ascii="宋体" w:hAnsi="宋体" w:cs="宋体"/>
          <w:color w:val="auto"/>
          <w:sz w:val="24"/>
          <w:highlight w:val="none"/>
          <w:lang w:val="en-US" w:eastAsia="zh-CN"/>
        </w:rPr>
        <w:t>6</w:t>
      </w:r>
      <w:r>
        <w:rPr>
          <w:rFonts w:hint="eastAsia" w:ascii="宋体" w:hAnsi="宋体" w:cs="宋体"/>
          <w:color w:val="auto"/>
          <w:sz w:val="24"/>
          <w:highlight w:val="none"/>
          <w:lang w:eastAsia="zh-CN"/>
        </w:rPr>
        <w:t>年度</w:t>
      </w:r>
      <w:r>
        <w:rPr>
          <w:rFonts w:hint="eastAsia" w:ascii="宋体" w:hAnsi="宋体" w:cs="宋体"/>
          <w:color w:val="auto"/>
          <w:sz w:val="24"/>
          <w:highlight w:val="none"/>
        </w:rPr>
        <w:t>电信普遍服务试点行政村详单</w:t>
      </w:r>
    </w:p>
    <w:p w14:paraId="51AC7D4B">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4.本合同连同附件一式捌份，甲乙双方各执肆份。均具有同等法律效力。</w:t>
      </w:r>
    </w:p>
    <w:p w14:paraId="27EA2AF4">
      <w:pPr>
        <w:tabs>
          <w:tab w:val="right" w:pos="5880"/>
        </w:tabs>
        <w:spacing w:before="317" w:beforeLines="100" w:line="360" w:lineRule="auto"/>
        <w:ind w:firstLine="420"/>
        <w:rPr>
          <w:rFonts w:ascii="宋体" w:hAnsi="宋体" w:cs="宋体"/>
          <w:color w:val="auto"/>
          <w:sz w:val="24"/>
          <w:highlight w:val="none"/>
        </w:rPr>
        <w:sectPr>
          <w:pgSz w:w="11906" w:h="16838"/>
          <w:pgMar w:top="1440" w:right="1797" w:bottom="1440" w:left="1797" w:header="851" w:footer="992" w:gutter="0"/>
          <w:cols w:space="720" w:num="1"/>
          <w:docGrid w:type="linesAndChars" w:linePitch="317" w:charSpace="0"/>
        </w:sectPr>
      </w:pPr>
    </w:p>
    <w:p w14:paraId="6D182CD3">
      <w:pPr>
        <w:tabs>
          <w:tab w:val="right" w:pos="5880"/>
        </w:tabs>
        <w:spacing w:before="312" w:beforeLines="100" w:line="360" w:lineRule="auto"/>
        <w:ind w:firstLine="420"/>
        <w:rPr>
          <w:rFonts w:hint="eastAsia" w:ascii="宋体" w:hAnsi="宋体" w:cs="宋体"/>
          <w:color w:val="auto"/>
          <w:sz w:val="24"/>
          <w:highlight w:val="none"/>
        </w:rPr>
      </w:pPr>
      <w:r>
        <w:rPr>
          <w:rFonts w:hint="eastAsia" w:ascii="宋体" w:hAnsi="宋体" w:cs="宋体"/>
          <w:color w:val="auto"/>
          <w:sz w:val="24"/>
          <w:szCs w:val="20"/>
          <w:highlight w:val="none"/>
        </w:rPr>
        <w:t>（此页无正文）</w:t>
      </w:r>
    </w:p>
    <w:p w14:paraId="51B665A3">
      <w:pPr>
        <w:tabs>
          <w:tab w:val="right" w:pos="5880"/>
        </w:tabs>
        <w:spacing w:line="360" w:lineRule="auto"/>
        <w:ind w:firstLine="420"/>
        <w:rPr>
          <w:rFonts w:hint="eastAsia" w:ascii="宋体" w:hAnsi="宋体" w:cs="宋体"/>
          <w:color w:val="auto"/>
          <w:sz w:val="24"/>
          <w:highlight w:val="none"/>
        </w:rPr>
      </w:pPr>
      <w:r>
        <w:rPr>
          <w:rFonts w:hint="eastAsia" w:ascii="宋体" w:hAnsi="宋体" w:cs="宋体"/>
          <w:color w:val="auto"/>
          <w:sz w:val="24"/>
          <w:highlight w:val="none"/>
        </w:rPr>
        <w:t>甲方：</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（盖章）</w:t>
      </w:r>
    </w:p>
    <w:p w14:paraId="403FEFB4">
      <w:pPr>
        <w:tabs>
          <w:tab w:val="right" w:pos="5880"/>
        </w:tabs>
        <w:spacing w:line="360" w:lineRule="auto"/>
        <w:ind w:firstLine="420"/>
        <w:rPr>
          <w:rFonts w:hint="eastAsia" w:ascii="宋体" w:hAnsi="宋体" w:cs="宋体"/>
          <w:color w:val="auto"/>
          <w:sz w:val="24"/>
          <w:highlight w:val="none"/>
        </w:rPr>
      </w:pPr>
      <w:r>
        <w:rPr>
          <w:rFonts w:hint="eastAsia" w:ascii="宋体" w:hAnsi="宋体" w:cs="宋体"/>
          <w:color w:val="auto"/>
          <w:sz w:val="24"/>
          <w:highlight w:val="none"/>
        </w:rPr>
        <w:t>法定代表人/委托代理人：</w:t>
      </w:r>
      <w:r>
        <w:rPr>
          <w:rFonts w:hint="eastAsia" w:ascii="宋体" w:hAnsi="宋体" w:cs="宋体"/>
          <w:color w:val="auto"/>
          <w:sz w:val="24"/>
          <w:highlight w:val="none"/>
          <w:u w:val="single"/>
        </w:rPr>
        <w:tab/>
      </w:r>
      <w:r>
        <w:rPr>
          <w:rFonts w:hint="eastAsia" w:ascii="宋体" w:hAnsi="宋体" w:cs="宋体"/>
          <w:color w:val="auto"/>
          <w:sz w:val="24"/>
          <w:highlight w:val="none"/>
        </w:rPr>
        <w:t>（签字）</w:t>
      </w:r>
    </w:p>
    <w:p w14:paraId="46A8AF08">
      <w:pPr>
        <w:tabs>
          <w:tab w:val="right" w:pos="5880"/>
        </w:tabs>
        <w:spacing w:line="360" w:lineRule="auto"/>
        <w:ind w:firstLine="420"/>
        <w:rPr>
          <w:rFonts w:hint="eastAsia" w:ascii="宋体" w:hAnsi="宋体" w:cs="宋体"/>
          <w:color w:val="auto"/>
          <w:sz w:val="24"/>
          <w:highlight w:val="none"/>
        </w:rPr>
      </w:pPr>
      <w:r>
        <w:rPr>
          <w:rFonts w:hint="eastAsia" w:ascii="宋体" w:hAnsi="宋体" w:cs="宋体"/>
          <w:color w:val="auto"/>
          <w:sz w:val="24"/>
          <w:highlight w:val="none"/>
        </w:rPr>
        <w:t>签字日期：年月日</w:t>
      </w:r>
    </w:p>
    <w:p w14:paraId="63109C84">
      <w:pPr>
        <w:tabs>
          <w:tab w:val="right" w:pos="5880"/>
        </w:tabs>
        <w:spacing w:line="360" w:lineRule="auto"/>
        <w:ind w:firstLine="420"/>
        <w:rPr>
          <w:rFonts w:hint="eastAsia" w:ascii="宋体" w:hAnsi="宋体" w:cs="宋体"/>
          <w:color w:val="auto"/>
          <w:sz w:val="24"/>
          <w:highlight w:val="none"/>
        </w:rPr>
      </w:pPr>
      <w:r>
        <w:rPr>
          <w:rFonts w:hint="eastAsia" w:ascii="宋体" w:hAnsi="宋体" w:cs="宋体"/>
          <w:color w:val="auto"/>
          <w:sz w:val="24"/>
          <w:highlight w:val="none"/>
        </w:rPr>
        <w:t>签字地点：</w:t>
      </w:r>
    </w:p>
    <w:p w14:paraId="664A8668">
      <w:pPr>
        <w:tabs>
          <w:tab w:val="right" w:pos="5880"/>
        </w:tabs>
        <w:spacing w:line="360" w:lineRule="auto"/>
        <w:ind w:firstLine="420"/>
        <w:rPr>
          <w:rFonts w:hint="eastAsia" w:ascii="宋体" w:hAnsi="宋体" w:cs="宋体"/>
          <w:color w:val="auto"/>
          <w:sz w:val="24"/>
          <w:highlight w:val="none"/>
        </w:rPr>
      </w:pPr>
      <w:r>
        <w:rPr>
          <w:rFonts w:hint="eastAsia" w:ascii="宋体" w:hAnsi="宋体" w:cs="宋体"/>
          <w:color w:val="auto"/>
          <w:sz w:val="24"/>
          <w:highlight w:val="none"/>
        </w:rPr>
        <w:t>乙方：</w:t>
      </w:r>
      <w:r>
        <w:rPr>
          <w:rFonts w:hint="eastAsia" w:ascii="宋体" w:hAnsi="宋体" w:cs="宋体"/>
          <w:color w:val="auto"/>
          <w:sz w:val="24"/>
          <w:highlight w:val="none"/>
          <w:u w:val="single"/>
        </w:rPr>
        <w:tab/>
      </w:r>
      <w:r>
        <w:rPr>
          <w:rFonts w:hint="eastAsia" w:ascii="宋体" w:hAnsi="宋体" w:cs="宋体"/>
          <w:color w:val="auto"/>
          <w:sz w:val="24"/>
          <w:highlight w:val="none"/>
        </w:rPr>
        <w:t>（盖章）</w:t>
      </w:r>
    </w:p>
    <w:p w14:paraId="2C6CDD64">
      <w:pPr>
        <w:tabs>
          <w:tab w:val="right" w:pos="5040"/>
        </w:tabs>
        <w:spacing w:line="360" w:lineRule="auto"/>
        <w:ind w:firstLine="420"/>
        <w:rPr>
          <w:rFonts w:hint="eastAsia" w:ascii="宋体" w:hAnsi="宋体" w:cs="宋体"/>
          <w:color w:val="auto"/>
          <w:sz w:val="24"/>
          <w:highlight w:val="none"/>
          <w:u w:val="single"/>
        </w:rPr>
      </w:pPr>
      <w:r>
        <w:rPr>
          <w:rFonts w:hint="eastAsia" w:ascii="宋体" w:hAnsi="宋体" w:cs="宋体"/>
          <w:color w:val="auto"/>
          <w:sz w:val="24"/>
          <w:highlight w:val="none"/>
        </w:rPr>
        <w:t>开户银行：</w:t>
      </w:r>
      <w:r>
        <w:rPr>
          <w:rFonts w:hint="eastAsia" w:ascii="宋体" w:hAnsi="宋体" w:cs="宋体"/>
          <w:color w:val="auto"/>
          <w:sz w:val="24"/>
          <w:highlight w:val="none"/>
          <w:u w:val="single"/>
        </w:rPr>
        <w:tab/>
      </w:r>
    </w:p>
    <w:p w14:paraId="0E83C01C">
      <w:pPr>
        <w:tabs>
          <w:tab w:val="right" w:pos="5040"/>
        </w:tabs>
        <w:spacing w:line="360" w:lineRule="auto"/>
        <w:ind w:firstLine="420"/>
        <w:rPr>
          <w:rFonts w:hint="eastAsia" w:ascii="宋体" w:hAnsi="宋体" w:cs="宋体"/>
          <w:color w:val="auto"/>
          <w:sz w:val="24"/>
          <w:highlight w:val="none"/>
        </w:rPr>
      </w:pPr>
      <w:r>
        <w:rPr>
          <w:rFonts w:hint="eastAsia" w:ascii="宋体" w:hAnsi="宋体" w:cs="宋体"/>
          <w:color w:val="auto"/>
          <w:sz w:val="24"/>
          <w:highlight w:val="none"/>
        </w:rPr>
        <w:t>帐号：</w:t>
      </w:r>
      <w:r>
        <w:rPr>
          <w:rFonts w:hint="eastAsia" w:ascii="宋体" w:hAnsi="宋体" w:cs="宋体"/>
          <w:color w:val="auto"/>
          <w:sz w:val="24"/>
          <w:highlight w:val="none"/>
          <w:u w:val="single"/>
        </w:rPr>
        <w:tab/>
      </w:r>
    </w:p>
    <w:p w14:paraId="3518FFBE">
      <w:pPr>
        <w:tabs>
          <w:tab w:val="right" w:pos="5880"/>
        </w:tabs>
        <w:spacing w:line="360" w:lineRule="auto"/>
        <w:ind w:firstLine="420"/>
        <w:rPr>
          <w:rFonts w:hint="eastAsia" w:ascii="宋体" w:hAnsi="宋体" w:cs="宋体"/>
          <w:color w:val="auto"/>
          <w:sz w:val="24"/>
          <w:highlight w:val="none"/>
        </w:rPr>
      </w:pPr>
      <w:r>
        <w:rPr>
          <w:rFonts w:hint="eastAsia" w:ascii="宋体" w:hAnsi="宋体" w:cs="宋体"/>
          <w:color w:val="auto"/>
          <w:sz w:val="24"/>
          <w:highlight w:val="none"/>
        </w:rPr>
        <w:t>法定代表人/委托代理人：</w:t>
      </w:r>
      <w:r>
        <w:rPr>
          <w:rFonts w:hint="eastAsia" w:ascii="宋体" w:hAnsi="宋体" w:cs="宋体"/>
          <w:color w:val="auto"/>
          <w:sz w:val="24"/>
          <w:highlight w:val="none"/>
          <w:u w:val="single"/>
        </w:rPr>
        <w:tab/>
      </w:r>
      <w:r>
        <w:rPr>
          <w:rFonts w:hint="eastAsia" w:ascii="宋体" w:hAnsi="宋体" w:cs="宋体"/>
          <w:color w:val="auto"/>
          <w:sz w:val="24"/>
          <w:highlight w:val="none"/>
        </w:rPr>
        <w:t>（签字）</w:t>
      </w:r>
    </w:p>
    <w:p w14:paraId="13BD07FA">
      <w:pPr>
        <w:tabs>
          <w:tab w:val="right" w:pos="5880"/>
        </w:tabs>
        <w:spacing w:line="360" w:lineRule="auto"/>
        <w:ind w:firstLine="420"/>
        <w:rPr>
          <w:rFonts w:hint="eastAsia" w:ascii="宋体" w:hAnsi="宋体" w:cs="宋体"/>
          <w:color w:val="auto"/>
          <w:sz w:val="24"/>
          <w:highlight w:val="none"/>
        </w:rPr>
      </w:pPr>
      <w:r>
        <w:rPr>
          <w:rFonts w:hint="eastAsia" w:ascii="宋体" w:hAnsi="宋体" w:cs="宋体"/>
          <w:color w:val="auto"/>
          <w:sz w:val="24"/>
          <w:highlight w:val="none"/>
        </w:rPr>
        <w:t>签字日期：年月日</w:t>
      </w:r>
    </w:p>
    <w:p w14:paraId="6E1EE42B">
      <w:pPr>
        <w:tabs>
          <w:tab w:val="right" w:pos="5880"/>
        </w:tabs>
        <w:spacing w:line="360" w:lineRule="auto"/>
        <w:ind w:firstLine="420"/>
        <w:rPr>
          <w:rFonts w:hint="eastAsia" w:ascii="宋体" w:hAnsi="宋体" w:cs="宋体"/>
          <w:color w:val="auto"/>
          <w:sz w:val="24"/>
          <w:highlight w:val="none"/>
        </w:rPr>
      </w:pPr>
      <w:r>
        <w:rPr>
          <w:rFonts w:hint="eastAsia" w:ascii="宋体" w:hAnsi="宋体" w:cs="宋体"/>
          <w:color w:val="auto"/>
          <w:sz w:val="24"/>
          <w:highlight w:val="none"/>
        </w:rPr>
        <w:t>签字地点：</w:t>
      </w:r>
    </w:p>
    <w:p w14:paraId="13FE29B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ECF744"/>
    <w:multiLevelType w:val="singleLevel"/>
    <w:tmpl w:val="C2ECF744"/>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F548E9"/>
    <w:rsid w:val="41F54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2026-06-22T11:24:00Z</dcterms:created>
  <dc:creator>张琳卿</dc:creator>
  <cp:lastModifiedBy>张琳卿</cp:lastModifiedBy>
  <dcterms:modified xsi:type="dcterms:W3CDTF">2026-06-22T11:27:47Z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F40850A915434508AACA56F1A380A9DA_11</vt:lpwstr>
  </property>
  <property fmtid="{D5CDD505-2E9C-101B-9397-08002B2CF9AE}" pid="4" name="KSOTemplateDocerSaveRecord">
    <vt:lpwstr>eyJoZGlkIjoiNDI1NGQ4MDY4NjMxYWVlMzc3ODM2NDE0MmU1ODUxYzYiLCJ1c2VySWQiOiI3MTA1OTY0MjgifQ==</vt:lpwstr>
  </property>
</Properties>
</file>