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版本号：ZY2026-ZB-GK107020260511001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未央工业园立讯未来、仙同智谷供水工程项目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ZY2026-ZB-GK1070</w:t>
      </w:r>
      <w:r>
        <w:br/>
      </w:r>
      <w:r>
        <w:br/>
      </w:r>
      <w:r>
        <w:br/>
      </w:r>
    </w:p>
    <w:p>
      <w:pPr>
        <w:pStyle w:val="null3"/>
        <w:jc w:val="center"/>
        <w:outlineLvl w:val="2"/>
      </w:pPr>
      <w:r>
        <w:rPr>
          <w:rFonts w:ascii="仿宋_GB2312" w:hAnsi="仿宋_GB2312" w:cs="仿宋_GB2312" w:eastAsia="仿宋_GB2312"/>
          <w:sz w:val="28"/>
          <w:b/>
        </w:rPr>
        <w:t>西安未央工业园管理委员会</w:t>
      </w:r>
    </w:p>
    <w:p>
      <w:pPr>
        <w:pStyle w:val="null3"/>
        <w:jc w:val="center"/>
        <w:outlineLvl w:val="2"/>
      </w:pPr>
      <w:r>
        <w:rPr>
          <w:rFonts w:ascii="仿宋_GB2312" w:hAnsi="仿宋_GB2312" w:cs="仿宋_GB2312" w:eastAsia="仿宋_GB2312"/>
          <w:sz w:val="28"/>
          <w:b/>
        </w:rPr>
        <w:t>陕西正翼项目管理咨询有限公司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陕西正翼项目管理咨询有限公司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西安未央工业园管理委员会</w:t>
      </w:r>
      <w:r>
        <w:rPr>
          <w:rFonts w:ascii="仿宋_GB2312" w:hAnsi="仿宋_GB2312" w:cs="仿宋_GB2312" w:eastAsia="仿宋_GB2312"/>
        </w:rPr>
        <w:t>委托，拟对</w:t>
      </w:r>
      <w:r>
        <w:rPr>
          <w:rFonts w:ascii="仿宋_GB2312" w:hAnsi="仿宋_GB2312" w:cs="仿宋_GB2312" w:eastAsia="仿宋_GB2312"/>
        </w:rPr>
        <w:t>未央工业园立讯未来、仙同智谷供水工程项目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ZY2026-ZB-GK1070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未央工业园立讯未来、仙同智谷供水工程项目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未央工业园立讯未来、仙同智谷供水工程项目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采购包1（未央工业园立讯未来、仙同智谷供水工程项目）：属于专门面向中小企业采购。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2、财务状况报告：提供2024年度或2025年度经审计的完整财务报告或磋商日期前三个月内其基本存款账户开户银行出具的资信证明。（如提供资信证明，须同时提供基本存款账户开户许可证或基本账户信息表）。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3、税收缴纳证明：提供2025年5月至今已缴纳的至少一个月的税收缴纳证明，依法免税的单位应提供相关证明材料。</w:t>
      </w:r>
    </w:p>
    <w:p>
      <w:pPr>
        <w:pStyle w:val="null3"/>
      </w:pPr>
      <w:r>
        <w:rPr>
          <w:rFonts w:ascii="仿宋_GB2312" w:hAnsi="仿宋_GB2312" w:cs="仿宋_GB2312" w:eastAsia="仿宋_GB2312"/>
        </w:rPr>
        <w:t>4、社会保障资金缴纳证明：提供2025年5月至今已缴存的至少一个月的社会保障资金缴存单据或社保机构开具的社会保险参保缴费情况证明，依法不需要缴纳社会保障资金的单位应提供相关证明材料。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5、具有履行本合同所必需的设备和专业技术能力：提供具有履行本合同所必需的设备和专业技术能力的书面声明及承诺。</w:t>
      </w:r>
    </w:p>
    <w:p>
      <w:pPr>
        <w:pStyle w:val="null3"/>
      </w:pPr>
      <w:r>
        <w:rPr>
          <w:rFonts w:ascii="仿宋_GB2312" w:hAnsi="仿宋_GB2312" w:cs="仿宋_GB2312" w:eastAsia="仿宋_GB2312"/>
        </w:rPr>
        <w:t>6、参加政府采购活动前三年内，在经营活动中没有重大违法记录：提供参加本次政府采购活动前三年内在经营活动中没有重大违法记录的书面声明。</w:t>
      </w:r>
    </w:p>
    <w:p>
      <w:pPr>
        <w:pStyle w:val="null3"/>
      </w:pPr>
      <w:r>
        <w:rPr>
          <w:rFonts w:ascii="仿宋_GB2312" w:hAnsi="仿宋_GB2312" w:cs="仿宋_GB2312" w:eastAsia="仿宋_GB2312"/>
        </w:rPr>
        <w:t>7、信用记录：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8、授权委托书：法定代表人授权委托书、被授权人身份证(法定代表人参加开标时,只需提供法定代表人身份证；被授权人参加开标时，须提供开标前三个月内任意一个月的社保证明材料。</w:t>
      </w:r>
    </w:p>
    <w:p>
      <w:pPr>
        <w:pStyle w:val="null3"/>
      </w:pPr>
      <w:r>
        <w:rPr>
          <w:rFonts w:ascii="仿宋_GB2312" w:hAnsi="仿宋_GB2312" w:cs="仿宋_GB2312" w:eastAsia="仿宋_GB2312"/>
        </w:rPr>
        <w:t>9、供应商资质要求：供应商须具备建设部门颁发的市政公用工程施工总承包三级及以上资质且须具备合格有效的安全生产许可证；</w:t>
      </w:r>
    </w:p>
    <w:p>
      <w:pPr>
        <w:pStyle w:val="null3"/>
      </w:pPr>
      <w:r>
        <w:rPr>
          <w:rFonts w:ascii="仿宋_GB2312" w:hAnsi="仿宋_GB2312" w:cs="仿宋_GB2312" w:eastAsia="仿宋_GB2312"/>
        </w:rPr>
        <w:t>10、拟派项目经理资质和专业要求：供应商拟派项目经理具备合法有效的市政公用工程专业二级及以上注册建造师执业资格和安全生产考核合格证书（安全B证），在本单位注册且无在建工程（提供承诺书）；</w:t>
      </w:r>
    </w:p>
    <w:p>
      <w:pPr>
        <w:pStyle w:val="null3"/>
      </w:pPr>
      <w:r>
        <w:rPr>
          <w:rFonts w:ascii="仿宋_GB2312" w:hAnsi="仿宋_GB2312" w:cs="仿宋_GB2312" w:eastAsia="仿宋_GB2312"/>
        </w:rPr>
        <w:t>11、备案查询：供应商及项目经理基本信息在“陕西省住房和城乡建设厅”和“全国建筑市场监管公共服务平台”可查询；供应商与项目经理在《陕西省建筑市场监管与诚信信息发布平台》上均有备案可查询。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西安未央工业园管理委员会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西安市未央区一干路与场部路交叉口正北方向60米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029-86210100转608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陕西正翼项目管理咨询有限公司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陕西省西安市经济技术开发区凤城五路123号秦创原·软科中心B座11层1101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林工、张晶、刘英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029-86210100转608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采购包1：532,923.15元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以成交价格为基数，依据国家计委颁布《招标代理服务收费管理暂行办法》（计价格[2002]1980号）和发展改革委员会办公厅颁发的《关于招标代理服务收费有关问题的通知》（发改办价格[2003]857号）文件规定执行，不足8000.00元按8000.00元收取。 造价咨询费：2000元。 招标代理服务费及造价咨询费缴纳账户： 开户名称：陕西正翼项目管理咨询有限公司西安分公司 开户银行：中国光大银行股份有限公司西安经济技术开发区支行 账 号：78680188000360910</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西安未央工业园管理委员会</w:t>
      </w:r>
      <w:r>
        <w:rPr>
          <w:rFonts w:ascii="仿宋_GB2312" w:hAnsi="仿宋_GB2312" w:cs="仿宋_GB2312" w:eastAsia="仿宋_GB2312"/>
        </w:rPr>
        <w:t>和</w:t>
      </w:r>
      <w:r>
        <w:rPr>
          <w:rFonts w:ascii="仿宋_GB2312" w:hAnsi="仿宋_GB2312" w:cs="仿宋_GB2312" w:eastAsia="仿宋_GB2312"/>
        </w:rPr>
        <w:t>陕西正翼项目管理咨询有限公司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西安未央工业园管理委员会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陕西正翼项目管理咨询有限公司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西安未央工业园管理委员会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陕西正翼项目管理咨询有限公司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联系人：林工</w:t>
      </w:r>
    </w:p>
    <w:p>
      <w:pPr>
        <w:pStyle w:val="null3"/>
      </w:pPr>
      <w:r>
        <w:rPr>
          <w:rFonts w:ascii="仿宋_GB2312" w:hAnsi="仿宋_GB2312" w:cs="仿宋_GB2312" w:eastAsia="仿宋_GB2312"/>
        </w:rPr>
        <w:t>联系电话：029-86210100转608</w:t>
      </w:r>
    </w:p>
    <w:p>
      <w:pPr>
        <w:pStyle w:val="null3"/>
      </w:pPr>
      <w:r>
        <w:rPr>
          <w:rFonts w:ascii="仿宋_GB2312" w:hAnsi="仿宋_GB2312" w:cs="仿宋_GB2312" w:eastAsia="仿宋_GB2312"/>
        </w:rPr>
        <w:t>地址：陕西省西安市经济技术开发区凤城五路123号秦创原·软科中心B座11层1101陕西正翼项目管理咨询有限公司</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532,923.15</w:t>
      </w:r>
    </w:p>
    <w:p>
      <w:pPr>
        <w:pStyle w:val="null3"/>
      </w:pPr>
      <w:r>
        <w:rPr>
          <w:rFonts w:ascii="仿宋_GB2312" w:hAnsi="仿宋_GB2312" w:cs="仿宋_GB2312" w:eastAsia="仿宋_GB2312"/>
        </w:rPr>
        <w:t>采购包最高限价（元）: 532,923.15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未央工业园立讯未来.仙同智谷供水工程项目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532,923.15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标的名称：未央工业园立讯未来.仙同智谷供水工程项目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工程量清单编制说明</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工程概况</w:t>
            </w:r>
          </w:p>
          <w:p>
            <w:pPr>
              <w:pStyle w:val="null3"/>
              <w:jc w:val="left"/>
            </w:pPr>
            <w:r>
              <w:rPr>
                <w:rFonts w:ascii="仿宋_GB2312" w:hAnsi="仿宋_GB2312" w:cs="仿宋_GB2312" w:eastAsia="仿宋_GB2312"/>
                <w:sz w:val="21"/>
              </w:rPr>
              <w:t>本工程为尚耘路</w:t>
            </w:r>
            <w:r>
              <w:rPr>
                <w:rFonts w:ascii="仿宋_GB2312" w:hAnsi="仿宋_GB2312" w:cs="仿宋_GB2312" w:eastAsia="仿宋_GB2312"/>
                <w:sz w:val="21"/>
              </w:rPr>
              <w:t>dn200接水工程，该工程位于尚耘路与草滩七路丁字口向北20米西侧铺设向西dn200管道520米，250米处一个用户支管向北25米进入项目红线内,500米处一个用户支管向北25米进入项目红线内，设计管道平均埋深1.5米。</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清单编制范围</w:t>
            </w:r>
          </w:p>
          <w:p>
            <w:pPr>
              <w:pStyle w:val="null3"/>
              <w:jc w:val="left"/>
            </w:pPr>
            <w:r>
              <w:rPr>
                <w:rFonts w:ascii="仿宋_GB2312" w:hAnsi="仿宋_GB2312" w:cs="仿宋_GB2312" w:eastAsia="仿宋_GB2312"/>
                <w:sz w:val="21"/>
              </w:rPr>
              <w:t>本次编制范围：包含施工图纸中管网工程及配套土建工程等所有设计内容。</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编制依据</w:t>
            </w:r>
          </w:p>
          <w:p>
            <w:pPr>
              <w:pStyle w:val="null3"/>
              <w:jc w:val="left"/>
            </w:pPr>
            <w:r>
              <w:rPr>
                <w:rFonts w:ascii="仿宋_GB2312" w:hAnsi="仿宋_GB2312" w:cs="仿宋_GB2312" w:eastAsia="仿宋_GB2312"/>
                <w:sz w:val="21"/>
              </w:rPr>
              <w:t>3.1</w:t>
            </w:r>
            <w:r>
              <w:rPr>
                <w:rFonts w:ascii="仿宋_GB2312" w:hAnsi="仿宋_GB2312" w:cs="仿宋_GB2312" w:eastAsia="仿宋_GB2312"/>
                <w:sz w:val="21"/>
              </w:rPr>
              <w:t>建设工程工程量清单计价标准（</w:t>
            </w:r>
            <w:r>
              <w:rPr>
                <w:rFonts w:ascii="仿宋_GB2312" w:hAnsi="仿宋_GB2312" w:cs="仿宋_GB2312" w:eastAsia="仿宋_GB2312"/>
                <w:sz w:val="21"/>
              </w:rPr>
              <w:t>2025）、房屋建筑与装饰工程工程量计算标准（2025）、市政工程工程量计算标准（2025）、园林绿化工程工程量计算标准（2025）；</w:t>
            </w:r>
          </w:p>
          <w:p>
            <w:pPr>
              <w:pStyle w:val="null3"/>
              <w:jc w:val="left"/>
            </w:pPr>
            <w:r>
              <w:rPr>
                <w:rFonts w:ascii="仿宋_GB2312" w:hAnsi="仿宋_GB2312" w:cs="仿宋_GB2312" w:eastAsia="仿宋_GB2312"/>
                <w:sz w:val="21"/>
              </w:rPr>
              <w:t>3.2</w:t>
            </w:r>
            <w:r>
              <w:rPr>
                <w:rFonts w:ascii="仿宋_GB2312" w:hAnsi="仿宋_GB2312" w:cs="仿宋_GB2312" w:eastAsia="仿宋_GB2312"/>
                <w:sz w:val="21"/>
              </w:rPr>
              <w:t>陕西省建设工程费用规则</w:t>
            </w:r>
            <w:r>
              <w:rPr>
                <w:rFonts w:ascii="仿宋_GB2312" w:hAnsi="仿宋_GB2312" w:cs="仿宋_GB2312" w:eastAsia="仿宋_GB2312"/>
                <w:sz w:val="21"/>
              </w:rPr>
              <w:t>(2025)；</w:t>
            </w:r>
          </w:p>
          <w:p>
            <w:pPr>
              <w:pStyle w:val="null3"/>
              <w:jc w:val="left"/>
            </w:pPr>
            <w:r>
              <w:rPr>
                <w:rFonts w:ascii="仿宋_GB2312" w:hAnsi="仿宋_GB2312" w:cs="仿宋_GB2312" w:eastAsia="仿宋_GB2312"/>
                <w:sz w:val="21"/>
              </w:rPr>
              <w:t>3.3</w:t>
            </w:r>
            <w:r>
              <w:rPr>
                <w:rFonts w:ascii="仿宋_GB2312" w:hAnsi="仿宋_GB2312" w:cs="仿宋_GB2312" w:eastAsia="仿宋_GB2312"/>
                <w:sz w:val="21"/>
              </w:rPr>
              <w:t>建设工程设计文件、设计图纸答疑及相关资料；</w:t>
            </w:r>
          </w:p>
          <w:p>
            <w:pPr>
              <w:pStyle w:val="null3"/>
              <w:jc w:val="left"/>
            </w:pPr>
            <w:r>
              <w:rPr>
                <w:rFonts w:ascii="仿宋_GB2312" w:hAnsi="仿宋_GB2312" w:cs="仿宋_GB2312" w:eastAsia="仿宋_GB2312"/>
                <w:sz w:val="21"/>
              </w:rPr>
              <w:t>3.4</w:t>
            </w:r>
            <w:r>
              <w:rPr>
                <w:rFonts w:ascii="仿宋_GB2312" w:hAnsi="仿宋_GB2312" w:cs="仿宋_GB2312" w:eastAsia="仿宋_GB2312"/>
                <w:sz w:val="21"/>
              </w:rPr>
              <w:t>与建设项目相关的标准、规范及技术资料；</w:t>
            </w:r>
          </w:p>
          <w:p>
            <w:pPr>
              <w:pStyle w:val="null3"/>
              <w:jc w:val="left"/>
            </w:pPr>
            <w:r>
              <w:rPr>
                <w:rFonts w:ascii="仿宋_GB2312" w:hAnsi="仿宋_GB2312" w:cs="仿宋_GB2312" w:eastAsia="仿宋_GB2312"/>
                <w:sz w:val="21"/>
              </w:rPr>
              <w:t>3.5</w:t>
            </w:r>
            <w:r>
              <w:rPr>
                <w:rFonts w:ascii="仿宋_GB2312" w:hAnsi="仿宋_GB2312" w:cs="仿宋_GB2312" w:eastAsia="仿宋_GB2312"/>
                <w:sz w:val="21"/>
              </w:rPr>
              <w:t>施工现场情况、工程特点及合理施工方案、合理工期。</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其他说明</w:t>
            </w:r>
          </w:p>
          <w:p>
            <w:pPr>
              <w:pStyle w:val="null3"/>
              <w:jc w:val="left"/>
            </w:pPr>
            <w:r>
              <w:rPr>
                <w:rFonts w:ascii="仿宋_GB2312" w:hAnsi="仿宋_GB2312" w:cs="仿宋_GB2312" w:eastAsia="仿宋_GB2312"/>
                <w:sz w:val="21"/>
              </w:rPr>
              <w:t>4.1</w:t>
            </w:r>
            <w:r>
              <w:rPr>
                <w:rFonts w:ascii="仿宋_GB2312" w:hAnsi="仿宋_GB2312" w:cs="仿宋_GB2312" w:eastAsia="仿宋_GB2312"/>
                <w:sz w:val="21"/>
              </w:rPr>
              <w:t>工程量清单按广联达</w:t>
            </w:r>
            <w:r>
              <w:rPr>
                <w:rFonts w:ascii="仿宋_GB2312" w:hAnsi="仿宋_GB2312" w:cs="仿宋_GB2312" w:eastAsia="仿宋_GB2312"/>
                <w:sz w:val="21"/>
              </w:rPr>
              <w:t>GCCP7.0（版本号7.5000.23.2）编制。</w:t>
            </w:r>
          </w:p>
          <w:p>
            <w:pPr>
              <w:pStyle w:val="null3"/>
              <w:jc w:val="left"/>
            </w:pPr>
            <w:r>
              <w:rPr>
                <w:rFonts w:ascii="仿宋_GB2312" w:hAnsi="仿宋_GB2312" w:cs="仿宋_GB2312" w:eastAsia="仿宋_GB2312"/>
                <w:sz w:val="21"/>
              </w:rPr>
              <w:t>4.2</w:t>
            </w:r>
            <w:r>
              <w:rPr>
                <w:rFonts w:ascii="仿宋_GB2312" w:hAnsi="仿宋_GB2312" w:cs="仿宋_GB2312" w:eastAsia="仿宋_GB2312"/>
                <w:sz w:val="21"/>
              </w:rPr>
              <w:t>二类费</w:t>
            </w:r>
            <w:r>
              <w:rPr>
                <w:rFonts w:ascii="仿宋_GB2312" w:hAnsi="仿宋_GB2312" w:cs="仿宋_GB2312" w:eastAsia="仿宋_GB2312"/>
                <w:sz w:val="21"/>
              </w:rPr>
              <w:t>“城市道路挖掘占用修复费-主干道挖掘费”、“综合管线图费”分别以42555.78元（含税价，税率9%）、10900元（含税价，税率9%）计入专业工程暂估价，合计53455.78元(含税价，税率9%)。</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图纸问题及回复</w:t>
            </w:r>
            <w:r>
              <w:rPr>
                <w:rFonts w:ascii="仿宋_GB2312" w:hAnsi="仿宋_GB2312" w:cs="仿宋_GB2312" w:eastAsia="仿宋_GB2312"/>
                <w:sz w:val="21"/>
              </w:rPr>
              <w:t>：</w:t>
            </w:r>
            <w:r>
              <w:rPr>
                <w:rFonts w:ascii="仿宋_GB2312" w:hAnsi="仿宋_GB2312" w:cs="仿宋_GB2312" w:eastAsia="仿宋_GB2312"/>
                <w:sz w:val="21"/>
              </w:rPr>
              <w:t>无。</w:t>
            </w:r>
          </w:p>
          <w:p>
            <w:pPr>
              <w:pStyle w:val="null3"/>
              <w:jc w:val="left"/>
            </w:pPr>
            <w:r>
              <w:rPr>
                <w:rFonts w:ascii="仿宋_GB2312" w:hAnsi="仿宋_GB2312" w:cs="仿宋_GB2312" w:eastAsia="仿宋_GB2312"/>
                <w:sz w:val="21"/>
                <w:color w:val="000000"/>
              </w:rPr>
              <w:t>二、</w:t>
            </w:r>
            <w:r>
              <w:rPr>
                <w:rFonts w:ascii="仿宋_GB2312" w:hAnsi="仿宋_GB2312" w:cs="仿宋_GB2312" w:eastAsia="仿宋_GB2312"/>
                <w:sz w:val="21"/>
                <w:color w:val="000000"/>
              </w:rPr>
              <w:t>工期：</w:t>
            </w:r>
            <w:r>
              <w:rPr>
                <w:rFonts w:ascii="仿宋_GB2312" w:hAnsi="仿宋_GB2312" w:cs="仿宋_GB2312" w:eastAsia="仿宋_GB2312"/>
                <w:sz w:val="21"/>
                <w:color w:val="000000"/>
              </w:rPr>
              <w:t>21日历天</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三、</w:t>
            </w:r>
            <w:r>
              <w:rPr>
                <w:rFonts w:ascii="仿宋_GB2312" w:hAnsi="仿宋_GB2312" w:cs="仿宋_GB2312" w:eastAsia="仿宋_GB2312"/>
                <w:sz w:val="21"/>
                <w:color w:val="000000"/>
              </w:rPr>
              <w:t>质量标准：符合国家现行有关施工质量验收规范</w:t>
            </w:r>
            <w:r>
              <w:rPr>
                <w:rFonts w:ascii="仿宋_GB2312" w:hAnsi="仿宋_GB2312" w:cs="仿宋_GB2312" w:eastAsia="仿宋_GB2312"/>
                <w:sz w:val="21"/>
                <w:color w:val="000000"/>
              </w:rPr>
              <w:t>“合格”要求</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四、</w:t>
            </w:r>
            <w:r>
              <w:rPr>
                <w:rFonts w:ascii="仿宋_GB2312" w:hAnsi="仿宋_GB2312" w:cs="仿宋_GB2312" w:eastAsia="仿宋_GB2312"/>
                <w:sz w:val="21"/>
                <w:color w:val="000000"/>
              </w:rPr>
              <w:t>质量保修期：</w:t>
            </w:r>
            <w:r>
              <w:rPr>
                <w:rFonts w:ascii="仿宋_GB2312" w:hAnsi="仿宋_GB2312" w:cs="仿宋_GB2312" w:eastAsia="仿宋_GB2312"/>
                <w:sz w:val="21"/>
                <w:color w:val="000000"/>
              </w:rPr>
              <w:t>2年</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五、</w:t>
            </w:r>
            <w:r>
              <w:rPr>
                <w:rFonts w:ascii="仿宋_GB2312" w:hAnsi="仿宋_GB2312" w:cs="仿宋_GB2312" w:eastAsia="仿宋_GB2312"/>
                <w:sz w:val="21"/>
                <w:color w:val="000000"/>
              </w:rPr>
              <w:t>支付：</w:t>
            </w:r>
            <w:r>
              <w:rPr>
                <w:rFonts w:ascii="仿宋_GB2312" w:hAnsi="仿宋_GB2312" w:cs="仿宋_GB2312" w:eastAsia="仿宋_GB2312"/>
                <w:sz w:val="21"/>
              </w:rPr>
              <w:t>合同签订后，供应商完成所有施工内容且验收合格，根据项目结算审核</w:t>
            </w:r>
            <w:r>
              <w:rPr>
                <w:rFonts w:ascii="仿宋_GB2312" w:hAnsi="仿宋_GB2312" w:cs="仿宋_GB2312" w:eastAsia="仿宋_GB2312"/>
                <w:sz w:val="21"/>
              </w:rPr>
              <w:t>(以财政审定价为准)支付项目金额的100%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六、结算</w:t>
            </w:r>
          </w:p>
          <w:p>
            <w:pPr>
              <w:pStyle w:val="null3"/>
              <w:jc w:val="left"/>
            </w:pPr>
            <w:r>
              <w:rPr>
                <w:rFonts w:ascii="仿宋_GB2312" w:hAnsi="仿宋_GB2312" w:cs="仿宋_GB2312" w:eastAsia="仿宋_GB2312"/>
                <w:sz w:val="21"/>
                <w:color w:val="000000"/>
              </w:rPr>
              <w:t>1.本项目结算价格不得超过项目招标最高限价；</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最终综合单价的确定：本项目以供应商首次磋商报价及最终成交总价核定下浮比例，各分项综合单价均按该下浮比例同比下浮，确定为合同结算固定综合单价。</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1、本项目所属行业为建筑业。 2、供应商根据附件工程量清单在编制磋商响应文件时须提供已标价工程量清单。 3、工程量清单及图纸中不一致以工程量清单为准。 4、供应商报价包括完成本合同项下项目完成的所有费用，包括但不限于人工费、材料费、垃圾清运等费用。 5、(投标文件格式一标的清单)品目号为“1”、工程名称为“未央工业园立讯未来、仙同智谷供水工程项目”、施工范围为“未央工业园立讯未来、仙同智谷供水工程项目磋商文件及工程量清单包含的全部内容”、数量为“1”、单价与总价一致，否则按无效投标处理，其他内容各供应商根据实际情况填写。 6、因陕西政府采购网电子化流程编制支付方式及支付约定时无法满足本项目所要求付款方式，不作参考，本项目支付方式及支付约定以合同约定为准。 7、磋商文件前后不一致以3.3其他要求为准。 8、成交供应商需提供纸质版响应文件两本。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提供2024年度或2025年度经审计的完整财务报告或磋商日期前三个月内其基本存款账户开户银行出具的资信证明。（如提供资信证明，须同时提供基本存款账户开户许可证或基本账户信息表）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提供2025年5月至今已缴纳的至少一个月的税收缴纳证明，依法免税的单位应提供相关证明材料。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提供具有履行本合同所必需的设备和专业技术能力的书面声明及承诺。</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法定代表人授权委托书、被授权人身份证(法定代表人参加开标时,只需提供法定代表人身份证；被授权人参加开标时，须提供开标前三个月内任意一个月的社保证明材料。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供应商须具备建设部门颁发的市政公用工程施工总承包三级及以上资质且须具备合格有效的安全生产许可证；</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供应商拟派项目经理具备合法有效的市政公用工程专业二级及以上注册建造师执业资格和安全生产考核合格证书（安全B证），在本单位注册且无在建工程（提供承诺书）；</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备案查询</w:t>
            </w:r>
          </w:p>
        </w:tc>
        <w:tc>
          <w:tcPr>
            <w:tcW w:type="dxa" w:w="3322"/>
          </w:tcPr>
          <w:p>
            <w:pPr>
              <w:pStyle w:val="null3"/>
            </w:pPr>
            <w:r>
              <w:rPr>
                <w:rFonts w:ascii="仿宋_GB2312" w:hAnsi="仿宋_GB2312" w:cs="仿宋_GB2312" w:eastAsia="仿宋_GB2312"/>
              </w:rPr>
              <w:t>供应商及项目经理基本信息在“陕西省住房和城乡建设厅”和“全国建筑市场监管公共服务平台”可查询；供应商与项目经理在《陕西省建筑市场监管与诚信信息发布平台》上均有备案可查询。</w:t>
            </w:r>
          </w:p>
        </w:tc>
        <w:tc>
          <w:tcPr>
            <w:tcW w:type="dxa" w:w="1661"/>
          </w:tcPr>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标的清单 响应函 其他附件.docx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只能有一个有效报价，不得提交选择性报价，且报价不超过采购预算金额或最高限价及工程量清单单价最高限价。</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工期达到磋商文件要求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质量保修期</w:t>
            </w:r>
          </w:p>
        </w:tc>
        <w:tc>
          <w:tcPr>
            <w:tcW w:type="dxa" w:w="3322"/>
          </w:tcPr>
          <w:p>
            <w:pPr>
              <w:pStyle w:val="null3"/>
            </w:pPr>
            <w:r>
              <w:rPr>
                <w:rFonts w:ascii="仿宋_GB2312" w:hAnsi="仿宋_GB2312" w:cs="仿宋_GB2312" w:eastAsia="仿宋_GB2312"/>
              </w:rPr>
              <w:t>质量保修期达到磋商文件要求</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标的清单 响应函 其他附件.docx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详细评审55.00分</w:t>
            </w:r>
          </w:p>
          <w:p>
            <w:pPr>
              <w:pStyle w:val="null3"/>
            </w:pPr>
            <w:r>
              <w:rPr>
                <w:rFonts w:ascii="仿宋_GB2312" w:hAnsi="仿宋_GB2312" w:cs="仿宋_GB2312" w:eastAsia="仿宋_GB2312"/>
              </w:rPr>
              <w:t>报价得分45.00分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区间分值0-6分。 评审标准细化内容： ①施工目标:成本目标、工期目标、质量目标； ②施工准备：技术准备、材料准备、机械准备、机具准备； ③施工平面布置与安排：现场围挡及出入口管理、交通组织安排、消防及道路安排。 评审标准量化内容： （1）各部分内容全面详细、阐述条理清晰详尽、符合本项目采购需求得6分； （2）评审标准细化内容每缺少一项扣2分； （3）评审标准细化内容内容缺失不得分，每有一处内容存在缺陷或不足的扣1分，该项分值扣完为止。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区间分值0-6分。 评审标准细化内容： ①土方开挖、回填施工方案； ②路面、基层拆除施工方案； ③管道铺设方案。 评审标准量化内容： （1）各部分内容全面详细、阐述条理清晰详尽、符合本项目采购需求得6分； （2）评审标准细化内容每缺少一项扣2分； （3）评审标准细化内容内容缺失不得分，每有一处内容存在缺陷或不足的扣1分，该项分值扣完为止。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区间分值0-6分。 评审标准细化内容： ①质量目标管理体系； ②施工质量的检验制度； ③确保质量的技术组织措施及控制措施。 评审标准量化内容： （1）各部分内容全面详细、阐述条理清晰详尽、符合本项目采购需求得6分； （2）评审标准细化内容每缺少一项扣2分； （3）评审标准细化内容内容缺失不得分，每有一处内容存在缺陷或不足的扣1分，该项分值扣完为止。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区间分值0-6分。 评审标准细化内容： ①施工进度计划横道图； ②进度计划保证措施； ③工期保证措施。 评审标准量化内容： （1）各部分内容全面详细、阐述条理清晰详尽、符合本项目采购需求得6分； （2）评审标准细化内容每缺少一项扣2分； （3）评审标准细化内容内容缺失不得分，每有一处内容存在缺陷或不足的扣1分，该项分值扣完为止。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区间分值0-8分。 评审标准细化内容： ①安全生产管理制度； ②安全施工措施； ③安全应急预案； ④安全生产教育。 评审标准量化内容： （1）各部分内容全面详细、阐述条理清晰详尽、符合本项目采购需求得8分； （2）评审标准细化内容每缺少一项扣2分； （3）评审标准细化内容内容缺失不得分，每有一处内容存在缺陷或不足的扣1分，该项分值扣完为止。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区间分值0-4分。 评审标准细化内容： ①文明施工管理目标及技术措施； ②文明施工现场管理：材料管理、防扰民措施。 评审标准量化内容： （1）各部分内容全面详细、阐述条理清晰详尽、符合本项目采购需求得4分； （2）评审标准细化内容每缺少一项扣2分； （3）评审标准细化内容内容缺失不得分，每有一处内容存在缺陷或不足的扣1分，该项分值扣完为止。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区间分值0-8分。 评审标准细化内容： ①成品保护措施； ②季节性施工措施； ③消防保卫措施； ④环境保护措施。 评审标准量化内容： （1）各部分内容全面详细、阐述条理清晰详尽、符合本项目采购需求得8分； （2）评审标准细化内容每缺少一项扣2分； （3）评审标准细化内容内容缺失不得分，每有一处内容存在缺陷或不足的扣1分，该项分值扣完为止。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区间分值：0-5分。 评审标准细化及量化内容： 针对本项目的项目组织管理机构配备。 ①机构设置合理，人员配备齐全，技术经验丰富，完全满足项目需求得5分； ②机构设置较合理，人员配备较齐全，技术经验较丰富，基本满足项目需求得3分； ③机构设置、人员配备、技术经验较差，得1分；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区间分值：0-2分。 评审标准细化及量化内容： 根据供应商投入的施工机械配备和材料投入计划等进行评审。 ①施工机械配备合理并提供设备来源证明材料，投投入材料环保性达到国家标准得2分； ②施工机械配备和材料投入计划基本合理、可行，得1分； 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供应商提供2023年5月至今类似项目业绩，每提供一份得1分，最高得4分。 业绩证明（以合同签订时间为准，须附合同扫描件加盖单位公章）弄虚作假者，取消其成交资格。</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1.经初审合格的磋商响应文件，其磋商报价为有效磋商报价价，对其行价格评审。 2.满足磋商文件实质性要求且最终报价最低的供应商的价格为磋商基准价，其价格分为满分45分。 3.磋商报价得分=（磋商基准价/最终磋商报价）×45的公式计算得分。 4.磋商报价不完整的，不进入评标标准价的计算，本项得0分。 5.经磋商小组一致认定，供应商的磋商最终总报价低于公认市场成本，或超过采购预算,其响应将被拒绝。</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