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1DF9B">
      <w:pPr>
        <w:pStyle w:val="8"/>
        <w:keepNext w:val="0"/>
        <w:keepLines w:val="0"/>
        <w:pageBreakBefore w:val="0"/>
        <w:kinsoku/>
        <w:wordWrap/>
        <w:overflowPunct/>
        <w:topLinePunct w:val="0"/>
        <w:autoSpaceDE/>
        <w:autoSpaceDN/>
        <w:bidi w:val="0"/>
        <w:adjustRightInd/>
        <w:snapToGrid/>
        <w:spacing w:beforeAutospacing="0" w:afterAutospacing="0" w:line="240" w:lineRule="auto"/>
        <w:ind w:left="0" w:firstLine="0" w:firstLineChars="0"/>
        <w:jc w:val="center"/>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采购需求</w:t>
      </w:r>
    </w:p>
    <w:p w14:paraId="1FE9FCAA">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2" w:firstLineChars="200"/>
        <w:jc w:val="both"/>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一、项目概况</w:t>
      </w:r>
    </w:p>
    <w:p w14:paraId="4F259834">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工程内容：根据工程量清单对医院墙面、地面、顶面、门窗进行维修改造。</w:t>
      </w:r>
    </w:p>
    <w:p w14:paraId="21176A81">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2" w:firstLineChars="200"/>
        <w:jc w:val="both"/>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二、工程内容和施工地点、计划工期</w:t>
      </w:r>
    </w:p>
    <w:p w14:paraId="6EF631CE">
      <w:pPr>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工程内容：</w:t>
      </w:r>
      <w:r>
        <w:rPr>
          <w:rFonts w:hint="eastAsia" w:ascii="仿宋" w:hAnsi="仿宋" w:eastAsia="仿宋" w:cs="仿宋"/>
          <w:kern w:val="2"/>
          <w:sz w:val="24"/>
          <w:szCs w:val="24"/>
          <w:highlight w:val="none"/>
          <w:lang w:val="en-US" w:eastAsia="zh-CN" w:bidi="ar-SA"/>
        </w:rPr>
        <w:t>根据工程量清单对医院墙面、地面、顶面、门窗等进行维修更换。</w:t>
      </w:r>
    </w:p>
    <w:p w14:paraId="28E956EA">
      <w:pPr>
        <w:pStyle w:val="9"/>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工程地点：西安市第五医院。</w:t>
      </w:r>
    </w:p>
    <w:p w14:paraId="6B782E69">
      <w:pPr>
        <w:pStyle w:val="9"/>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计划工期：</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7"/>
        <w:gridCol w:w="3240"/>
        <w:gridCol w:w="1995"/>
        <w:gridCol w:w="2150"/>
      </w:tblGrid>
      <w:tr w14:paraId="1E48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10FD35DC">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b/>
                <w:sz w:val="24"/>
                <w:szCs w:val="24"/>
                <w:highlight w:val="none"/>
              </w:rPr>
              <w:t>序号</w:t>
            </w:r>
          </w:p>
        </w:tc>
        <w:tc>
          <w:tcPr>
            <w:tcW w:w="1900" w:type="pct"/>
            <w:vAlign w:val="center"/>
          </w:tcPr>
          <w:p w14:paraId="7948B23D">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b/>
                <w:sz w:val="24"/>
                <w:szCs w:val="24"/>
                <w:highlight w:val="none"/>
              </w:rPr>
              <w:t>工作内容</w:t>
            </w:r>
          </w:p>
        </w:tc>
        <w:tc>
          <w:tcPr>
            <w:tcW w:w="1170" w:type="pct"/>
            <w:vAlign w:val="center"/>
          </w:tcPr>
          <w:p w14:paraId="7C35782F">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b/>
                <w:sz w:val="24"/>
                <w:szCs w:val="24"/>
                <w:highlight w:val="none"/>
              </w:rPr>
              <w:t>计划工期（天）</w:t>
            </w:r>
          </w:p>
        </w:tc>
        <w:tc>
          <w:tcPr>
            <w:tcW w:w="1261" w:type="pct"/>
            <w:vAlign w:val="center"/>
          </w:tcPr>
          <w:p w14:paraId="0E280386">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default" w:ascii="仿宋" w:hAnsi="仿宋" w:eastAsia="仿宋" w:cs="仿宋"/>
                <w:sz w:val="24"/>
                <w:szCs w:val="24"/>
                <w:highlight w:val="none"/>
                <w:vertAlign w:val="baseline"/>
                <w:lang w:val="en-US" w:eastAsia="zh-CN"/>
              </w:rPr>
            </w:pPr>
            <w:r>
              <w:rPr>
                <w:rFonts w:hint="eastAsia" w:ascii="仿宋" w:hAnsi="仿宋" w:eastAsia="仿宋" w:cs="仿宋"/>
                <w:b/>
                <w:sz w:val="24"/>
                <w:szCs w:val="24"/>
                <w:highlight w:val="none"/>
              </w:rPr>
              <w:t>注意事项</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仅对工期约束起作用）</w:t>
            </w:r>
          </w:p>
        </w:tc>
      </w:tr>
      <w:tr w14:paraId="1966E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055C66A7">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900" w:type="pct"/>
            <w:vAlign w:val="center"/>
          </w:tcPr>
          <w:p w14:paraId="4DC389D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地砖、瓷片、微晶石、过门石</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踢脚线、自流平</w:t>
            </w:r>
            <w:r>
              <w:rPr>
                <w:rFonts w:hint="eastAsia" w:ascii="仿宋" w:hAnsi="仿宋" w:eastAsia="仿宋" w:cs="仿宋"/>
                <w:sz w:val="24"/>
                <w:szCs w:val="24"/>
                <w:highlight w:val="none"/>
              </w:rPr>
              <w:t>拆</w:t>
            </w:r>
            <w:r>
              <w:rPr>
                <w:rFonts w:hint="eastAsia" w:ascii="仿宋" w:hAnsi="仿宋" w:eastAsia="仿宋" w:cs="仿宋"/>
                <w:sz w:val="24"/>
                <w:szCs w:val="24"/>
                <w:highlight w:val="none"/>
                <w:lang w:val="en-US" w:eastAsia="zh-CN"/>
              </w:rPr>
              <w:t>除</w:t>
            </w:r>
          </w:p>
        </w:tc>
        <w:tc>
          <w:tcPr>
            <w:tcW w:w="1170" w:type="pct"/>
            <w:vAlign w:val="center"/>
          </w:tcPr>
          <w:p w14:paraId="744BF44C">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3天</w:t>
            </w:r>
          </w:p>
        </w:tc>
        <w:tc>
          <w:tcPr>
            <w:tcW w:w="1261" w:type="pct"/>
            <w:vAlign w:val="center"/>
          </w:tcPr>
          <w:p w14:paraId="7C0735A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7DB9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165DB91D">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900" w:type="pct"/>
            <w:vAlign w:val="center"/>
          </w:tcPr>
          <w:p w14:paraId="5B546DDA">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墙面、轻质隔墙、铝塑板墙面铲除、基层处理</w:t>
            </w:r>
          </w:p>
        </w:tc>
        <w:tc>
          <w:tcPr>
            <w:tcW w:w="1170" w:type="pct"/>
            <w:vAlign w:val="center"/>
          </w:tcPr>
          <w:p w14:paraId="24841A8C">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bookmarkStart w:id="0" w:name="_GoBack"/>
            <w:bookmarkEnd w:id="0"/>
            <w:r>
              <w:rPr>
                <w:rFonts w:hint="eastAsia" w:ascii="仿宋" w:hAnsi="仿宋" w:eastAsia="仿宋" w:cs="仿宋"/>
                <w:sz w:val="24"/>
                <w:szCs w:val="24"/>
                <w:highlight w:val="none"/>
                <w:vertAlign w:val="baseline"/>
                <w:lang w:val="en-US" w:eastAsia="zh-CN"/>
              </w:rPr>
              <w:t>5天</w:t>
            </w:r>
          </w:p>
        </w:tc>
        <w:tc>
          <w:tcPr>
            <w:tcW w:w="1261" w:type="pct"/>
            <w:vAlign w:val="center"/>
          </w:tcPr>
          <w:p w14:paraId="4A2BDBF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4F0D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17C9286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900" w:type="pct"/>
            <w:vAlign w:val="center"/>
          </w:tcPr>
          <w:p w14:paraId="5C510751">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门窗拆除</w:t>
            </w:r>
          </w:p>
        </w:tc>
        <w:tc>
          <w:tcPr>
            <w:tcW w:w="1170" w:type="pct"/>
            <w:vAlign w:val="center"/>
          </w:tcPr>
          <w:p w14:paraId="5A6E221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1天</w:t>
            </w:r>
          </w:p>
        </w:tc>
        <w:tc>
          <w:tcPr>
            <w:tcW w:w="1261" w:type="pct"/>
            <w:vAlign w:val="center"/>
          </w:tcPr>
          <w:p w14:paraId="1B267F77">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3F667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239958E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900" w:type="pct"/>
            <w:vAlign w:val="center"/>
          </w:tcPr>
          <w:p w14:paraId="415E864D">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铝扣板龙骨、石膏板龙骨及饰面拆除</w:t>
            </w:r>
          </w:p>
        </w:tc>
        <w:tc>
          <w:tcPr>
            <w:tcW w:w="1170" w:type="pct"/>
            <w:vAlign w:val="center"/>
          </w:tcPr>
          <w:p w14:paraId="78003C5A">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1天</w:t>
            </w:r>
          </w:p>
        </w:tc>
        <w:tc>
          <w:tcPr>
            <w:tcW w:w="1261" w:type="pct"/>
            <w:vAlign w:val="center"/>
          </w:tcPr>
          <w:p w14:paraId="6BAD4C76">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4E4C3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0E2F285B">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1900" w:type="pct"/>
            <w:vAlign w:val="center"/>
          </w:tcPr>
          <w:p w14:paraId="04B0C2B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拆除卫生间台面</w:t>
            </w:r>
          </w:p>
        </w:tc>
        <w:tc>
          <w:tcPr>
            <w:tcW w:w="1170" w:type="pct"/>
            <w:vAlign w:val="center"/>
          </w:tcPr>
          <w:p w14:paraId="1856BFCB">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1天</w:t>
            </w:r>
          </w:p>
        </w:tc>
        <w:tc>
          <w:tcPr>
            <w:tcW w:w="1261" w:type="pct"/>
            <w:vAlign w:val="center"/>
          </w:tcPr>
          <w:p w14:paraId="21E2DCA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5AA8E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0A6E24AB">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1900" w:type="pct"/>
            <w:vAlign w:val="center"/>
          </w:tcPr>
          <w:p w14:paraId="53D3ACF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混凝土路面拆除</w:t>
            </w:r>
          </w:p>
        </w:tc>
        <w:tc>
          <w:tcPr>
            <w:tcW w:w="1170" w:type="pct"/>
            <w:vAlign w:val="center"/>
          </w:tcPr>
          <w:p w14:paraId="4E7BA5FB">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3天</w:t>
            </w:r>
          </w:p>
        </w:tc>
        <w:tc>
          <w:tcPr>
            <w:tcW w:w="1261" w:type="pct"/>
            <w:vAlign w:val="center"/>
          </w:tcPr>
          <w:p w14:paraId="27B11E25">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7D75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10379B2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1900" w:type="pct"/>
            <w:vAlign w:val="center"/>
          </w:tcPr>
          <w:p w14:paraId="008F4807">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原有门窗拆除</w:t>
            </w:r>
          </w:p>
        </w:tc>
        <w:tc>
          <w:tcPr>
            <w:tcW w:w="1170" w:type="pct"/>
            <w:vAlign w:val="center"/>
          </w:tcPr>
          <w:p w14:paraId="22A88CA5">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1天</w:t>
            </w:r>
          </w:p>
        </w:tc>
        <w:tc>
          <w:tcPr>
            <w:tcW w:w="1261" w:type="pct"/>
            <w:vAlign w:val="center"/>
          </w:tcPr>
          <w:p w14:paraId="66F34F8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3B93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36090FAF">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1900" w:type="pct"/>
            <w:vAlign w:val="center"/>
          </w:tcPr>
          <w:p w14:paraId="67CC565B">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石膏板、</w:t>
            </w:r>
            <w:r>
              <w:rPr>
                <w:rFonts w:hint="eastAsia" w:ascii="仿宋" w:hAnsi="仿宋" w:eastAsia="仿宋" w:cs="仿宋"/>
                <w:sz w:val="24"/>
                <w:szCs w:val="24"/>
                <w:highlight w:val="none"/>
              </w:rPr>
              <w:t>铝扣板</w:t>
            </w:r>
            <w:r>
              <w:rPr>
                <w:rFonts w:hint="eastAsia" w:ascii="仿宋" w:hAnsi="仿宋" w:eastAsia="仿宋" w:cs="仿宋"/>
                <w:sz w:val="24"/>
                <w:szCs w:val="24"/>
                <w:highlight w:val="none"/>
                <w:lang w:val="en-US" w:eastAsia="zh-CN"/>
              </w:rPr>
              <w:t>吊顶</w:t>
            </w:r>
          </w:p>
        </w:tc>
        <w:tc>
          <w:tcPr>
            <w:tcW w:w="1170" w:type="pct"/>
            <w:vAlign w:val="center"/>
          </w:tcPr>
          <w:p w14:paraId="40D40908">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3天</w:t>
            </w:r>
          </w:p>
        </w:tc>
        <w:tc>
          <w:tcPr>
            <w:tcW w:w="1261" w:type="pct"/>
            <w:vAlign w:val="center"/>
          </w:tcPr>
          <w:p w14:paraId="616B8538">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557B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0AD5C0D2">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1900" w:type="pct"/>
            <w:vAlign w:val="center"/>
          </w:tcPr>
          <w:p w14:paraId="325CD47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墙面涂料、瓷砖、轻质隔墙、砖墙、墙面防火板铺贴新做</w:t>
            </w:r>
          </w:p>
        </w:tc>
        <w:tc>
          <w:tcPr>
            <w:tcW w:w="1170" w:type="pct"/>
            <w:vAlign w:val="center"/>
          </w:tcPr>
          <w:p w14:paraId="6DFCE8D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7天</w:t>
            </w:r>
          </w:p>
        </w:tc>
        <w:tc>
          <w:tcPr>
            <w:tcW w:w="1261" w:type="pct"/>
            <w:vAlign w:val="center"/>
          </w:tcPr>
          <w:p w14:paraId="0CD2953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748C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730B686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1900" w:type="pct"/>
            <w:vAlign w:val="center"/>
          </w:tcPr>
          <w:p w14:paraId="38E7BBF0">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玻化砖、防滑地砖、瓷片、微晶石、过门石、踢脚线铺设</w:t>
            </w:r>
          </w:p>
        </w:tc>
        <w:tc>
          <w:tcPr>
            <w:tcW w:w="1170" w:type="pct"/>
            <w:vAlign w:val="center"/>
          </w:tcPr>
          <w:p w14:paraId="768CDED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3天</w:t>
            </w:r>
          </w:p>
        </w:tc>
        <w:tc>
          <w:tcPr>
            <w:tcW w:w="1261" w:type="pct"/>
            <w:vAlign w:val="center"/>
          </w:tcPr>
          <w:p w14:paraId="5DA8F1DF">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393D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4F9C2E52">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1900" w:type="pct"/>
            <w:vAlign w:val="center"/>
          </w:tcPr>
          <w:p w14:paraId="6B0A2483">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塑胶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竹胶板地板</w:t>
            </w:r>
            <w:r>
              <w:rPr>
                <w:rFonts w:hint="eastAsia" w:ascii="仿宋" w:hAnsi="仿宋" w:eastAsia="仿宋" w:cs="仿宋"/>
                <w:sz w:val="24"/>
                <w:szCs w:val="24"/>
                <w:highlight w:val="none"/>
                <w:lang w:val="en-US" w:eastAsia="zh-CN"/>
              </w:rPr>
              <w:t>铺设</w:t>
            </w:r>
          </w:p>
        </w:tc>
        <w:tc>
          <w:tcPr>
            <w:tcW w:w="1170" w:type="pct"/>
            <w:vAlign w:val="center"/>
          </w:tcPr>
          <w:p w14:paraId="5513449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2天</w:t>
            </w:r>
          </w:p>
        </w:tc>
        <w:tc>
          <w:tcPr>
            <w:tcW w:w="1261" w:type="pct"/>
            <w:vAlign w:val="center"/>
          </w:tcPr>
          <w:p w14:paraId="474C55C5">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26EB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1BECFC98">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1900" w:type="pct"/>
            <w:vAlign w:val="center"/>
          </w:tcPr>
          <w:p w14:paraId="7701769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门窗框架安装、翻新、固定</w:t>
            </w:r>
          </w:p>
        </w:tc>
        <w:tc>
          <w:tcPr>
            <w:tcW w:w="1170" w:type="pct"/>
            <w:vAlign w:val="center"/>
          </w:tcPr>
          <w:p w14:paraId="12E49310">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15天</w:t>
            </w:r>
          </w:p>
        </w:tc>
        <w:tc>
          <w:tcPr>
            <w:tcW w:w="1261" w:type="pct"/>
            <w:vAlign w:val="center"/>
          </w:tcPr>
          <w:p w14:paraId="029CF20A">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6727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6EA34406">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c>
          <w:tcPr>
            <w:tcW w:w="1900" w:type="pct"/>
            <w:vAlign w:val="center"/>
          </w:tcPr>
          <w:p w14:paraId="06D8391D">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门窗扇及玻璃安装</w:t>
            </w:r>
          </w:p>
        </w:tc>
        <w:tc>
          <w:tcPr>
            <w:tcW w:w="1170" w:type="pct"/>
            <w:vAlign w:val="center"/>
          </w:tcPr>
          <w:p w14:paraId="42F60CF0">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15天</w:t>
            </w:r>
          </w:p>
        </w:tc>
        <w:tc>
          <w:tcPr>
            <w:tcW w:w="1261" w:type="pct"/>
            <w:vAlign w:val="center"/>
          </w:tcPr>
          <w:p w14:paraId="17EF69C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7248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2010E2C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14</w:t>
            </w:r>
          </w:p>
        </w:tc>
        <w:tc>
          <w:tcPr>
            <w:tcW w:w="1900" w:type="pct"/>
            <w:vAlign w:val="center"/>
          </w:tcPr>
          <w:p w14:paraId="05C588B8">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新装卫生间台面</w:t>
            </w:r>
          </w:p>
        </w:tc>
        <w:tc>
          <w:tcPr>
            <w:tcW w:w="1170" w:type="pct"/>
            <w:vAlign w:val="center"/>
          </w:tcPr>
          <w:p w14:paraId="688B6F51">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10天</w:t>
            </w:r>
          </w:p>
        </w:tc>
        <w:tc>
          <w:tcPr>
            <w:tcW w:w="1261" w:type="pct"/>
            <w:vAlign w:val="center"/>
          </w:tcPr>
          <w:p w14:paraId="587415DF">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6F14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337DAB67">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w:t>
            </w:r>
          </w:p>
        </w:tc>
        <w:tc>
          <w:tcPr>
            <w:tcW w:w="1900" w:type="pct"/>
            <w:vAlign w:val="center"/>
          </w:tcPr>
          <w:p w14:paraId="7E5C808E">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地基开挖</w:t>
            </w:r>
          </w:p>
        </w:tc>
        <w:tc>
          <w:tcPr>
            <w:tcW w:w="1170" w:type="pct"/>
            <w:vAlign w:val="center"/>
          </w:tcPr>
          <w:p w14:paraId="60952E18">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3天</w:t>
            </w:r>
          </w:p>
        </w:tc>
        <w:tc>
          <w:tcPr>
            <w:tcW w:w="1261" w:type="pct"/>
            <w:vAlign w:val="center"/>
          </w:tcPr>
          <w:p w14:paraId="1833903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35B96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2923CC54">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16</w:t>
            </w:r>
          </w:p>
        </w:tc>
        <w:tc>
          <w:tcPr>
            <w:tcW w:w="1900" w:type="pct"/>
            <w:vAlign w:val="center"/>
          </w:tcPr>
          <w:p w14:paraId="300A09BB">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水泥混凝土道路面层</w:t>
            </w:r>
          </w:p>
        </w:tc>
        <w:tc>
          <w:tcPr>
            <w:tcW w:w="1170" w:type="pct"/>
            <w:vAlign w:val="center"/>
          </w:tcPr>
          <w:p w14:paraId="72C14CD6">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7天</w:t>
            </w:r>
          </w:p>
        </w:tc>
        <w:tc>
          <w:tcPr>
            <w:tcW w:w="1261" w:type="pct"/>
            <w:vAlign w:val="center"/>
          </w:tcPr>
          <w:p w14:paraId="54558979">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r w14:paraId="0893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7" w:type="pct"/>
            <w:vAlign w:val="center"/>
          </w:tcPr>
          <w:p w14:paraId="62E507C1">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w:t>
            </w:r>
          </w:p>
        </w:tc>
        <w:tc>
          <w:tcPr>
            <w:tcW w:w="1900" w:type="pct"/>
            <w:vAlign w:val="center"/>
          </w:tcPr>
          <w:p w14:paraId="4A85A49F">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新装不锈钢玻璃隔断</w:t>
            </w:r>
          </w:p>
        </w:tc>
        <w:tc>
          <w:tcPr>
            <w:tcW w:w="1170" w:type="pct"/>
            <w:vAlign w:val="center"/>
          </w:tcPr>
          <w:p w14:paraId="54CE5C7D">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10天</w:t>
            </w:r>
          </w:p>
        </w:tc>
        <w:tc>
          <w:tcPr>
            <w:tcW w:w="1261" w:type="pct"/>
            <w:vAlign w:val="center"/>
          </w:tcPr>
          <w:p w14:paraId="2BA171EA">
            <w:pPr>
              <w:keepNext w:val="0"/>
              <w:keepLines w:val="0"/>
              <w:pageBreakBefore w:val="0"/>
              <w:kinsoku/>
              <w:wordWrap/>
              <w:overflowPunct/>
              <w:topLinePunct w:val="0"/>
              <w:autoSpaceDE/>
              <w:autoSpaceDN/>
              <w:bidi w:val="0"/>
              <w:adjustRightInd/>
              <w:snapToGrid/>
              <w:spacing w:beforeAutospacing="0" w:afterAutospacing="0" w:line="360" w:lineRule="auto"/>
              <w:ind w:left="0" w:firstLine="0" w:firstLineChars="0"/>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不大于</w:t>
            </w:r>
            <w:r>
              <w:rPr>
                <w:rFonts w:hint="eastAsia" w:ascii="仿宋" w:hAnsi="仿宋" w:eastAsia="仿宋" w:cs="仿宋"/>
                <w:sz w:val="24"/>
                <w:szCs w:val="24"/>
                <w:highlight w:val="none"/>
                <w:vertAlign w:val="baseline"/>
                <w:lang w:val="en-US" w:eastAsia="zh-CN"/>
              </w:rPr>
              <w:t>10平方</w:t>
            </w:r>
          </w:p>
        </w:tc>
      </w:tr>
    </w:tbl>
    <w:p w14:paraId="6A054DFB">
      <w:pPr>
        <w:pStyle w:val="9"/>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具体</w:t>
      </w:r>
      <w:r>
        <w:rPr>
          <w:rFonts w:hint="eastAsia" w:ascii="仿宋" w:hAnsi="仿宋" w:eastAsia="仿宋" w:cs="仿宋"/>
          <w:sz w:val="24"/>
          <w:szCs w:val="24"/>
          <w:highlight w:val="none"/>
        </w:rPr>
        <w:t>以</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开工报告为准。</w:t>
      </w:r>
    </w:p>
    <w:p w14:paraId="3E67CAE1">
      <w:pPr>
        <w:keepNext w:val="0"/>
        <w:keepLines w:val="0"/>
        <w:pageBreakBefore w:val="0"/>
        <w:kinsoku/>
        <w:wordWrap/>
        <w:overflowPunct/>
        <w:topLinePunct w:val="0"/>
        <w:autoSpaceDE/>
        <w:autoSpaceDN/>
        <w:bidi w:val="0"/>
        <w:adjustRightInd/>
        <w:snapToGrid/>
        <w:spacing w:beforeAutospacing="0" w:afterAutospacing="0" w:line="360" w:lineRule="auto"/>
        <w:ind w:left="0"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三、工程量清单和计价依据</w:t>
      </w:r>
    </w:p>
    <w:p w14:paraId="3061CF89">
      <w:pPr>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1.见工程量清单</w:t>
      </w:r>
      <w:r>
        <w:rPr>
          <w:rFonts w:hint="eastAsia" w:ascii="仿宋" w:hAnsi="仿宋" w:eastAsia="仿宋" w:cs="仿宋"/>
          <w:b/>
          <w:bCs/>
          <w:sz w:val="24"/>
          <w:szCs w:val="24"/>
          <w:highlight w:val="none"/>
          <w:lang w:eastAsia="zh-CN"/>
        </w:rPr>
        <w:t>（详见附件）</w:t>
      </w:r>
      <w:r>
        <w:rPr>
          <w:rFonts w:hint="eastAsia" w:ascii="仿宋" w:hAnsi="仿宋" w:eastAsia="仿宋" w:cs="仿宋"/>
          <w:b/>
          <w:bCs/>
          <w:sz w:val="24"/>
          <w:szCs w:val="24"/>
          <w:highlight w:val="none"/>
        </w:rPr>
        <w:t>。</w:t>
      </w:r>
    </w:p>
    <w:p w14:paraId="4F6BE3CF">
      <w:pPr>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2.最高限价</w:t>
      </w:r>
      <w:r>
        <w:rPr>
          <w:rFonts w:hint="eastAsia" w:ascii="仿宋" w:hAnsi="仿宋" w:eastAsia="仿宋" w:cs="仿宋"/>
          <w:sz w:val="24"/>
          <w:szCs w:val="24"/>
          <w:highlight w:val="none"/>
          <w:lang w:val="en-US" w:eastAsia="zh-CN"/>
        </w:rPr>
        <w:t>400000.00</w:t>
      </w:r>
      <w:r>
        <w:rPr>
          <w:rFonts w:hint="eastAsia" w:ascii="仿宋" w:hAnsi="仿宋" w:eastAsia="仿宋" w:cs="仿宋"/>
          <w:sz w:val="24"/>
          <w:szCs w:val="24"/>
          <w:highlight w:val="none"/>
        </w:rPr>
        <w:t>元（</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rPr>
        <w:t>设备及材料供应费、运杂费、安装费、人工费、检测费、调试费、验收、税费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拆除、垃圾清运、劳保统筹等费用）</w:t>
      </w:r>
    </w:p>
    <w:p w14:paraId="26E02037">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default" w:ascii="仿宋" w:hAnsi="仿宋" w:eastAsia="仿宋" w:cs="仿宋"/>
          <w:b w:val="0"/>
          <w:bCs/>
          <w:sz w:val="24"/>
          <w:szCs w:val="24"/>
          <w:highlight w:val="none"/>
          <w:lang w:val="en-US" w:eastAsia="zh-CN"/>
        </w:rPr>
      </w:pPr>
      <w:r>
        <w:rPr>
          <w:rFonts w:hint="eastAsia" w:ascii="仿宋" w:hAnsi="仿宋" w:eastAsia="仿宋" w:cs="仿宋"/>
          <w:sz w:val="24"/>
          <w:szCs w:val="24"/>
          <w:highlight w:val="none"/>
          <w:lang w:val="en-US" w:eastAsia="zh-CN"/>
        </w:rPr>
        <w:t>3.提供全院墙面地面维修改造工程报价清单。（最高限价见附件）</w:t>
      </w:r>
    </w:p>
    <w:p w14:paraId="7295861E">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2" w:firstLineChars="200"/>
        <w:jc w:val="both"/>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四、施工要求</w:t>
      </w:r>
    </w:p>
    <w:p w14:paraId="338AF7A5">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1、在施工期间，中标供应商必须注意院内人员安全，加强安全防护措施，并对施工人员进行安全教育。施工人员必须持证上岗。因采购人工作的特殊性，要求中标供应商在施工中做到封闭性施工。</w:t>
      </w:r>
    </w:p>
    <w:p w14:paraId="2952263A">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2、隐蔽工程在隐蔽前需进行分项验收，验收合格后乙方留存相关照片及资料。</w:t>
      </w:r>
    </w:p>
    <w:p w14:paraId="0EB1C3E0">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3、在施工期间，中标供应商必须注意院内人员安全，加强安全防护及警示措施，并对施工人员进行安全教育。施工人员必须持证上岗。因采购人工作的特殊性，要求中标供应商在施工中做到封闭性施工。</w:t>
      </w:r>
    </w:p>
    <w:p w14:paraId="5909D4F3">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4.材质要求:供应商投标时需提供市场中上等及以上档次材料附详细分项报价表(表中含名称、规格型号、品牌、产地等)，并经采购人认可方可施工。</w:t>
      </w:r>
    </w:p>
    <w:p w14:paraId="2AB6B13A">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工程所有材料质量必须符合国家标准和行业标准，并具有合格证或检验证:(2)所有进场材料须提供符合环保检测标准的相关证明文件，无法提供相关证月资料的可由采购人委托具备检测资质的第三方单位进行环保检测，产品检测不合格的，甲方有权要求供应商进行限期整改并报复检，检测及复检费用由供应商承担。进场材料检测合格后方可投入使用。</w:t>
      </w:r>
    </w:p>
    <w:p w14:paraId="28872E36">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2" w:firstLineChars="200"/>
        <w:jc w:val="both"/>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五、商务要求</w:t>
      </w:r>
    </w:p>
    <w:p w14:paraId="21E52565">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1、支付方式：银行转账</w:t>
      </w:r>
    </w:p>
    <w:p w14:paraId="7929D50F">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付款方式；当维修面积累计达到20平方米后，乙方报送竣工资料，配合甲方完成审核，审核完成一个月后且无质量问题，乙方开具发票，甲方收到发票后的10个工作日内，支付至审核总价款。</w:t>
      </w:r>
    </w:p>
    <w:p w14:paraId="44342AF3">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合同期满，乙方维修面积累计未达20平方米，乙方仍应报送竣工资料，配合甲方完成审核审定，审核审定完成一个月后且无质量问题，乙方开具发票，甲方收到发票后的10个工作日内，支付至审核审定的总价款。</w:t>
      </w:r>
    </w:p>
    <w:p w14:paraId="672F619F">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2、质量保证</w:t>
      </w:r>
    </w:p>
    <w:p w14:paraId="59B4358E">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乙方应保质保量按照甲方要求施工，工程完工后甲方按照国家相关技术规范要求进行验收。乙方若不按甲方要求施工的，甲方有权要求乙方停工，乙方应在甲方规定期限内进行整改，停工期间工期不顺延，由此产生的费用及损失，由乙方自行承担；乙方累计停工超过约定工期一半天数的，视为乙方根本违约，甲方有权单方解除合同，合同自书面解除通知送达乙方之日起解除，乙方除应赔偿由此给甲方造成的全部损失外，还应按照合同预算总价的30%承担违约金。</w:t>
      </w:r>
    </w:p>
    <w:p w14:paraId="2855DD79">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（二）乙方应妥善保护甲方提供的设备及现场放置的陈设、工程成品及甲供主材，如造成损失，乙方照价赔偿。</w:t>
      </w:r>
    </w:p>
    <w:p w14:paraId="016F548B">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（三）未经甲方书面同意，乙方擅自拆改原有建筑物的结构或设备管线，由此发生的损失或事故（包括罚款），由乙方负责并承担全部责任。</w:t>
      </w:r>
    </w:p>
    <w:p w14:paraId="1FF6C3FD">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3、质保期</w:t>
      </w:r>
    </w:p>
    <w:p w14:paraId="6289D51E">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自验收之日算起，按《建设工程质量管理条例》第三十二条规定：施工单位对施工中出现质量问题的建设工程或者竣工验收不合格的建设工程，应当负责返修且工期不顺延，由此产生的费用及造成的甲方全部损失，由乙方自行承担。</w:t>
      </w:r>
    </w:p>
    <w:p w14:paraId="0DBBF32D">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自验收合格之日起两年，根据成交单位响应文件，合同未约定质保事项以《房屋建筑工程质量保修办法》为准。</w:t>
      </w:r>
    </w:p>
    <w:p w14:paraId="42267AE4">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2" w:firstLineChars="200"/>
        <w:jc w:val="both"/>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六、其他</w:t>
      </w:r>
    </w:p>
    <w:p w14:paraId="7359AA8D">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1、质量验收标准或规范</w:t>
      </w:r>
    </w:p>
    <w:p w14:paraId="641C6F75">
      <w:pPr>
        <w:pStyle w:val="8"/>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现行的国家标准或国家行政部门颁布的法律法规、规章制度等。</w:t>
      </w:r>
    </w:p>
    <w:p w14:paraId="5252D197">
      <w:pPr>
        <w:keepNext w:val="0"/>
        <w:keepLines w:val="0"/>
        <w:pageBreakBefore w:val="0"/>
        <w:kinsoku/>
        <w:wordWrap/>
        <w:overflowPunct/>
        <w:topLinePunct w:val="0"/>
        <w:autoSpaceDE/>
        <w:autoSpaceDN/>
        <w:bidi w:val="0"/>
        <w:adjustRightInd/>
        <w:snapToGrid/>
        <w:spacing w:line="360" w:lineRule="auto"/>
        <w:ind w:firstLine="480" w:firstLineChars="200"/>
        <w:rPr>
          <w:sz w:val="24"/>
          <w:szCs w:val="24"/>
        </w:rPr>
      </w:pPr>
      <w:r>
        <w:rPr>
          <w:rFonts w:hint="eastAsia" w:ascii="仿宋" w:hAnsi="仿宋" w:eastAsia="仿宋" w:cs="仿宋"/>
          <w:sz w:val="24"/>
          <w:szCs w:val="24"/>
          <w:highlight w:val="none"/>
          <w:lang w:val="en-US" w:eastAsia="zh-CN"/>
        </w:rPr>
        <w:t xml:space="preserve">2.违约责任：详见合同。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31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line="640" w:lineRule="exact"/>
      <w:ind w:firstLine="585"/>
    </w:pPr>
    <w:rPr>
      <w:rFonts w:ascii="楷体_GB2312" w:eastAsia="楷体_GB2312"/>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null3"/>
    <w:hidden/>
    <w:qFormat/>
    <w:uiPriority w:val="0"/>
    <w:rPr>
      <w:rFonts w:hint="eastAsia" w:asciiTheme="minorHAnsi" w:hAnsiTheme="minorHAnsi" w:eastAsiaTheme="minorEastAsia" w:cstheme="minorBidi"/>
      <w:lang w:val="en-US" w:eastAsia="zh-Hans"/>
    </w:rPr>
  </w:style>
  <w:style w:type="paragraph" w:styleId="9">
    <w:name w:val="List Paragraph"/>
    <w:basedOn w:val="1"/>
    <w:autoRedefine/>
    <w:qFormat/>
    <w:uiPriority w:val="34"/>
    <w:pPr>
      <w:ind w:firstLine="420" w:firstLineChars="200"/>
    </w:pPr>
    <w:rPr>
      <w:rFonts w:asciiTheme="minorHAnsi" w:hAnsiTheme="minorHAnsi" w:eastAsiaTheme="minorEastAsia" w:cstheme="minorBid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2026-06-12T07:33:14Z</dcterms:created>
  <dc:creator>Administrator</dc:creator>
  <cp:lastModifiedBy>陕西笃信招标有限公司</cp:lastModifiedBy>
  <dcterms:modified xsi:type="dcterms:W3CDTF">2026-06-12T07:34:12Z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eyJoZGlkIjoiMDQ2MDNlZTM4OTI4OGI4NTI5MGU2MzhkNjI5Yzg0MGUiLCJ1c2VySWQiOiI5MTQ3Njg1NjkifQ==</vt:lpwstr>
  </property>
  <property fmtid="{D5CDD505-2E9C-101B-9397-08002B2CF9AE}" pid="4" name="ICV">
    <vt:lpwstr>7CD7701A76C340A0A12BB8410621F111_12</vt:lpwstr>
  </property>
</Properties>
</file>