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版本号：SZT2026-SN-SC-ZC-HW-0437.1B220260612001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数字媒体交互设计系统采购项目(三次)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SZT2026-SN-SC-ZC-HW-0437.1B2</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数字媒体交互设计系统采购项目(三次)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SZT2026-SN-SC-ZC-HW-0437.1B2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数字媒体交互设计系统采购项目(三次)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数字媒体交互设计系统采购项目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1、法定代表人授权书：非法定代表人参加投标的，须提供法定代表人委托授权书及被授权人身份证复印件，法定代表人参加投标时,只需提供法定代表人身份证复印件</w:t>
      </w:r>
    </w:p>
    <w:p>
      <w:pPr>
        <w:pStyle w:val="null3"/>
      </w:pPr>
      <w:r>
        <w:rPr>
          <w:rFonts w:ascii="仿宋_GB2312" w:hAnsi="仿宋_GB2312" w:cs="仿宋_GB2312" w:eastAsia="仿宋_GB2312"/>
        </w:rPr>
        <w:t>2、本项目不接受联合体谈判：非联合体谈判声明函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 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赵倩、李娜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 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2、本项目代理服务费按货物计取。3、代理费缴存账户：单位名称：陕西中技招标有限公司、开户银行：招商银行西安分行营业部、银行账号：129916812810001、转账时请备注：（项目编号后四位）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数字媒体交互设计系统采购项目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445,000.00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数字媒体交互设计系统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标的名称：数字媒体交互设计系统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sz w:val="19"/>
                    </w:rPr>
                    <w:t>序号</w:t>
                  </w:r>
                </w:p>
              </w:tc>
              <w:tc>
                <w:tcPr>
                  <w:tcW w:type="dxa" w:w="511"/>
                </w:tcPr>
                <w:p>
                  <w:pPr>
                    <w:pStyle w:val="null3"/>
                  </w:pPr>
                  <w:r>
                    <w:rPr>
                      <w:rFonts w:ascii="仿宋_GB2312" w:hAnsi="仿宋_GB2312" w:cs="仿宋_GB2312" w:eastAsia="仿宋_GB2312"/>
                      <w:sz w:val="19"/>
                    </w:rPr>
                    <w:t>产品名称</w:t>
                  </w:r>
                </w:p>
              </w:tc>
              <w:tc>
                <w:tcPr>
                  <w:tcW w:type="dxa" w:w="511"/>
                </w:tcPr>
                <w:p>
                  <w:pPr>
                    <w:pStyle w:val="null3"/>
                  </w:pPr>
                  <w:r>
                    <w:rPr>
                      <w:rFonts w:ascii="仿宋_GB2312" w:hAnsi="仿宋_GB2312" w:cs="仿宋_GB2312" w:eastAsia="仿宋_GB2312"/>
                      <w:sz w:val="19"/>
                    </w:rPr>
                    <w:t>技术标准</w:t>
                  </w:r>
                </w:p>
              </w:tc>
              <w:tc>
                <w:tcPr>
                  <w:tcW w:type="dxa" w:w="511"/>
                </w:tcPr>
                <w:p>
                  <w:pPr>
                    <w:pStyle w:val="null3"/>
                  </w:pPr>
                  <w:r>
                    <w:rPr>
                      <w:rFonts w:ascii="仿宋_GB2312" w:hAnsi="仿宋_GB2312" w:cs="仿宋_GB2312" w:eastAsia="仿宋_GB2312"/>
                      <w:sz w:val="19"/>
                    </w:rPr>
                    <w:t>配置要求</w:t>
                  </w:r>
                </w:p>
              </w:tc>
              <w:tc>
                <w:tcPr>
                  <w:tcW w:type="dxa" w:w="511"/>
                </w:tcPr>
                <w:p>
                  <w:pPr>
                    <w:pStyle w:val="null3"/>
                  </w:pPr>
                  <w:r>
                    <w:rPr>
                      <w:rFonts w:ascii="仿宋_GB2312" w:hAnsi="仿宋_GB2312" w:cs="仿宋_GB2312" w:eastAsia="仿宋_GB2312"/>
                      <w:sz w:val="19"/>
                    </w:rPr>
                    <w:t>数量</w:t>
                  </w:r>
                </w:p>
              </w:tc>
            </w:tr>
            <w:tr>
              <w:tc>
                <w:tcPr>
                  <w:tcW w:type="dxa" w:w="511"/>
                  <w:vMerge w:val="restart"/>
                </w:tcPr>
                <w:p>
                  <w:pPr>
                    <w:pStyle w:val="null3"/>
                  </w:pPr>
                  <w:r>
                    <w:rPr>
                      <w:rFonts w:ascii="仿宋_GB2312" w:hAnsi="仿宋_GB2312" w:cs="仿宋_GB2312" w:eastAsia="仿宋_GB2312"/>
                      <w:sz w:val="19"/>
                    </w:rPr>
                    <w:t>1</w:t>
                  </w:r>
                </w:p>
              </w:tc>
              <w:tc>
                <w:tcPr>
                  <w:tcW w:type="dxa" w:w="511"/>
                  <w:vMerge w:val="restart"/>
                </w:tcPr>
                <w:p>
                  <w:pPr>
                    <w:pStyle w:val="null3"/>
                  </w:pPr>
                  <w:r>
                    <w:rPr>
                      <w:rFonts w:ascii="仿宋_GB2312" w:hAnsi="仿宋_GB2312" w:cs="仿宋_GB2312" w:eastAsia="仿宋_GB2312"/>
                      <w:sz w:val="19"/>
                    </w:rPr>
                    <w:t>激光雷达体感交互系统</w:t>
                  </w:r>
                </w:p>
                <w:p>
                  <w:pPr>
                    <w:pStyle w:val="null3"/>
                  </w:pPr>
                  <w:r>
                    <w:rPr>
                      <w:rFonts w:ascii="仿宋_GB2312" w:hAnsi="仿宋_GB2312" w:cs="仿宋_GB2312" w:eastAsia="仿宋_GB2312"/>
                      <w:sz w:val="19"/>
                    </w:rPr>
                    <w:t>（核心产品）</w:t>
                  </w:r>
                </w:p>
              </w:tc>
              <w:tc>
                <w:tcPr>
                  <w:tcW w:type="dxa" w:w="511"/>
                </w:tcPr>
                <w:p>
                  <w:pPr>
                    <w:pStyle w:val="null3"/>
                  </w:pPr>
                  <w:r>
                    <w:rPr>
                      <w:rFonts w:ascii="仿宋_GB2312" w:hAnsi="仿宋_GB2312" w:cs="仿宋_GB2312" w:eastAsia="仿宋_GB2312"/>
                      <w:sz w:val="19"/>
                    </w:rPr>
                    <w:t>互动激光雷达</w:t>
                  </w:r>
                </w:p>
              </w:tc>
              <w:tc>
                <w:tcPr>
                  <w:tcW w:type="dxa" w:w="511"/>
                </w:tcPr>
                <w:p>
                  <w:pPr>
                    <w:pStyle w:val="null3"/>
                  </w:pPr>
                  <w:r>
                    <w:rPr>
                      <w:rFonts w:ascii="仿宋_GB2312" w:hAnsi="仿宋_GB2312" w:cs="仿宋_GB2312" w:eastAsia="仿宋_GB2312"/>
                      <w:sz w:val="19"/>
                    </w:rPr>
                    <w:t>★1、测量距离范围：0.06~10米</w:t>
                  </w:r>
                </w:p>
                <w:p>
                  <w:pPr>
                    <w:pStyle w:val="null3"/>
                  </w:pPr>
                  <w:r>
                    <w:rPr>
                      <w:rFonts w:ascii="仿宋_GB2312" w:hAnsi="仿宋_GB2312" w:cs="仿宋_GB2312" w:eastAsia="仿宋_GB2312"/>
                      <w:sz w:val="19"/>
                    </w:rPr>
                    <w:t>★2、测量角度：270度</w:t>
                  </w:r>
                </w:p>
                <w:p>
                  <w:pPr>
                    <w:pStyle w:val="null3"/>
                  </w:pPr>
                  <w:r>
                    <w:rPr>
                      <w:rFonts w:ascii="仿宋_GB2312" w:hAnsi="仿宋_GB2312" w:cs="仿宋_GB2312" w:eastAsia="仿宋_GB2312"/>
                      <w:sz w:val="19"/>
                    </w:rPr>
                    <w:t>★3、扫描时间：≤25ms，IP65防护等级，非接触式</w:t>
                  </w:r>
                </w:p>
              </w:tc>
              <w:tc>
                <w:tcPr>
                  <w:tcW w:type="dxa" w:w="511"/>
                </w:tcPr>
                <w:p>
                  <w:pPr>
                    <w:pStyle w:val="null3"/>
                  </w:pPr>
                  <w:r>
                    <w:rPr>
                      <w:rFonts w:ascii="仿宋_GB2312" w:hAnsi="仿宋_GB2312" w:cs="仿宋_GB2312" w:eastAsia="仿宋_GB2312"/>
                      <w:sz w:val="19"/>
                    </w:rPr>
                    <w:t>3</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sz w:val="19"/>
                    </w:rPr>
                    <w:t>激光雷达应用辅助软件</w:t>
                  </w:r>
                </w:p>
              </w:tc>
              <w:tc>
                <w:tcPr>
                  <w:tcW w:type="dxa" w:w="511"/>
                </w:tcPr>
                <w:p>
                  <w:pPr>
                    <w:pStyle w:val="null3"/>
                  </w:pPr>
                  <w:r>
                    <w:rPr>
                      <w:rFonts w:ascii="仿宋_GB2312" w:hAnsi="仿宋_GB2312" w:cs="仿宋_GB2312" w:eastAsia="仿宋_GB2312"/>
                      <w:sz w:val="19"/>
                    </w:rPr>
                    <w:t>★1、实现激光雷达与TouchDesigner、Unity、Unreal Engine等交互开发软件数据通信，支持多雷达拼接功能</w:t>
                  </w:r>
                </w:p>
                <w:p>
                  <w:pPr>
                    <w:pStyle w:val="null3"/>
                  </w:pPr>
                  <w:r>
                    <w:rPr>
                      <w:rFonts w:ascii="仿宋_GB2312" w:hAnsi="仿宋_GB2312" w:cs="仿宋_GB2312" w:eastAsia="仿宋_GB2312"/>
                      <w:sz w:val="19"/>
                    </w:rPr>
                    <w:t>★2、无需二次开发</w:t>
                  </w:r>
                </w:p>
              </w:tc>
              <w:tc>
                <w:tcPr>
                  <w:tcW w:type="dxa" w:w="511"/>
                </w:tcPr>
                <w:p>
                  <w:pPr>
                    <w:pStyle w:val="null3"/>
                  </w:pPr>
                  <w:r>
                    <w:rPr>
                      <w:rFonts w:ascii="仿宋_GB2312" w:hAnsi="仿宋_GB2312" w:cs="仿宋_GB2312" w:eastAsia="仿宋_GB2312"/>
                      <w:sz w:val="19"/>
                    </w:rPr>
                    <w:t>3</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sz w:val="19"/>
                    </w:rPr>
                    <w:t>数据处理工作站</w:t>
                  </w:r>
                </w:p>
              </w:tc>
              <w:tc>
                <w:tcPr>
                  <w:tcW w:type="dxa" w:w="511"/>
                </w:tcPr>
                <w:p>
                  <w:pPr>
                    <w:pStyle w:val="null3"/>
                  </w:pPr>
                  <w:r>
                    <w:rPr>
                      <w:rFonts w:ascii="仿宋_GB2312" w:hAnsi="仿宋_GB2312" w:cs="仿宋_GB2312" w:eastAsia="仿宋_GB2312"/>
                      <w:sz w:val="19"/>
                    </w:rPr>
                    <w:t>★1、CPU：≥32核/64线程/3.25GHz/256MB缓存/支持DDR5内存，显卡≥RTX5090 32GB*1张；</w:t>
                  </w:r>
                </w:p>
                <w:p>
                  <w:pPr>
                    <w:pStyle w:val="null3"/>
                  </w:pPr>
                  <w:r>
                    <w:rPr>
                      <w:rFonts w:ascii="仿宋_GB2312" w:hAnsi="仿宋_GB2312" w:cs="仿宋_GB2312" w:eastAsia="仿宋_GB2312"/>
                      <w:sz w:val="19"/>
                    </w:rPr>
                    <w:t>2、内存≥256G（32G*8）DDR5 ≥6000MHz，固态硬盘 ≥4TB SSD、顺序读取速度≥14900MB/s、顺序写入速度≥13800 MB/s，SATA硬盘≥ 16TB，有线键鼠，显示器：≥32 英寸，4K</w:t>
                  </w:r>
                </w:p>
              </w:tc>
              <w:tc>
                <w:tcPr>
                  <w:tcW w:type="dxa" w:w="511"/>
                </w:tcPr>
                <w:p>
                  <w:pPr>
                    <w:pStyle w:val="null3"/>
                  </w:pPr>
                  <w:r>
                    <w:rPr>
                      <w:rFonts w:ascii="仿宋_GB2312" w:hAnsi="仿宋_GB2312" w:cs="仿宋_GB2312" w:eastAsia="仿宋_GB2312"/>
                      <w:sz w:val="19"/>
                    </w:rPr>
                    <w:t>1</w:t>
                  </w:r>
                </w:p>
              </w:tc>
            </w:tr>
            <w:tr>
              <w:tc>
                <w:tcPr>
                  <w:tcW w:type="dxa" w:w="511"/>
                  <w:vMerge w:val="restart"/>
                </w:tcPr>
                <w:p>
                  <w:pPr>
                    <w:pStyle w:val="null3"/>
                  </w:pPr>
                  <w:r>
                    <w:rPr>
                      <w:rFonts w:ascii="仿宋_GB2312" w:hAnsi="仿宋_GB2312" w:cs="仿宋_GB2312" w:eastAsia="仿宋_GB2312"/>
                      <w:sz w:val="19"/>
                    </w:rPr>
                    <w:t>2</w:t>
                  </w:r>
                </w:p>
              </w:tc>
              <w:tc>
                <w:tcPr>
                  <w:tcW w:type="dxa" w:w="511"/>
                  <w:vMerge w:val="restart"/>
                </w:tcPr>
                <w:p>
                  <w:pPr>
                    <w:pStyle w:val="null3"/>
                  </w:pPr>
                  <w:r>
                    <w:rPr>
                      <w:rFonts w:ascii="仿宋_GB2312" w:hAnsi="仿宋_GB2312" w:cs="仿宋_GB2312" w:eastAsia="仿宋_GB2312"/>
                      <w:sz w:val="19"/>
                    </w:rPr>
                    <w:t>手势识别交互系统</w:t>
                  </w:r>
                </w:p>
              </w:tc>
              <w:tc>
                <w:tcPr>
                  <w:tcW w:type="dxa" w:w="511"/>
                </w:tcPr>
                <w:p>
                  <w:pPr>
                    <w:pStyle w:val="null3"/>
                  </w:pPr>
                  <w:r>
                    <w:rPr>
                      <w:rFonts w:ascii="仿宋_GB2312" w:hAnsi="仿宋_GB2312" w:cs="仿宋_GB2312" w:eastAsia="仿宋_GB2312"/>
                      <w:sz w:val="19"/>
                    </w:rPr>
                    <w:t>手势交互传感器</w:t>
                  </w:r>
                </w:p>
              </w:tc>
              <w:tc>
                <w:tcPr>
                  <w:tcW w:type="dxa" w:w="511"/>
                </w:tcPr>
                <w:p>
                  <w:pPr>
                    <w:pStyle w:val="null3"/>
                  </w:pPr>
                  <w:r>
                    <w:rPr>
                      <w:rFonts w:ascii="仿宋_GB2312" w:hAnsi="仿宋_GB2312" w:cs="仿宋_GB2312" w:eastAsia="仿宋_GB2312"/>
                      <w:sz w:val="19"/>
                    </w:rPr>
                    <w:t>1、识别范围：≤1米，操控视角：≥160*160度，帧率：≤150fps</w:t>
                  </w:r>
                </w:p>
                <w:p>
                  <w:pPr>
                    <w:pStyle w:val="null3"/>
                  </w:pPr>
                  <w:r>
                    <w:rPr>
                      <w:rFonts w:ascii="仿宋_GB2312" w:hAnsi="仿宋_GB2312" w:cs="仿宋_GB2312" w:eastAsia="仿宋_GB2312"/>
                      <w:sz w:val="19"/>
                    </w:rPr>
                    <w:t>★ 2、与TouchDesigner、Unity、Unreal Engine软件直接兼容调用</w:t>
                  </w:r>
                </w:p>
              </w:tc>
              <w:tc>
                <w:tcPr>
                  <w:tcW w:type="dxa" w:w="511"/>
                </w:tcPr>
                <w:p>
                  <w:pPr>
                    <w:pStyle w:val="null3"/>
                  </w:pPr>
                  <w:r>
                    <w:rPr>
                      <w:rFonts w:ascii="仿宋_GB2312" w:hAnsi="仿宋_GB2312" w:cs="仿宋_GB2312" w:eastAsia="仿宋_GB2312"/>
                      <w:sz w:val="19"/>
                    </w:rPr>
                    <w:t>3</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sz w:val="19"/>
                    </w:rPr>
                    <w:t>数据处理工作站</w:t>
                  </w:r>
                </w:p>
              </w:tc>
              <w:tc>
                <w:tcPr>
                  <w:tcW w:type="dxa" w:w="511"/>
                </w:tcPr>
                <w:p>
                  <w:pPr>
                    <w:pStyle w:val="null3"/>
                  </w:pPr>
                  <w:r>
                    <w:rPr>
                      <w:rFonts w:ascii="仿宋_GB2312" w:hAnsi="仿宋_GB2312" w:cs="仿宋_GB2312" w:eastAsia="仿宋_GB2312"/>
                      <w:sz w:val="19"/>
                    </w:rPr>
                    <w:t>★1、CPU：≥32核/64线程/3.25GHz/256MB缓存/支持DDR5内存，显卡≥RTX5090 32GB*1张；</w:t>
                  </w:r>
                </w:p>
                <w:p>
                  <w:pPr>
                    <w:pStyle w:val="null3"/>
                  </w:pPr>
                  <w:r>
                    <w:rPr>
                      <w:rFonts w:ascii="仿宋_GB2312" w:hAnsi="仿宋_GB2312" w:cs="仿宋_GB2312" w:eastAsia="仿宋_GB2312"/>
                      <w:sz w:val="19"/>
                    </w:rPr>
                    <w:t>2、内存≥256G（32G*8）DDR5 ≥6000MHz，固态硬盘 ≥4TB SSD、顺序读取速度≥14900MB/s、顺序写入速度≥13800 MB/s，SATA硬盘≥ 16TB，有线键鼠，显示器：≥32 英寸，4K</w:t>
                  </w:r>
                </w:p>
              </w:tc>
              <w:tc>
                <w:tcPr>
                  <w:tcW w:type="dxa" w:w="511"/>
                </w:tcPr>
                <w:p>
                  <w:pPr>
                    <w:pStyle w:val="null3"/>
                  </w:pPr>
                  <w:r>
                    <w:rPr>
                      <w:rFonts w:ascii="仿宋_GB2312" w:hAnsi="仿宋_GB2312" w:cs="仿宋_GB2312" w:eastAsia="仿宋_GB2312"/>
                      <w:sz w:val="19"/>
                    </w:rPr>
                    <w:t>1</w:t>
                  </w:r>
                </w:p>
              </w:tc>
            </w:tr>
            <w:tr>
              <w:tc>
                <w:tcPr>
                  <w:tcW w:type="dxa" w:w="511"/>
                  <w:vMerge w:val="restart"/>
                </w:tcPr>
                <w:p>
                  <w:pPr>
                    <w:pStyle w:val="null3"/>
                  </w:pPr>
                  <w:r>
                    <w:rPr>
                      <w:rFonts w:ascii="仿宋_GB2312" w:hAnsi="仿宋_GB2312" w:cs="仿宋_GB2312" w:eastAsia="仿宋_GB2312"/>
                      <w:sz w:val="19"/>
                    </w:rPr>
                    <w:t>3</w:t>
                  </w:r>
                </w:p>
              </w:tc>
              <w:tc>
                <w:tcPr>
                  <w:tcW w:type="dxa" w:w="511"/>
                  <w:vMerge w:val="restart"/>
                </w:tcPr>
                <w:p>
                  <w:pPr>
                    <w:pStyle w:val="null3"/>
                  </w:pPr>
                  <w:r>
                    <w:rPr>
                      <w:rFonts w:ascii="仿宋_GB2312" w:hAnsi="仿宋_GB2312" w:cs="仿宋_GB2312" w:eastAsia="仿宋_GB2312"/>
                      <w:sz w:val="19"/>
                    </w:rPr>
                    <w:t>深度相机翻转体感交互系统</w:t>
                  </w:r>
                </w:p>
              </w:tc>
              <w:tc>
                <w:tcPr>
                  <w:tcW w:type="dxa" w:w="511"/>
                </w:tcPr>
                <w:p>
                  <w:pPr>
                    <w:pStyle w:val="null3"/>
                  </w:pPr>
                  <w:r>
                    <w:rPr>
                      <w:rFonts w:ascii="仿宋_GB2312" w:hAnsi="仿宋_GB2312" w:cs="仿宋_GB2312" w:eastAsia="仿宋_GB2312"/>
                      <w:sz w:val="19"/>
                    </w:rPr>
                    <w:t>体感交互传感器（深度相机）</w:t>
                  </w:r>
                </w:p>
              </w:tc>
              <w:tc>
                <w:tcPr>
                  <w:tcW w:type="dxa" w:w="511"/>
                </w:tcPr>
                <w:p>
                  <w:pPr>
                    <w:pStyle w:val="null3"/>
                  </w:pPr>
                  <w:r>
                    <w:rPr>
                      <w:rFonts w:ascii="仿宋_GB2312" w:hAnsi="仿宋_GB2312" w:cs="仿宋_GB2312" w:eastAsia="仿宋_GB2312"/>
                      <w:sz w:val="19"/>
                    </w:rPr>
                    <w:t>1.深度测量范围:NFOVunbinned：0.5m–3.86m、NFOV binned：0.5m–5.46m、WFOV unbinned：0.25m–2.88m、WFOV binned：0.25m–2.21m，</w:t>
                  </w:r>
                </w:p>
                <w:p>
                  <w:pPr>
                    <w:pStyle w:val="null3"/>
                  </w:pPr>
                  <w:r>
                    <w:rPr>
                      <w:rFonts w:ascii="仿宋_GB2312" w:hAnsi="仿宋_GB2312" w:cs="仿宋_GB2312" w:eastAsia="仿宋_GB2312"/>
                      <w:sz w:val="19"/>
                    </w:rPr>
                    <w:t>2.深度图像分辨率@帧率：NFoVunbinned：640x576@5/15/25/30fpsNFoV binned：320x288@5/15/25/30fps、WFoVunbinned：1024x1024@5/15fpsWFoVbinned：512 x 512@5/15/25/30，深度 FOV：NFoV   unbinned &amp; binned：H 75° V 65°、WFoV unbinned &amp; binned：H 120° V 120°，</w:t>
                  </w:r>
                </w:p>
                <w:p>
                  <w:pPr>
                    <w:pStyle w:val="null3"/>
                  </w:pPr>
                  <w:r>
                    <w:rPr>
                      <w:rFonts w:ascii="仿宋_GB2312" w:hAnsi="仿宋_GB2312" w:cs="仿宋_GB2312" w:eastAsia="仿宋_GB2312"/>
                      <w:sz w:val="19"/>
                    </w:rPr>
                    <w:t>3.彩色图像分辨率@ 帧率：3840   x 2160@5/15fps；2560x1440@5/15/25fps、1920x1080@5/15/25/30fps；1280x720@5/15/25/30fps、1280   x 960@5/15/25/30fps，彩色图像FOV：H80°V51°D89°±2°</w:t>
                  </w:r>
                </w:p>
                <w:p>
                  <w:pPr>
                    <w:pStyle w:val="null3"/>
                  </w:pPr>
                  <w:r>
                    <w:rPr>
                      <w:rFonts w:ascii="仿宋_GB2312" w:hAnsi="仿宋_GB2312" w:cs="仿宋_GB2312" w:eastAsia="仿宋_GB2312"/>
                      <w:sz w:val="19"/>
                    </w:rPr>
                    <w:t>★4、与TouchDesigner、Unity、Unreal Engine软件直接兼容调用</w:t>
                  </w:r>
                </w:p>
              </w:tc>
              <w:tc>
                <w:tcPr>
                  <w:tcW w:type="dxa" w:w="511"/>
                </w:tcPr>
                <w:p>
                  <w:pPr>
                    <w:pStyle w:val="null3"/>
                  </w:pPr>
                  <w:r>
                    <w:rPr>
                      <w:rFonts w:ascii="仿宋_GB2312" w:hAnsi="仿宋_GB2312" w:cs="仿宋_GB2312" w:eastAsia="仿宋_GB2312"/>
                      <w:sz w:val="19"/>
                    </w:rPr>
                    <w:t>4</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sz w:val="19"/>
                    </w:rPr>
                    <w:t>体感交互传感器多机同步辅助套件</w:t>
                  </w:r>
                </w:p>
              </w:tc>
              <w:tc>
                <w:tcPr>
                  <w:tcW w:type="dxa" w:w="511"/>
                </w:tcPr>
                <w:p>
                  <w:pPr>
                    <w:pStyle w:val="null3"/>
                  </w:pPr>
                  <w:r>
                    <w:rPr>
                      <w:rFonts w:ascii="仿宋_GB2312" w:hAnsi="仿宋_GB2312" w:cs="仿宋_GB2312" w:eastAsia="仿宋_GB2312"/>
                      <w:sz w:val="19"/>
                    </w:rPr>
                    <w:t>专业版多机同步器,含转接线、网线</w:t>
                  </w:r>
                </w:p>
              </w:tc>
              <w:tc>
                <w:tcPr>
                  <w:tcW w:type="dxa" w:w="511"/>
                </w:tcPr>
                <w:p>
                  <w:pPr>
                    <w:pStyle w:val="null3"/>
                  </w:pPr>
                  <w:r>
                    <w:rPr>
                      <w:rFonts w:ascii="仿宋_GB2312" w:hAnsi="仿宋_GB2312" w:cs="仿宋_GB2312" w:eastAsia="仿宋_GB2312"/>
                      <w:sz w:val="19"/>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sz w:val="19"/>
                    </w:rPr>
                    <w:t>数据处理工作站</w:t>
                  </w:r>
                </w:p>
              </w:tc>
              <w:tc>
                <w:tcPr>
                  <w:tcW w:type="dxa" w:w="511"/>
                </w:tcPr>
                <w:p>
                  <w:pPr>
                    <w:pStyle w:val="null3"/>
                  </w:pPr>
                  <w:r>
                    <w:rPr>
                      <w:rFonts w:ascii="仿宋_GB2312" w:hAnsi="仿宋_GB2312" w:cs="仿宋_GB2312" w:eastAsia="仿宋_GB2312"/>
                      <w:sz w:val="19"/>
                    </w:rPr>
                    <w:t>★1、CPU：≥32核/64线程/3.25GHz/256MB缓存/支持DDR5内存，显卡≥RTX5090 32GB*1张；</w:t>
                  </w:r>
                </w:p>
                <w:p>
                  <w:pPr>
                    <w:pStyle w:val="null3"/>
                  </w:pPr>
                  <w:r>
                    <w:rPr>
                      <w:rFonts w:ascii="仿宋_GB2312" w:hAnsi="仿宋_GB2312" w:cs="仿宋_GB2312" w:eastAsia="仿宋_GB2312"/>
                      <w:sz w:val="19"/>
                    </w:rPr>
                    <w:t>2、内存≥256G（32G*8）DDR5 ≥6000MHz，固态硬盘 ≥4TB SSD、顺序读取速度≥14900MB/s、顺序写入速度≥13800 MB/s，SATA硬盘≥ 16TB，有线键鼠，显示器：≥32 英寸，4K</w:t>
                  </w:r>
                </w:p>
              </w:tc>
              <w:tc>
                <w:tcPr>
                  <w:tcW w:type="dxa" w:w="511"/>
                </w:tcPr>
                <w:p>
                  <w:pPr>
                    <w:pStyle w:val="null3"/>
                  </w:pPr>
                  <w:r>
                    <w:rPr>
                      <w:rFonts w:ascii="仿宋_GB2312" w:hAnsi="仿宋_GB2312" w:cs="仿宋_GB2312" w:eastAsia="仿宋_GB2312"/>
                      <w:sz w:val="19"/>
                    </w:rPr>
                    <w:t>1</w:t>
                  </w:r>
                </w:p>
              </w:tc>
            </w:tr>
            <w:tr>
              <w:tc>
                <w:tcPr>
                  <w:tcW w:type="dxa" w:w="511"/>
                  <w:vMerge w:val="restart"/>
                </w:tcPr>
                <w:p>
                  <w:pPr>
                    <w:pStyle w:val="null3"/>
                  </w:pPr>
                  <w:r>
                    <w:rPr>
                      <w:rFonts w:ascii="仿宋_GB2312" w:hAnsi="仿宋_GB2312" w:cs="仿宋_GB2312" w:eastAsia="仿宋_GB2312"/>
                      <w:sz w:val="19"/>
                    </w:rPr>
                    <w:t>4</w:t>
                  </w:r>
                </w:p>
                <w:p>
                  <w:pPr>
                    <w:pStyle w:val="null3"/>
                  </w:pPr>
                  <w:r>
                    <w:rPr>
                      <w:rFonts w:ascii="仿宋_GB2312" w:hAnsi="仿宋_GB2312" w:cs="仿宋_GB2312" w:eastAsia="仿宋_GB2312"/>
                      <w:sz w:val="19"/>
                    </w:rPr>
                    <w:t xml:space="preserve"> </w:t>
                  </w:r>
                </w:p>
              </w:tc>
              <w:tc>
                <w:tcPr>
                  <w:tcW w:type="dxa" w:w="511"/>
                  <w:vMerge w:val="restart"/>
                </w:tcPr>
                <w:p>
                  <w:pPr>
                    <w:pStyle w:val="null3"/>
                  </w:pPr>
                  <w:r>
                    <w:rPr>
                      <w:rFonts w:ascii="仿宋_GB2312" w:hAnsi="仿宋_GB2312" w:cs="仿宋_GB2312" w:eastAsia="仿宋_GB2312"/>
                      <w:sz w:val="19"/>
                    </w:rPr>
                    <w:t>新媒体艺术内容绘制系统</w:t>
                  </w:r>
                </w:p>
                <w:p>
                  <w:pPr>
                    <w:pStyle w:val="null3"/>
                  </w:pPr>
                  <w:r>
                    <w:rPr>
                      <w:rFonts w:ascii="仿宋_GB2312" w:hAnsi="仿宋_GB2312" w:cs="仿宋_GB2312" w:eastAsia="仿宋_GB2312"/>
                      <w:sz w:val="19"/>
                    </w:rPr>
                    <w:t xml:space="preserve"> </w:t>
                  </w:r>
                </w:p>
              </w:tc>
              <w:tc>
                <w:tcPr>
                  <w:tcW w:type="dxa" w:w="511"/>
                </w:tcPr>
                <w:p>
                  <w:pPr>
                    <w:pStyle w:val="null3"/>
                  </w:pPr>
                  <w:r>
                    <w:rPr>
                      <w:rFonts w:ascii="仿宋_GB2312" w:hAnsi="仿宋_GB2312" w:cs="仿宋_GB2312" w:eastAsia="仿宋_GB2312"/>
                      <w:sz w:val="19"/>
                    </w:rPr>
                    <w:t>图像输入绘图数位触摸屏</w:t>
                  </w:r>
                </w:p>
              </w:tc>
              <w:tc>
                <w:tcPr>
                  <w:tcW w:type="dxa" w:w="511"/>
                </w:tcPr>
                <w:p>
                  <w:pPr>
                    <w:pStyle w:val="null3"/>
                  </w:pPr>
                  <w:r>
                    <w:rPr>
                      <w:rFonts w:ascii="仿宋_GB2312" w:hAnsi="仿宋_GB2312" w:cs="仿宋_GB2312" w:eastAsia="仿宋_GB2312"/>
                      <w:sz w:val="19"/>
                    </w:rPr>
                    <w:t>27寸4K120HZ，99%AdobeRGB/98% DCI-P3色域覆盖，配备可调节支架</w:t>
                  </w:r>
                </w:p>
              </w:tc>
              <w:tc>
                <w:tcPr>
                  <w:tcW w:type="dxa" w:w="511"/>
                </w:tcPr>
                <w:p>
                  <w:pPr>
                    <w:pStyle w:val="null3"/>
                  </w:pPr>
                  <w:r>
                    <w:rPr>
                      <w:rFonts w:ascii="仿宋_GB2312" w:hAnsi="仿宋_GB2312" w:cs="仿宋_GB2312" w:eastAsia="仿宋_GB2312"/>
                      <w:sz w:val="19"/>
                    </w:rPr>
                    <w:t>2</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sz w:val="19"/>
                    </w:rPr>
                    <w:t>图形工作站</w:t>
                  </w:r>
                </w:p>
              </w:tc>
              <w:tc>
                <w:tcPr>
                  <w:tcW w:type="dxa" w:w="511"/>
                </w:tcPr>
                <w:p>
                  <w:pPr>
                    <w:pStyle w:val="null3"/>
                  </w:pPr>
                  <w:r>
                    <w:rPr>
                      <w:rFonts w:ascii="仿宋_GB2312" w:hAnsi="仿宋_GB2312" w:cs="仿宋_GB2312" w:eastAsia="仿宋_GB2312"/>
                      <w:sz w:val="19"/>
                    </w:rPr>
                    <w:t>★1、CPU：≥32核/64线程/3.25GHz/256MB缓存/支持DDR5内存，显卡≥RTX5090 32GB*1张；</w:t>
                  </w:r>
                </w:p>
                <w:p>
                  <w:pPr>
                    <w:pStyle w:val="null3"/>
                  </w:pPr>
                  <w:r>
                    <w:rPr>
                      <w:rFonts w:ascii="仿宋_GB2312" w:hAnsi="仿宋_GB2312" w:cs="仿宋_GB2312" w:eastAsia="仿宋_GB2312"/>
                      <w:sz w:val="19"/>
                    </w:rPr>
                    <w:t>2、内存≥256G（32G*8）DDR5 ≥6000MHz，固态硬盘 ≥4TB SSD、顺序读取速度≥14900MB/s、顺序写入速度≥13800 MB/s，SATA硬盘≥ 16TB，有线键鼠，显示器：≥32 英寸，4K</w:t>
                  </w:r>
                </w:p>
              </w:tc>
              <w:tc>
                <w:tcPr>
                  <w:tcW w:type="dxa" w:w="511"/>
                </w:tcPr>
                <w:p>
                  <w:pPr>
                    <w:pStyle w:val="null3"/>
                  </w:pPr>
                  <w:r>
                    <w:rPr>
                      <w:rFonts w:ascii="仿宋_GB2312" w:hAnsi="仿宋_GB2312" w:cs="仿宋_GB2312" w:eastAsia="仿宋_GB2312"/>
                      <w:sz w:val="19"/>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sz w:val="19"/>
                    </w:rPr>
                    <w:t>新媒体艺术监听音箱</w:t>
                  </w:r>
                </w:p>
              </w:tc>
              <w:tc>
                <w:tcPr>
                  <w:tcW w:type="dxa" w:w="511"/>
                </w:tcPr>
                <w:p>
                  <w:pPr>
                    <w:pStyle w:val="null3"/>
                  </w:pPr>
                  <w:r>
                    <w:rPr>
                      <w:rFonts w:ascii="仿宋_GB2312" w:hAnsi="仿宋_GB2312" w:cs="仿宋_GB2312" w:eastAsia="仿宋_GB2312"/>
                      <w:sz w:val="19"/>
                    </w:rPr>
                    <w:t>1.有源三分频监听音箱</w:t>
                  </w:r>
                </w:p>
                <w:p>
                  <w:pPr>
                    <w:pStyle w:val="null3"/>
                  </w:pPr>
                  <w:r>
                    <w:rPr>
                      <w:rFonts w:ascii="仿宋_GB2312" w:hAnsi="仿宋_GB2312" w:cs="仿宋_GB2312" w:eastAsia="仿宋_GB2312"/>
                      <w:sz w:val="19"/>
                    </w:rPr>
                    <w:t>2.调节方式：旋钮</w:t>
                  </w:r>
                </w:p>
                <w:p>
                  <w:pPr>
                    <w:pStyle w:val="null3"/>
                  </w:pPr>
                  <w:r>
                    <w:rPr>
                      <w:rFonts w:ascii="仿宋_GB2312" w:hAnsi="仿宋_GB2312" w:cs="仿宋_GB2312" w:eastAsia="仿宋_GB2312"/>
                      <w:sz w:val="19"/>
                    </w:rPr>
                    <w:t>3、音源输入：AES/EBU数字音频接口</w:t>
                  </w:r>
                </w:p>
                <w:p>
                  <w:pPr>
                    <w:pStyle w:val="null3"/>
                  </w:pPr>
                  <w:r>
                    <w:rPr>
                      <w:rFonts w:ascii="仿宋_GB2312" w:hAnsi="仿宋_GB2312" w:cs="仿宋_GB2312" w:eastAsia="仿宋_GB2312"/>
                      <w:sz w:val="19"/>
                    </w:rPr>
                    <w:t>技术参数：</w:t>
                  </w:r>
                </w:p>
                <w:p>
                  <w:pPr>
                    <w:pStyle w:val="null3"/>
                  </w:pPr>
                  <w:r>
                    <w:rPr>
                      <w:rFonts w:ascii="仿宋_GB2312" w:hAnsi="仿宋_GB2312" w:cs="仿宋_GB2312" w:eastAsia="仿宋_GB2312"/>
                      <w:sz w:val="19"/>
                    </w:rPr>
                    <w:t>★4、输出功率：≥250.000w</w:t>
                  </w:r>
                </w:p>
                <w:p>
                  <w:pPr>
                    <w:pStyle w:val="null3"/>
                  </w:pPr>
                  <w:r>
                    <w:rPr>
                      <w:rFonts w:ascii="仿宋_GB2312" w:hAnsi="仿宋_GB2312" w:cs="仿宋_GB2312" w:eastAsia="仿宋_GB2312"/>
                      <w:sz w:val="19"/>
                    </w:rPr>
                    <w:t>★5、频率响应：≥38Hz-37KHz</w:t>
                  </w:r>
                </w:p>
                <w:p>
                  <w:pPr>
                    <w:pStyle w:val="null3"/>
                  </w:pPr>
                  <w:r>
                    <w:rPr>
                      <w:rFonts w:ascii="仿宋_GB2312" w:hAnsi="仿宋_GB2312" w:cs="仿宋_GB2312" w:eastAsia="仿宋_GB2312"/>
                      <w:sz w:val="19"/>
                    </w:rPr>
                    <w:t>6、单元规格：≥2x6.5英寸（低音）+3.5英寸（中音）</w:t>
                  </w:r>
                </w:p>
                <w:p>
                  <w:pPr>
                    <w:pStyle w:val="null3"/>
                  </w:pPr>
                  <w:r>
                    <w:rPr>
                      <w:rFonts w:ascii="仿宋_GB2312" w:hAnsi="仿宋_GB2312" w:cs="仿宋_GB2312" w:eastAsia="仿宋_GB2312"/>
                      <w:sz w:val="19"/>
                    </w:rPr>
                    <w:t>7、内置DSP数字信号处理</w:t>
                  </w:r>
                </w:p>
                <w:p>
                  <w:pPr>
                    <w:pStyle w:val="null3"/>
                  </w:pPr>
                  <w:r>
                    <w:rPr>
                      <w:rFonts w:ascii="仿宋_GB2312" w:hAnsi="仿宋_GB2312" w:cs="仿宋_GB2312" w:eastAsia="仿宋_GB2312"/>
                      <w:sz w:val="19"/>
                    </w:rPr>
                    <w:t>8、14个控制开关</w:t>
                  </w:r>
                </w:p>
                <w:p>
                  <w:pPr>
                    <w:pStyle w:val="null3"/>
                  </w:pPr>
                  <w:r>
                    <w:rPr>
                      <w:rFonts w:ascii="仿宋_GB2312" w:hAnsi="仿宋_GB2312" w:cs="仿宋_GB2312" w:eastAsia="仿宋_GB2312"/>
                      <w:sz w:val="19"/>
                    </w:rPr>
                    <w:t>9、内置SAM自动调音技术</w:t>
                  </w:r>
                </w:p>
                <w:p>
                  <w:pPr>
                    <w:pStyle w:val="null3"/>
                  </w:pPr>
                  <w:r>
                    <w:rPr>
                      <w:rFonts w:ascii="仿宋_GB2312" w:hAnsi="仿宋_GB2312" w:cs="仿宋_GB2312" w:eastAsia="仿宋_GB2312"/>
                      <w:sz w:val="19"/>
                    </w:rPr>
                    <w:t>10、DIP开关</w:t>
                  </w:r>
                </w:p>
              </w:tc>
              <w:tc>
                <w:tcPr>
                  <w:tcW w:type="dxa" w:w="511"/>
                </w:tcPr>
                <w:p>
                  <w:pPr>
                    <w:pStyle w:val="null3"/>
                  </w:pPr>
                  <w:r>
                    <w:rPr>
                      <w:rFonts w:ascii="仿宋_GB2312" w:hAnsi="仿宋_GB2312" w:cs="仿宋_GB2312" w:eastAsia="仿宋_GB2312"/>
                      <w:sz w:val="19"/>
                    </w:rPr>
                    <w:t>1</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注：</w:t>
            </w:r>
          </w:p>
          <w:p>
            <w:pPr>
              <w:pStyle w:val="null3"/>
            </w:pPr>
            <w:r>
              <w:rPr>
                <w:rFonts w:ascii="仿宋_GB2312" w:hAnsi="仿宋_GB2312" w:cs="仿宋_GB2312" w:eastAsia="仿宋_GB2312"/>
              </w:rPr>
              <w:t>1、标“★”项：以上技术参数与性能指标标“★”项不允许负偏离，任意一项负偏离按无效谈判处理。需提供佐证材料：①指标项有明确要求的：须按照指标项要求提供对应证明材料；②指标要求未做说明的，佐证材料不限于产品彩页、检测报告、官网功能截图、生产厂家加盖公章的技术参数与性能指标证明材料等，未提供或提供的证明材料低于文件规定的相应技术参数时视为负偏离 。</w:t>
            </w:r>
          </w:p>
          <w:p>
            <w:pPr>
              <w:pStyle w:val="null3"/>
            </w:pPr>
            <w:r>
              <w:rPr>
                <w:rFonts w:ascii="仿宋_GB2312" w:hAnsi="仿宋_GB2312" w:cs="仿宋_GB2312" w:eastAsia="仿宋_GB2312"/>
              </w:rPr>
              <w:t>2、非标“★”项：偏离数量超过5项，按无效谈判处理，响应情况以技术指标偏差表响应为准。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培训要求：</w:t>
            </w:r>
          </w:p>
          <w:p>
            <w:pPr>
              <w:pStyle w:val="null3"/>
            </w:pPr>
            <w:r>
              <w:rPr>
                <w:rFonts w:ascii="仿宋_GB2312" w:hAnsi="仿宋_GB2312" w:cs="仿宋_GB2312" w:eastAsia="仿宋_GB2312"/>
              </w:rPr>
              <w:t>培训内容及要求:设备原理，制样，仪器操作，数据处理，培训不再额外收取任何费用。</w:t>
            </w:r>
          </w:p>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提供产品使用寿命承诺书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合同签订之日起30个日历日内完成交付、安装及调试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其他，签订合同后15日内，乙方提供经甲方认可的合同金额100%的预付款保函或双方认可的其他担保措施，支付合同金额的100%，达到付款条件起10个工作日内，支付合同总金额的100.0%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3年。2、售后服务响应时间(质保期内)：即时响应(包括电话响应);电话响应无法解决24小时内到达现场。修复时间48小时内解决;如在48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1、核心产品：激光雷达体感交互系统 2、中标（成交）结果发布后，中标（成交）供应商在2个工作日内向采购代理机构提供2套（和上传文件保持一致的）纸质投标（响应）文件用于备案及档案保存。 3、谈判保证金以电子保函形式递交需在谈判截止时间前发送一份扫描件至526159856@qq.com。 4.本项目落实《国务院办公厅关于在政府采购中实施本国产品标准及相关政策的通知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5、因系统原因，最终签订合同的付款方式是：签订合同后15日内，乙方提供经甲方认可的合同金额100%的预付款保函或双方认可的其他担保措施，支付合同金额的100%。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 ： 1、有效的主体资格证明：提供合法有效的统一社会信用代码营业执照（事业单位提供事业单位法人证书，自然人应提供身份证）； 2、税收缴纳证明：提供2025年5月1日以来任意时间段的依法缴纳税收的相关凭据（时间以税款所属时期为准），凭据应有税务机关或代收机关的公章或业务专用章。依法免税或无须缴纳税收的供应商，应提供相应证明文件； 3、社会保障资金缴纳证明：提供2025年5月1日以来任意时间段的社会保障资金缴存单据或社保机构开具的社会保险参保缴费情况证明。依法不需要缴纳社会保障资金的供应商应提供相关文件证明；4、具有履行合同所必需的设备和专业技术能力的书面声明：具有履行合同所必需的设备和专业技术能力的书面声明； 5、书面声明：参加政府采购活动前3年内在经营活动中没有重大违法记录的书面声明。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02-资格要求证明资料.pdf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审计报告须具有注册会计师行业统一监管平台https://acc.mof.gov.cn赋予的验证码）（成立时间至提交响应文件截止时间不足一年的可提供成立后任意时段的资产负债表），或其谈判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02-资格要求证明资料.pdf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02-资格要求证明资料.pdf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非法定代表人参加投标的，须提供法定代表人委托授权书及被授权人身份证复印件，法定代表人参加投标时,只需提供法定代表人身份证复印件</w:t>
            </w:r>
          </w:p>
        </w:tc>
        <w:tc>
          <w:tcPr>
            <w:tcW w:type="dxa" w:w="1661"/>
          </w:tcPr>
          <w:p>
            <w:pPr>
              <w:pStyle w:val="null3"/>
            </w:pPr>
            <w:r>
              <w:rPr>
                <w:rFonts w:ascii="仿宋_GB2312" w:hAnsi="仿宋_GB2312" w:cs="仿宋_GB2312" w:eastAsia="仿宋_GB2312"/>
              </w:rPr>
              <w:t>02-资格要求证明资料.pdf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非联合体谈判声明函</w:t>
            </w:r>
          </w:p>
        </w:tc>
        <w:tc>
          <w:tcPr>
            <w:tcW w:type="dxa" w:w="1661"/>
          </w:tcPr>
          <w:p>
            <w:pPr>
              <w:pStyle w:val="null3"/>
            </w:pPr>
            <w:r>
              <w:rPr>
                <w:rFonts w:ascii="仿宋_GB2312" w:hAnsi="仿宋_GB2312" w:cs="仿宋_GB2312" w:eastAsia="仿宋_GB2312"/>
              </w:rPr>
              <w:t>02-资格要求证明资料.pdf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审查环节审查）</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 效响应处理：(1)响应文件未按照采购文件规定要求签署、盖章； (2)不满足本谈判文件中“交货时间、交货地点、采购资金的支付方式及约定、质量保修范围和保修期”的实质性条款要求； (3)谈判有效期不足或无有效期； (4)报价超过谈判文件中规定的采购预算或最高限价； (5)保证金交纳不符合谈判文件要求；（6）不满足本谈判文件中标注“★”的实质性条款要求的(7)法律、法规和谈判文件规定的其他无效情形。</w:t>
            </w:r>
          </w:p>
        </w:tc>
        <w:tc>
          <w:tcPr>
            <w:tcW w:type="dxa" w:w="1661"/>
          </w:tcPr>
          <w:p>
            <w:pPr>
              <w:pStyle w:val="null3"/>
            </w:pPr>
            <w:r>
              <w:rPr>
                <w:rFonts w:ascii="仿宋_GB2312" w:hAnsi="仿宋_GB2312" w:cs="仿宋_GB2312" w:eastAsia="仿宋_GB2312"/>
              </w:rPr>
              <w:t>11-产品使用寿命承诺书.pdf 07-谈判响应方案说明.pdf 报价表 09-商务条款响应说明.pdf 03-诚信承诺书.pdf 06-技术指标偏差表.pdf 响应文件封面 08-拒绝商业贿赂承诺书.pdf 10-谈判保证金.pdf 标的清单 04-分项报价表.pdf 05-服务承诺.pdf 响应函 02-资格要求证明资料.pdf</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详见附件：02-资格要求证明资料.pdf</w:t>
      </w:r>
    </w:p>
    <w:p>
      <w:pPr>
        <w:pStyle w:val="null3"/>
        <w:ind w:firstLine="960"/>
      </w:pPr>
      <w:r>
        <w:rPr>
          <w:rFonts w:ascii="仿宋_GB2312" w:hAnsi="仿宋_GB2312" w:cs="仿宋_GB2312" w:eastAsia="仿宋_GB2312"/>
        </w:rPr>
        <w:t>详见附件：03-诚信承诺书.pdf</w:t>
      </w:r>
    </w:p>
    <w:p>
      <w:pPr>
        <w:pStyle w:val="null3"/>
        <w:ind w:firstLine="960"/>
      </w:pPr>
      <w:r>
        <w:rPr>
          <w:rFonts w:ascii="仿宋_GB2312" w:hAnsi="仿宋_GB2312" w:cs="仿宋_GB2312" w:eastAsia="仿宋_GB2312"/>
        </w:rPr>
        <w:t>详见附件：04-分项报价表.pdf</w:t>
      </w:r>
    </w:p>
    <w:p>
      <w:pPr>
        <w:pStyle w:val="null3"/>
        <w:ind w:firstLine="960"/>
      </w:pPr>
      <w:r>
        <w:rPr>
          <w:rFonts w:ascii="仿宋_GB2312" w:hAnsi="仿宋_GB2312" w:cs="仿宋_GB2312" w:eastAsia="仿宋_GB2312"/>
        </w:rPr>
        <w:t>详见附件：05-服务承诺.pdf</w:t>
      </w:r>
    </w:p>
    <w:p>
      <w:pPr>
        <w:pStyle w:val="null3"/>
        <w:ind w:firstLine="960"/>
      </w:pPr>
      <w:r>
        <w:rPr>
          <w:rFonts w:ascii="仿宋_GB2312" w:hAnsi="仿宋_GB2312" w:cs="仿宋_GB2312" w:eastAsia="仿宋_GB2312"/>
        </w:rPr>
        <w:t>详见附件：06-技术指标偏差表.pdf</w:t>
      </w:r>
    </w:p>
    <w:p>
      <w:pPr>
        <w:pStyle w:val="null3"/>
        <w:ind w:firstLine="960"/>
      </w:pPr>
      <w:r>
        <w:rPr>
          <w:rFonts w:ascii="仿宋_GB2312" w:hAnsi="仿宋_GB2312" w:cs="仿宋_GB2312" w:eastAsia="仿宋_GB2312"/>
        </w:rPr>
        <w:t>详见附件：07-谈判响应方案说明.pdf</w:t>
      </w:r>
    </w:p>
    <w:p>
      <w:pPr>
        <w:pStyle w:val="null3"/>
        <w:ind w:firstLine="960"/>
      </w:pPr>
      <w:r>
        <w:rPr>
          <w:rFonts w:ascii="仿宋_GB2312" w:hAnsi="仿宋_GB2312" w:cs="仿宋_GB2312" w:eastAsia="仿宋_GB2312"/>
        </w:rPr>
        <w:t>详见附件：08-拒绝商业贿赂承诺书.pdf</w:t>
      </w:r>
    </w:p>
    <w:p>
      <w:pPr>
        <w:pStyle w:val="null3"/>
        <w:ind w:firstLine="960"/>
      </w:pPr>
      <w:r>
        <w:rPr>
          <w:rFonts w:ascii="仿宋_GB2312" w:hAnsi="仿宋_GB2312" w:cs="仿宋_GB2312" w:eastAsia="仿宋_GB2312"/>
        </w:rPr>
        <w:t>详见附件：09-商务条款响应说明.pdf</w:t>
      </w:r>
    </w:p>
    <w:p>
      <w:pPr>
        <w:pStyle w:val="null3"/>
        <w:ind w:firstLine="960"/>
      </w:pPr>
      <w:r>
        <w:rPr>
          <w:rFonts w:ascii="仿宋_GB2312" w:hAnsi="仿宋_GB2312" w:cs="仿宋_GB2312" w:eastAsia="仿宋_GB2312"/>
        </w:rPr>
        <w:t>详见附件：10-谈判保证金.pdf</w:t>
      </w:r>
    </w:p>
    <w:p>
      <w:pPr>
        <w:pStyle w:val="null3"/>
        <w:ind w:firstLine="960"/>
      </w:pPr>
      <w:r>
        <w:rPr>
          <w:rFonts w:ascii="仿宋_GB2312" w:hAnsi="仿宋_GB2312" w:cs="仿宋_GB2312" w:eastAsia="仿宋_GB2312"/>
        </w:rPr>
        <w:t>详见附件：11-产品使用寿命承诺书.pdf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详见附件：01-合同文本.docx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