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版本号：DX2026-14520260603001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2026年网络信息处置辅助服务项目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DX2026-145</w:t>
      </w:r>
      <w:r>
        <w:br/>
      </w:r>
      <w:r>
        <w:br/>
      </w:r>
      <w:r>
        <w:br/>
      </w:r>
    </w:p>
    <w:p>
      <w:pPr>
        <w:pStyle w:val="null3"/>
        <w:jc w:val="center"/>
        <w:outlineLvl w:val="2"/>
      </w:pPr>
      <w:r>
        <w:rPr>
          <w:rFonts w:ascii="仿宋_GB2312" w:hAnsi="仿宋_GB2312" w:cs="仿宋_GB2312" w:eastAsia="仿宋_GB2312"/>
          <w:sz w:val="28"/>
          <w:b/>
        </w:rPr>
        <w:t>西安市网络安全应急指挥中心</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西安市网络安全应急指挥中心</w:t>
      </w:r>
      <w:r>
        <w:rPr>
          <w:rFonts w:ascii="仿宋_GB2312" w:hAnsi="仿宋_GB2312" w:cs="仿宋_GB2312" w:eastAsia="仿宋_GB2312"/>
        </w:rPr>
        <w:t>委托，拟对</w:t>
      </w:r>
      <w:r>
        <w:rPr>
          <w:rFonts w:ascii="仿宋_GB2312" w:hAnsi="仿宋_GB2312" w:cs="仿宋_GB2312" w:eastAsia="仿宋_GB2312"/>
        </w:rPr>
        <w:t>2026年网络信息处置辅助服务项目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2026年网络信息处置辅助服务项目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西安市网络安全应急指挥中心2026年网络信息处置辅助服务项目。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3、税收缴纳证明：提供已缴纳的2025年6月1日以来任意时间段的纳税证明或完税证明，纳税证明或完税证明上应有代收机构或税务机关的公章或业务专用章。依法免税的供应商应提供相关文件证明。 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4、非联合体投标：本项目不接受联合体投标，不得转包、分包或以其它联营挂靠形式分包给其他单位或个人，提供承诺函（格式自拟）。</w:t>
      </w:r>
    </w:p>
    <w:p>
      <w:pPr>
        <w:pStyle w:val="null3"/>
      </w:pPr>
      <w:r>
        <w:rPr>
          <w:rFonts w:ascii="仿宋_GB2312" w:hAnsi="仿宋_GB2312" w:cs="仿宋_GB2312" w:eastAsia="仿宋_GB2312"/>
        </w:rPr>
        <w:t>5、控股管理关系：单位负责人为同一人或者存在控股、管理关系的不同单位，不得参加同一项目投标，提供承诺函（格式自拟）。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开成路19号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029-86783227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西安市网络安全应急指挥中心</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西安市网络安全应急指挥中心2026年网络信息处置辅助服务项目。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2026年网络信息处置辅助服务项目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标的名称：2026年网络信息处置辅助服务项目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1.提供日常涉政、涉历史虚无、涉民族宗教、涉性别对立等有害信息样本巡查整理统计等网络信息处置辅助工作，全年累计不少于40万条，并建立相应的数据库系统。在全国发生重大敏感</w:t>
            </w:r>
            <w:r>
              <w:rPr>
                <w:rFonts w:ascii="仿宋_GB2312" w:hAnsi="仿宋_GB2312" w:cs="仿宋_GB2312" w:eastAsia="仿宋_GB2312"/>
              </w:rPr>
              <w:t>网络信息</w:t>
            </w:r>
            <w:r>
              <w:rPr>
                <w:rFonts w:ascii="仿宋_GB2312" w:hAnsi="仿宋_GB2312" w:cs="仿宋_GB2312" w:eastAsia="仿宋_GB2312"/>
              </w:rPr>
              <w:t>（不含本地</w:t>
            </w:r>
            <w:r>
              <w:rPr>
                <w:rFonts w:ascii="仿宋_GB2312" w:hAnsi="仿宋_GB2312" w:cs="仿宋_GB2312" w:eastAsia="仿宋_GB2312"/>
              </w:rPr>
              <w:t>网络信息</w:t>
            </w:r>
            <w:r>
              <w:rPr>
                <w:rFonts w:ascii="仿宋_GB2312" w:hAnsi="仿宋_GB2312" w:cs="仿宋_GB2312" w:eastAsia="仿宋_GB2312"/>
              </w:rPr>
              <w:t>）后，在全网监测涉政、涉意识形态等有害信息，按照上级有关要求制作信息样本，包括链接、平台截图、标识出信息失实或有害的地方，并说明信息有害失实的情况。动态报送信息的增量、存量、已上报的有害信息数和删除数，直至</w:t>
            </w:r>
            <w:r>
              <w:rPr>
                <w:rFonts w:ascii="仿宋_GB2312" w:hAnsi="仿宋_GB2312" w:cs="仿宋_GB2312" w:eastAsia="仿宋_GB2312"/>
              </w:rPr>
              <w:t>网络信息</w:t>
            </w:r>
            <w:r>
              <w:rPr>
                <w:rFonts w:ascii="仿宋_GB2312" w:hAnsi="仿宋_GB2312" w:cs="仿宋_GB2312" w:eastAsia="仿宋_GB2312"/>
              </w:rPr>
              <w:t>平稳。</w:t>
            </w:r>
          </w:p>
          <w:p>
            <w:pPr>
              <w:pStyle w:val="null3"/>
            </w:pPr>
            <w:r>
              <w:rPr>
                <w:rFonts w:ascii="仿宋_GB2312" w:hAnsi="仿宋_GB2312" w:cs="仿宋_GB2312" w:eastAsia="仿宋_GB2312"/>
              </w:rPr>
              <w:t>2.在各大互联网平台、网站检索攻击党和政府、攻击体制机制、地域黑等涉政有害信息整理上报。上报样本文档格式规范，序号、标题、链接、内容截图等要素齐全，并在截图上圈注有害信息。每日（含节假日）16时前，报送不少于30条涉政有害信息。在重要时间节点期间，针对相关事件，提供涉政信息风险点研判意见，专人24小时全力保障，做到有害信息即发现即上报，上报数量每天不少于100条。国内其他地市发生重大敏感有害事件后，第一时间提供该事件涉政有害信息图文样本。提供境外重点网站、账号所发表的涉政有害图文、音视频等第一手资料。</w:t>
            </w:r>
          </w:p>
          <w:p>
            <w:pPr>
              <w:pStyle w:val="null3"/>
            </w:pPr>
            <w:r>
              <w:rPr>
                <w:rFonts w:ascii="仿宋_GB2312" w:hAnsi="仿宋_GB2312" w:cs="仿宋_GB2312" w:eastAsia="仿宋_GB2312"/>
              </w:rPr>
              <w:t>3.提供涉政有害信息分析比对系统1套（使用期1年）。要求涉政有害信息分析系统能实现以下功能：一是能实现覆盖抖音、快手、微博、小红书等多家主流媒体，支持多种方式的数据检索、数据筛查，提供实时监测数据，特别是短视频监测的技术能力。二是能实现涉政相关事件及时发现。三是能实现突发涉政事件的数据分析报告。四是能实现敏感时间节点的实时检索功能。</w:t>
            </w:r>
          </w:p>
          <w:p>
            <w:pPr>
              <w:pStyle w:val="null3"/>
            </w:pPr>
            <w:r>
              <w:rPr>
                <w:rFonts w:ascii="仿宋_GB2312" w:hAnsi="仿宋_GB2312" w:cs="仿宋_GB2312" w:eastAsia="仿宋_GB2312"/>
              </w:rPr>
              <w:t>4.针对重大</w:t>
            </w:r>
            <w:r>
              <w:rPr>
                <w:rFonts w:ascii="仿宋_GB2312" w:hAnsi="仿宋_GB2312" w:cs="仿宋_GB2312" w:eastAsia="仿宋_GB2312"/>
              </w:rPr>
              <w:t>网络信息</w:t>
            </w:r>
            <w:r>
              <w:rPr>
                <w:rFonts w:ascii="仿宋_GB2312" w:hAnsi="仿宋_GB2312" w:cs="仿宋_GB2312" w:eastAsia="仿宋_GB2312"/>
              </w:rPr>
              <w:t>、特殊节点期间的</w:t>
            </w:r>
            <w:r>
              <w:rPr>
                <w:rFonts w:ascii="仿宋_GB2312" w:hAnsi="仿宋_GB2312" w:cs="仿宋_GB2312" w:eastAsia="仿宋_GB2312"/>
              </w:rPr>
              <w:t>网络信息</w:t>
            </w:r>
            <w:r>
              <w:rPr>
                <w:rFonts w:ascii="仿宋_GB2312" w:hAnsi="仿宋_GB2312" w:cs="仿宋_GB2312" w:eastAsia="仿宋_GB2312"/>
              </w:rPr>
              <w:t>处置工作，要求服务团队至少提供</w:t>
            </w:r>
            <w:r>
              <w:rPr>
                <w:rFonts w:ascii="仿宋_GB2312" w:hAnsi="仿宋_GB2312" w:cs="仿宋_GB2312" w:eastAsia="仿宋_GB2312"/>
              </w:rPr>
              <w:t>4名</w:t>
            </w:r>
            <w:r>
              <w:rPr>
                <w:rFonts w:ascii="仿宋_GB2312" w:hAnsi="仿宋_GB2312" w:cs="仿宋_GB2312" w:eastAsia="仿宋_GB2312"/>
              </w:rPr>
              <w:t>网络信息</w:t>
            </w:r>
            <w:r>
              <w:rPr>
                <w:rFonts w:ascii="仿宋_GB2312" w:hAnsi="仿宋_GB2312" w:cs="仿宋_GB2312" w:eastAsia="仿宋_GB2312"/>
              </w:rPr>
              <w:t>分析师，必要时根据甲方需求参与日常应急值班值守工作，做到</w:t>
            </w:r>
            <w:r>
              <w:rPr>
                <w:rFonts w:ascii="仿宋_GB2312" w:hAnsi="仿宋_GB2312" w:cs="仿宋_GB2312" w:eastAsia="仿宋_GB2312"/>
              </w:rPr>
              <w:t>24小时保障（至少2人轮换，轮换人员为公司</w:t>
            </w:r>
            <w:r>
              <w:rPr>
                <w:rFonts w:ascii="仿宋_GB2312" w:hAnsi="仿宋_GB2312" w:cs="仿宋_GB2312" w:eastAsia="仿宋_GB2312"/>
              </w:rPr>
              <w:t>网络信息</w:t>
            </w:r>
            <w:r>
              <w:rPr>
                <w:rFonts w:ascii="仿宋_GB2312" w:hAnsi="仿宋_GB2312" w:cs="仿宋_GB2312" w:eastAsia="仿宋_GB2312"/>
              </w:rPr>
              <w:t>监测、分析、报告等岗位相关人员，具备一定的</w:t>
            </w:r>
            <w:r>
              <w:rPr>
                <w:rFonts w:ascii="仿宋_GB2312" w:hAnsi="仿宋_GB2312" w:cs="仿宋_GB2312" w:eastAsia="仿宋_GB2312"/>
              </w:rPr>
              <w:t>网络信息</w:t>
            </w:r>
            <w:r>
              <w:rPr>
                <w:rFonts w:ascii="仿宋_GB2312" w:hAnsi="仿宋_GB2312" w:cs="仿宋_GB2312" w:eastAsia="仿宋_GB2312"/>
              </w:rPr>
              <w:t>监测、分析、处置等能力）。</w:t>
            </w:r>
          </w:p>
          <w:p>
            <w:pPr>
              <w:pStyle w:val="null3"/>
            </w:pPr>
            <w:r>
              <w:rPr>
                <w:rFonts w:ascii="仿宋_GB2312" w:hAnsi="仿宋_GB2312" w:cs="仿宋_GB2312" w:eastAsia="仿宋_GB2312"/>
              </w:rPr>
              <w:t>5.建立应急处置、</w:t>
            </w:r>
            <w:r>
              <w:rPr>
                <w:rFonts w:ascii="仿宋_GB2312" w:hAnsi="仿宋_GB2312" w:cs="仿宋_GB2312" w:eastAsia="仿宋_GB2312"/>
              </w:rPr>
              <w:t>网络</w:t>
            </w:r>
            <w:r>
              <w:rPr>
                <w:rFonts w:ascii="仿宋_GB2312" w:hAnsi="仿宋_GB2312" w:cs="仿宋_GB2312" w:eastAsia="仿宋_GB2312"/>
              </w:rPr>
              <w:t>信息报告等数据库系统，做好每日</w:t>
            </w:r>
            <w:r>
              <w:rPr>
                <w:rFonts w:ascii="仿宋_GB2312" w:hAnsi="仿宋_GB2312" w:cs="仿宋_GB2312" w:eastAsia="仿宋_GB2312"/>
              </w:rPr>
              <w:t>网络信息</w:t>
            </w:r>
            <w:r>
              <w:rPr>
                <w:rFonts w:ascii="仿宋_GB2312" w:hAnsi="仿宋_GB2312" w:cs="仿宋_GB2312" w:eastAsia="仿宋_GB2312"/>
              </w:rPr>
              <w:t>报告、</w:t>
            </w:r>
            <w:r>
              <w:rPr>
                <w:rFonts w:ascii="仿宋_GB2312" w:hAnsi="仿宋_GB2312" w:cs="仿宋_GB2312" w:eastAsia="仿宋_GB2312"/>
              </w:rPr>
              <w:t>网络信息</w:t>
            </w:r>
            <w:r>
              <w:rPr>
                <w:rFonts w:ascii="仿宋_GB2312" w:hAnsi="仿宋_GB2312" w:cs="仿宋_GB2312" w:eastAsia="仿宋_GB2312"/>
              </w:rPr>
              <w:t>专报（快报）、</w:t>
            </w:r>
            <w:r>
              <w:rPr>
                <w:rFonts w:ascii="仿宋_GB2312" w:hAnsi="仿宋_GB2312" w:cs="仿宋_GB2312" w:eastAsia="仿宋_GB2312"/>
              </w:rPr>
              <w:t>网上信息</w:t>
            </w:r>
            <w:r>
              <w:rPr>
                <w:rFonts w:ascii="仿宋_GB2312" w:hAnsi="仿宋_GB2312" w:cs="仿宋_GB2312" w:eastAsia="仿宋_GB2312"/>
              </w:rPr>
              <w:t>提示函、</w:t>
            </w:r>
            <w:r>
              <w:rPr>
                <w:rFonts w:ascii="仿宋_GB2312" w:hAnsi="仿宋_GB2312" w:cs="仿宋_GB2312" w:eastAsia="仿宋_GB2312"/>
              </w:rPr>
              <w:t>网络信息</w:t>
            </w:r>
            <w:r>
              <w:rPr>
                <w:rFonts w:ascii="仿宋_GB2312" w:hAnsi="仿宋_GB2312" w:cs="仿宋_GB2312" w:eastAsia="仿宋_GB2312"/>
              </w:rPr>
              <w:t>风险预警、</w:t>
            </w:r>
            <w:r>
              <w:rPr>
                <w:rFonts w:ascii="仿宋_GB2312" w:hAnsi="仿宋_GB2312" w:cs="仿宋_GB2312" w:eastAsia="仿宋_GB2312"/>
              </w:rPr>
              <w:t>网络信息</w:t>
            </w:r>
            <w:r>
              <w:rPr>
                <w:rFonts w:ascii="仿宋_GB2312" w:hAnsi="仿宋_GB2312" w:cs="仿宋_GB2312" w:eastAsia="仿宋_GB2312"/>
              </w:rPr>
              <w:t>核查函、</w:t>
            </w:r>
            <w:r>
              <w:rPr>
                <w:rFonts w:ascii="仿宋_GB2312" w:hAnsi="仿宋_GB2312" w:cs="仿宋_GB2312" w:eastAsia="仿宋_GB2312"/>
              </w:rPr>
              <w:t>网络信息</w:t>
            </w:r>
            <w:r>
              <w:rPr>
                <w:rFonts w:ascii="仿宋_GB2312" w:hAnsi="仿宋_GB2312" w:cs="仿宋_GB2312" w:eastAsia="仿宋_GB2312"/>
              </w:rPr>
              <w:t>处置督办单、核查报告、指令办理、</w:t>
            </w:r>
            <w:r>
              <w:rPr>
                <w:rFonts w:ascii="仿宋_GB2312" w:hAnsi="仿宋_GB2312" w:cs="仿宋_GB2312" w:eastAsia="仿宋_GB2312"/>
              </w:rPr>
              <w:t>网络</w:t>
            </w:r>
            <w:r>
              <w:rPr>
                <w:rFonts w:ascii="仿宋_GB2312" w:hAnsi="仿宋_GB2312" w:cs="仿宋_GB2312" w:eastAsia="仿宋_GB2312"/>
              </w:rPr>
              <w:t>信息报送、管控报告等</w:t>
            </w:r>
            <w:r>
              <w:rPr>
                <w:rFonts w:ascii="仿宋_GB2312" w:hAnsi="仿宋_GB2312" w:cs="仿宋_GB2312" w:eastAsia="仿宋_GB2312"/>
              </w:rPr>
              <w:t>网络</w:t>
            </w:r>
            <w:r>
              <w:rPr>
                <w:rFonts w:ascii="仿宋_GB2312" w:hAnsi="仿宋_GB2312" w:cs="仿宋_GB2312" w:eastAsia="仿宋_GB2312"/>
              </w:rPr>
              <w:t>信息采集梳理分析工作。</w:t>
            </w:r>
          </w:p>
          <w:p>
            <w:pPr>
              <w:pStyle w:val="null3"/>
            </w:pPr>
            <w:r>
              <w:rPr>
                <w:rFonts w:ascii="仿宋_GB2312" w:hAnsi="仿宋_GB2312" w:cs="仿宋_GB2312" w:eastAsia="仿宋_GB2312"/>
                <w:sz w:val="21"/>
              </w:rPr>
              <w:t>6.选派专业</w:t>
            </w:r>
            <w:r>
              <w:rPr>
                <w:rFonts w:ascii="仿宋_GB2312" w:hAnsi="仿宋_GB2312" w:cs="仿宋_GB2312" w:eastAsia="仿宋_GB2312"/>
                <w:sz w:val="21"/>
              </w:rPr>
              <w:t>网络信息</w:t>
            </w:r>
            <w:r>
              <w:rPr>
                <w:rFonts w:ascii="仿宋_GB2312" w:hAnsi="仿宋_GB2312" w:cs="仿宋_GB2312" w:eastAsia="仿宋_GB2312"/>
                <w:sz w:val="21"/>
              </w:rPr>
              <w:t>咨询专家，开展相关工作；咨询专家至少具备</w:t>
            </w:r>
            <w:r>
              <w:rPr>
                <w:rFonts w:ascii="仿宋_GB2312" w:hAnsi="仿宋_GB2312" w:cs="仿宋_GB2312" w:eastAsia="仿宋_GB2312"/>
                <w:sz w:val="21"/>
              </w:rPr>
              <w:t>网络信息</w:t>
            </w:r>
            <w:r>
              <w:rPr>
                <w:rFonts w:ascii="仿宋_GB2312" w:hAnsi="仿宋_GB2312" w:cs="仿宋_GB2312" w:eastAsia="仿宋_GB2312"/>
                <w:sz w:val="21"/>
              </w:rPr>
              <w:t>分析师专业资质及两年市级及以上单位咨询工作经验；具备</w:t>
            </w:r>
            <w:r>
              <w:rPr>
                <w:rFonts w:ascii="仿宋_GB2312" w:hAnsi="仿宋_GB2312" w:cs="仿宋_GB2312" w:eastAsia="仿宋_GB2312"/>
                <w:sz w:val="21"/>
              </w:rPr>
              <w:t>网络信息</w:t>
            </w:r>
            <w:r>
              <w:rPr>
                <w:rFonts w:ascii="仿宋_GB2312" w:hAnsi="仿宋_GB2312" w:cs="仿宋_GB2312" w:eastAsia="仿宋_GB2312"/>
                <w:sz w:val="21"/>
              </w:rPr>
              <w:t>梳理分析、总结能力及文字表达素养。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签订合同后,按照合同规定要求在1年内由乙方提供相关服务。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预算当年11月前进行事中监控，对绩效目标阶段性完成情况、成果等进行监控评估，出具阶段性评估结果，并收到供应商开具的等额合法有效的增值税正式发票之日起，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4.分支机构参与磋商时，响应文件中应附法人出具的授权书。法人只能授权一家分支机构参与磋商，且不能与分支机构同时参与磋商。如需使用总公司及其下属分公司资料，需提供由总公司出具的授权书。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3、税收缴纳证明：提供已缴纳的2025年6月1日以来任意时间段的纳税证明或完税证明，纳税证明或完税证明上应有代收机构或税务机关的公章或业务专用章。依法免税的供应商应提供相关文件证明。 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单位负责人为同一人或者存在控股、管理关系的不同单位，不得参加同一项目投标，提供承诺函（格式自拟）。</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②有害信息样本巡查整理统计处置方案； ③有害信息整理上报方案； ④涉政有害信息分析比对系统配置方案； ⑤数据库系统建设方案； ⑥咨询专家配备方案。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④特殊节点期间人员保障措施； ⑤数据安全保密措施； ⑥针对本项目提供应急预案（不限于技术故障、人员变动、项目风险等各类特殊情况）。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①有专业的运营团队，团队人员数量、分工合理，岗位职责明确； ②人员管理制度。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针对本项目提供详细的服务承诺，包括但不限于： ①制定完善的各项规章制度等内容; ②针对本项目的服务质量保证承诺。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