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ACA80">
      <w:pPr>
        <w:bidi w:val="0"/>
        <w:jc w:val="center"/>
        <w:rPr>
          <w:rFonts w:hint="eastAsia" w:ascii="仿宋" w:hAnsi="仿宋" w:eastAsia="仿宋" w:cs="仿宋"/>
          <w:b/>
          <w:sz w:val="48"/>
          <w:szCs w:val="48"/>
          <w:highlight w:val="none"/>
          <w:lang w:val="en-US" w:eastAsia="zh-CN"/>
        </w:rPr>
      </w:pPr>
      <w:r>
        <w:rPr>
          <w:rFonts w:hint="eastAsia" w:ascii="仿宋" w:hAnsi="仿宋" w:eastAsia="仿宋" w:cs="仿宋"/>
          <w:b/>
          <w:sz w:val="48"/>
          <w:szCs w:val="48"/>
          <w:highlight w:val="none"/>
          <w:lang w:val="en-US" w:eastAsia="zh-CN"/>
        </w:rPr>
        <w:t>合同条款及格式</w:t>
      </w:r>
    </w:p>
    <w:p w14:paraId="0E257E5A">
      <w:pPr>
        <w:spacing w:line="440" w:lineRule="exact"/>
        <w:ind w:firstLine="480" w:firstLineChars="200"/>
        <w:rPr>
          <w:rFonts w:hint="eastAsia" w:ascii="仿宋" w:hAnsi="仿宋" w:eastAsia="仿宋" w:cs="仿宋"/>
          <w:sz w:val="24"/>
          <w:highlight w:val="none"/>
        </w:rPr>
      </w:pPr>
    </w:p>
    <w:p w14:paraId="173759C7">
      <w:pPr>
        <w:pStyle w:val="8"/>
        <w:rPr>
          <w:rFonts w:hint="eastAsia" w:ascii="仿宋" w:hAnsi="仿宋" w:eastAsia="仿宋" w:cs="仿宋"/>
          <w:highlight w:val="none"/>
        </w:rPr>
      </w:pPr>
    </w:p>
    <w:p w14:paraId="6F0B56B7">
      <w:pPr>
        <w:rPr>
          <w:rFonts w:hint="eastAsia" w:ascii="仿宋" w:hAnsi="仿宋" w:eastAsia="仿宋" w:cs="仿宋"/>
          <w:highlight w:val="none"/>
        </w:rPr>
      </w:pPr>
    </w:p>
    <w:p w14:paraId="1BAAE6E1">
      <w:pPr>
        <w:pStyle w:val="8"/>
        <w:rPr>
          <w:rFonts w:hint="eastAsia" w:ascii="仿宋" w:hAnsi="仿宋" w:eastAsia="仿宋" w:cs="仿宋"/>
          <w:highlight w:val="none"/>
        </w:rPr>
      </w:pPr>
    </w:p>
    <w:p w14:paraId="65BC0D24">
      <w:pPr>
        <w:rPr>
          <w:rFonts w:hint="eastAsia" w:ascii="仿宋" w:hAnsi="仿宋" w:eastAsia="仿宋" w:cs="仿宋"/>
          <w:highlight w:val="none"/>
        </w:rPr>
      </w:pPr>
    </w:p>
    <w:p w14:paraId="6DA92939">
      <w:pPr>
        <w:bidi w:val="0"/>
        <w:jc w:val="center"/>
        <w:rPr>
          <w:rFonts w:hint="eastAsia" w:ascii="仿宋" w:hAnsi="仿宋" w:eastAsia="仿宋" w:cs="仿宋"/>
          <w:b/>
          <w:sz w:val="48"/>
          <w:szCs w:val="48"/>
          <w:highlight w:val="none"/>
          <w:lang w:val="en-US" w:eastAsia="zh-CN"/>
        </w:rPr>
      </w:pPr>
    </w:p>
    <w:p w14:paraId="4857AC31">
      <w:pPr>
        <w:bidi w:val="0"/>
        <w:jc w:val="center"/>
        <w:rPr>
          <w:rFonts w:hint="eastAsia" w:ascii="仿宋" w:hAnsi="仿宋" w:eastAsia="仿宋" w:cs="仿宋"/>
          <w:b/>
          <w:bCs/>
          <w:sz w:val="44"/>
          <w:szCs w:val="44"/>
          <w:highlight w:val="none"/>
          <w:lang w:eastAsia="zh-CN"/>
        </w:rPr>
      </w:pPr>
      <w:r>
        <w:rPr>
          <w:rFonts w:hint="eastAsia" w:ascii="仿宋" w:hAnsi="仿宋" w:eastAsia="仿宋" w:cs="仿宋"/>
          <w:b/>
          <w:sz w:val="48"/>
          <w:szCs w:val="48"/>
          <w:highlight w:val="none"/>
          <w:lang w:val="en-US" w:eastAsia="zh-CN"/>
        </w:rPr>
        <w:t>2026年网络信息处置辅助服务项目</w:t>
      </w:r>
    </w:p>
    <w:p w14:paraId="17F99935">
      <w:pPr>
        <w:pStyle w:val="8"/>
        <w:rPr>
          <w:rFonts w:hint="eastAsia" w:ascii="仿宋" w:hAnsi="仿宋" w:eastAsia="仿宋" w:cs="仿宋"/>
          <w:b/>
          <w:bCs/>
          <w:sz w:val="44"/>
          <w:szCs w:val="44"/>
          <w:highlight w:val="none"/>
          <w:lang w:eastAsia="zh-CN"/>
        </w:rPr>
      </w:pPr>
    </w:p>
    <w:p w14:paraId="47FC6F67">
      <w:pPr>
        <w:pStyle w:val="8"/>
        <w:rPr>
          <w:rFonts w:hint="eastAsia" w:ascii="仿宋" w:hAnsi="仿宋" w:eastAsia="仿宋" w:cs="仿宋"/>
          <w:b/>
          <w:bCs/>
          <w:sz w:val="44"/>
          <w:szCs w:val="44"/>
          <w:highlight w:val="none"/>
          <w:lang w:eastAsia="zh-CN"/>
        </w:rPr>
      </w:pPr>
    </w:p>
    <w:p w14:paraId="7C6E942C">
      <w:pPr>
        <w:rPr>
          <w:rFonts w:hint="eastAsia" w:ascii="仿宋" w:hAnsi="仿宋" w:eastAsia="仿宋" w:cs="仿宋"/>
          <w:b/>
          <w:bCs/>
          <w:sz w:val="44"/>
          <w:szCs w:val="44"/>
          <w:highlight w:val="none"/>
          <w:lang w:eastAsia="zh-CN"/>
        </w:rPr>
      </w:pPr>
    </w:p>
    <w:p w14:paraId="7588CDE5">
      <w:pPr>
        <w:pStyle w:val="8"/>
        <w:rPr>
          <w:rFonts w:hint="eastAsia" w:ascii="仿宋" w:hAnsi="仿宋" w:eastAsia="仿宋" w:cs="仿宋"/>
          <w:b/>
          <w:bCs/>
          <w:sz w:val="44"/>
          <w:szCs w:val="44"/>
          <w:highlight w:val="none"/>
          <w:lang w:eastAsia="zh-CN"/>
        </w:rPr>
      </w:pPr>
    </w:p>
    <w:p w14:paraId="7AFB4362">
      <w:pPr>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服务合同</w:t>
      </w:r>
    </w:p>
    <w:p w14:paraId="0E7E8D1A">
      <w:pPr>
        <w:pStyle w:val="8"/>
        <w:rPr>
          <w:rFonts w:hint="eastAsia" w:ascii="仿宋" w:hAnsi="仿宋" w:eastAsia="仿宋" w:cs="仿宋"/>
          <w:b/>
          <w:bCs/>
          <w:sz w:val="44"/>
          <w:szCs w:val="44"/>
          <w:highlight w:val="none"/>
          <w:lang w:val="en-US" w:eastAsia="zh-CN"/>
        </w:rPr>
      </w:pPr>
    </w:p>
    <w:p w14:paraId="5D8642A6">
      <w:pPr>
        <w:rPr>
          <w:rFonts w:hint="eastAsia" w:ascii="仿宋" w:hAnsi="仿宋" w:eastAsia="仿宋" w:cs="仿宋"/>
          <w:b/>
          <w:bCs/>
          <w:sz w:val="44"/>
          <w:szCs w:val="44"/>
          <w:highlight w:val="none"/>
          <w:lang w:val="en-US" w:eastAsia="zh-CN"/>
        </w:rPr>
      </w:pPr>
    </w:p>
    <w:p w14:paraId="253D1BA0">
      <w:pPr>
        <w:pStyle w:val="8"/>
        <w:rPr>
          <w:rFonts w:hint="eastAsia" w:ascii="仿宋" w:hAnsi="仿宋" w:eastAsia="仿宋" w:cs="仿宋"/>
          <w:b/>
          <w:bCs/>
          <w:sz w:val="44"/>
          <w:szCs w:val="44"/>
          <w:highlight w:val="none"/>
          <w:lang w:val="en-US" w:eastAsia="zh-CN"/>
        </w:rPr>
      </w:pPr>
    </w:p>
    <w:p w14:paraId="30787233">
      <w:pPr>
        <w:rPr>
          <w:rFonts w:hint="eastAsia" w:ascii="仿宋" w:hAnsi="仿宋" w:eastAsia="仿宋" w:cs="仿宋"/>
          <w:highlight w:val="none"/>
          <w:lang w:val="en-US" w:eastAsia="zh-CN"/>
        </w:rPr>
      </w:pPr>
    </w:p>
    <w:p w14:paraId="678EBD81">
      <w:pPr>
        <w:pStyle w:val="8"/>
        <w:rPr>
          <w:rFonts w:hint="eastAsia" w:ascii="仿宋" w:hAnsi="仿宋" w:eastAsia="仿宋" w:cs="仿宋"/>
          <w:b/>
          <w:bCs/>
          <w:sz w:val="44"/>
          <w:szCs w:val="44"/>
          <w:highlight w:val="none"/>
          <w:lang w:val="en-US" w:eastAsia="zh-CN"/>
        </w:rPr>
      </w:pPr>
    </w:p>
    <w:p w14:paraId="0A83A32C">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  同  编  号：</w:t>
      </w:r>
      <w:bookmarkStart w:id="52" w:name="_GoBack"/>
      <w:bookmarkEnd w:id="52"/>
    </w:p>
    <w:p w14:paraId="0DEBFF6C">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  目  名  称：</w:t>
      </w:r>
    </w:p>
    <w:p w14:paraId="17D64598">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w:t>
      </w:r>
    </w:p>
    <w:p w14:paraId="78A84087">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成交人（</w:t>
      </w:r>
      <w:r>
        <w:rPr>
          <w:rFonts w:hint="eastAsia" w:ascii="仿宋" w:hAnsi="仿宋" w:eastAsia="仿宋" w:cs="仿宋"/>
          <w:sz w:val="28"/>
          <w:szCs w:val="28"/>
          <w:highlight w:val="none"/>
          <w:lang w:val="en-US" w:eastAsia="zh-CN"/>
        </w:rPr>
        <w:t>乙</w:t>
      </w:r>
      <w:r>
        <w:rPr>
          <w:rFonts w:hint="eastAsia" w:ascii="仿宋" w:hAnsi="仿宋" w:eastAsia="仿宋" w:cs="仿宋"/>
          <w:sz w:val="28"/>
          <w:szCs w:val="28"/>
          <w:highlight w:val="none"/>
        </w:rPr>
        <w:t>方）：</w:t>
      </w:r>
    </w:p>
    <w:p w14:paraId="0BB1D78B">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点： </w:t>
      </w:r>
    </w:p>
    <w:p w14:paraId="1C513ADF">
      <w:pPr>
        <w:spacing w:line="500" w:lineRule="exact"/>
        <w:ind w:firstLine="1120" w:firstLineChars="400"/>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间：</w:t>
      </w:r>
    </w:p>
    <w:p w14:paraId="078C9FFC">
      <w:pPr>
        <w:pStyle w:val="8"/>
        <w:rPr>
          <w:rFonts w:hint="eastAsia" w:ascii="仿宋" w:hAnsi="仿宋" w:eastAsia="仿宋" w:cs="仿宋"/>
          <w:highlight w:val="none"/>
        </w:rPr>
        <w:sectPr>
          <w:footerReference r:id="rId3" w:type="default"/>
          <w:pgSz w:w="11907" w:h="16840"/>
          <w:pgMar w:top="1418" w:right="1417" w:bottom="1417" w:left="1417" w:header="907" w:footer="654" w:gutter="0"/>
          <w:cols w:space="720" w:num="1"/>
          <w:titlePg/>
          <w:docGrid w:linePitch="312" w:charSpace="0"/>
        </w:sectPr>
      </w:pPr>
    </w:p>
    <w:p w14:paraId="0D2974D8">
      <w:pPr>
        <w:pStyle w:val="9"/>
        <w:keepNext w:val="0"/>
        <w:keepLines w:val="0"/>
        <w:pageBreakBefore w:val="0"/>
        <w:kinsoku/>
        <w:wordWrap/>
        <w:overflowPunct/>
        <w:topLinePunct w:val="0"/>
        <w:autoSpaceDE/>
        <w:autoSpaceDN/>
        <w:bidi w:val="0"/>
        <w:adjustRightInd w:val="0"/>
        <w:snapToGrid w:val="0"/>
        <w:spacing w:line="360" w:lineRule="auto"/>
        <w:ind w:firstLine="210"/>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（本格式条款供双方签订合同参考，采购人可根据项目的实际情况增减条款和内容（实质性条款除外））</w:t>
      </w:r>
    </w:p>
    <w:p w14:paraId="4403A2C1">
      <w:pPr>
        <w:pStyle w:val="2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根据《中华人民共和国政府采购法》及实施条例、《中华人民共和国民法典》和</w:t>
      </w:r>
      <w:r>
        <w:rPr>
          <w:rFonts w:hint="eastAsia" w:ascii="仿宋" w:hAnsi="仿宋" w:eastAsia="仿宋" w:cs="仿宋"/>
          <w:color w:val="000000"/>
          <w:sz w:val="24"/>
          <w:szCs w:val="24"/>
          <w:highlight w:val="none"/>
          <w:u w:val="single"/>
          <w:lang w:val="en-US" w:eastAsia="zh-CN"/>
        </w:rPr>
        <w:t>2026年网络信息处置辅助服务项目</w:t>
      </w:r>
      <w:r>
        <w:rPr>
          <w:rFonts w:hint="eastAsia" w:ascii="仿宋" w:hAnsi="仿宋" w:eastAsia="仿宋" w:cs="仿宋"/>
          <w:color w:val="000000"/>
          <w:sz w:val="24"/>
          <w:szCs w:val="24"/>
          <w:highlight w:val="none"/>
        </w:rPr>
        <w:t>（采购项目编号</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）的采购文件、响应文件等有关规定，为确保甲方采购项目的顺利实施，甲、乙双方在平等自愿原则下签订本合同，并共同遵守如下条款，其主要要求如下：</w:t>
      </w:r>
    </w:p>
    <w:p w14:paraId="467CAFFA">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   合同标的及合同价</w:t>
      </w:r>
    </w:p>
    <w:p w14:paraId="6742859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1、合同标的及标的物</w:t>
      </w:r>
    </w:p>
    <w:p w14:paraId="11E972C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项目名称：</w:t>
      </w:r>
      <w:r>
        <w:rPr>
          <w:rFonts w:hint="eastAsia" w:ascii="仿宋" w:hAnsi="仿宋" w:eastAsia="仿宋" w:cs="仿宋"/>
          <w:color w:val="000000"/>
          <w:sz w:val="24"/>
          <w:szCs w:val="24"/>
          <w:highlight w:val="none"/>
          <w:u w:val="single"/>
          <w:lang w:val="en-US" w:eastAsia="zh-CN"/>
        </w:rPr>
        <w:t xml:space="preserve">               </w:t>
      </w:r>
    </w:p>
    <w:p w14:paraId="444C066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2、合同价</w:t>
      </w:r>
    </w:p>
    <w:p w14:paraId="5F717459">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rPr>
        <w:t>，人民币小写：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none"/>
        </w:rPr>
        <w:t>。</w:t>
      </w:r>
    </w:p>
    <w:p w14:paraId="7CC970C7">
      <w:pPr>
        <w:keepNext w:val="0"/>
        <w:keepLines w:val="0"/>
        <w:pageBreakBefore w:val="0"/>
        <w:numPr>
          <w:ilvl w:val="0"/>
          <w:numId w:val="1"/>
        </w:numPr>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 xml:space="preserve">  服务期限</w:t>
      </w:r>
    </w:p>
    <w:p w14:paraId="33AA7271">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bookmarkStart w:id="0" w:name="_Toc225670751"/>
      <w:bookmarkStart w:id="1" w:name="_Toc232492928"/>
      <w:bookmarkStart w:id="2" w:name="_Toc211854449"/>
      <w:bookmarkStart w:id="3" w:name="_Toc225654644"/>
      <w:bookmarkStart w:id="4" w:name="_Toc251768862"/>
      <w:bookmarkStart w:id="5" w:name="_Toc225244852"/>
      <w:bookmarkStart w:id="6" w:name="_Toc239233914"/>
      <w:bookmarkStart w:id="7" w:name="_Toc185395249"/>
      <w:bookmarkStart w:id="8" w:name="_Toc286993786"/>
      <w:bookmarkStart w:id="9" w:name="_Toc282696226"/>
      <w:bookmarkStart w:id="10" w:name="_Toc247334841"/>
      <w:bookmarkStart w:id="11" w:name="_Toc241833903"/>
      <w:bookmarkStart w:id="12" w:name="_Toc239568418"/>
      <w:bookmarkStart w:id="13" w:name="_Toc283019214"/>
      <w:bookmarkStart w:id="14" w:name="_Toc237145406"/>
      <w:bookmarkStart w:id="15" w:name="_Toc212019594"/>
      <w:bookmarkStart w:id="16" w:name="_Toc211911348"/>
      <w:bookmarkStart w:id="17" w:name="_Toc238984975"/>
      <w:r>
        <w:rPr>
          <w:rFonts w:hint="eastAsia" w:ascii="仿宋" w:hAnsi="仿宋" w:eastAsia="仿宋" w:cs="仿宋"/>
          <w:color w:val="000000"/>
          <w:sz w:val="24"/>
          <w:szCs w:val="24"/>
          <w:highlight w:val="none"/>
          <w:u w:val="single"/>
          <w:lang w:val="en-US" w:eastAsia="zh-CN"/>
        </w:rPr>
        <w:t xml:space="preserve">            </w:t>
      </w:r>
    </w:p>
    <w:p w14:paraId="44BFFBD2">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   服务内容</w:t>
      </w:r>
    </w:p>
    <w:p w14:paraId="663C8C72">
      <w:pPr>
        <w:keepNext w:val="0"/>
        <w:keepLines w:val="0"/>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具体内容以磋商文件“第三章 磋商项目技术、服务、商务及其他要求”以及成交供应商“磋商响应文件”为准。</w:t>
      </w:r>
    </w:p>
    <w:p w14:paraId="7B2D676B">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sz w:val="24"/>
          <w:szCs w:val="24"/>
          <w:highlight w:val="none"/>
        </w:rPr>
      </w:pPr>
      <w:r>
        <w:rPr>
          <w:rFonts w:hint="eastAsia" w:ascii="仿宋" w:hAnsi="仿宋" w:eastAsia="仿宋" w:cs="仿宋"/>
          <w:b/>
          <w:sz w:val="24"/>
          <w:szCs w:val="24"/>
          <w:highlight w:val="none"/>
        </w:rPr>
        <w:t>第四条   付款方式和程序</w:t>
      </w:r>
    </w:p>
    <w:p w14:paraId="14137E7F">
      <w:pPr>
        <w:keepNext w:val="0"/>
        <w:keepLines w:val="0"/>
        <w:pageBreakBefore w:val="0"/>
        <w:tabs>
          <w:tab w:val="left" w:pos="669"/>
        </w:tabs>
        <w:kinsoku/>
        <w:wordWrap/>
        <w:overflowPunct/>
        <w:topLinePunct w:val="0"/>
        <w:autoSpaceDE/>
        <w:autoSpaceDN/>
        <w:bidi w:val="0"/>
        <w:adjustRightInd w:val="0"/>
        <w:snapToGrid w:val="0"/>
        <w:spacing w:line="360" w:lineRule="auto"/>
        <w:ind w:left="-426" w:firstLine="960" w:firstLine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1、按下列比例支付价款：</w:t>
      </w:r>
    </w:p>
    <w:p w14:paraId="2AC4107F">
      <w:pPr>
        <w:keepNext w:val="0"/>
        <w:keepLines w:val="0"/>
        <w:pageBreakBefore w:val="0"/>
        <w:tabs>
          <w:tab w:val="left" w:pos="669"/>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（1）合同签订完毕并收到供应商开具的等额合法有效的增值税正式发票之日起10个工作日内，支付合同价款的50％。</w:t>
      </w:r>
    </w:p>
    <w:p w14:paraId="628ECD5B">
      <w:pPr>
        <w:keepNext w:val="0"/>
        <w:keepLines w:val="0"/>
        <w:pageBreakBefore w:val="0"/>
        <w:tabs>
          <w:tab w:val="left" w:pos="669"/>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（2）预算当年11月前进行事中监控，对绩效目标阶段性完成情况、成果等进行监控评估，出具阶段性评估结果，并收到供应商开具的等额合法有效的增值税正式发票之日起10个工作日内，支付合同价款的20%。</w:t>
      </w:r>
    </w:p>
    <w:p w14:paraId="611FCCCA">
      <w:pPr>
        <w:keepNext w:val="0"/>
        <w:keepLines w:val="0"/>
        <w:pageBreakBefore w:val="0"/>
        <w:tabs>
          <w:tab w:val="left" w:pos="669"/>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（3）合同履约完成后，绩效目标已完成并出具验收报告，收到供应商开具的等金额合法有效的增值税正式发票之日起10个工作日内，支付合同价款的30％。</w:t>
      </w:r>
    </w:p>
    <w:p w14:paraId="0B342CC4">
      <w:pPr>
        <w:keepNext w:val="0"/>
        <w:keepLines w:val="0"/>
        <w:pageBreakBefore w:val="0"/>
        <w:tabs>
          <w:tab w:val="left" w:pos="669"/>
        </w:tabs>
        <w:kinsoku/>
        <w:wordWrap/>
        <w:overflowPunct/>
        <w:topLinePunct w:val="0"/>
        <w:autoSpaceDE/>
        <w:autoSpaceDN/>
        <w:bidi w:val="0"/>
        <w:adjustRightInd w:val="0"/>
        <w:snapToGrid w:val="0"/>
        <w:spacing w:line="360" w:lineRule="auto"/>
        <w:ind w:left="468" w:leftChars="223" w:firstLine="0" w:firstLineChars="0"/>
        <w:rPr>
          <w:rFonts w:hint="eastAsia" w:ascii="仿宋" w:hAnsi="仿宋" w:eastAsia="仿宋" w:cs="仿宋"/>
          <w:bCs/>
          <w:sz w:val="24"/>
          <w:szCs w:val="24"/>
          <w:highlight w:val="none"/>
        </w:rPr>
      </w:pPr>
      <w:r>
        <w:rPr>
          <w:rFonts w:hint="eastAsia" w:ascii="仿宋" w:hAnsi="仿宋" w:eastAsia="仿宋" w:cs="仿宋"/>
          <w:bCs/>
          <w:sz w:val="24"/>
          <w:szCs w:val="24"/>
          <w:highlight w:val="none"/>
        </w:rPr>
        <w:t>2、支付方式：银行转账。</w:t>
      </w:r>
    </w:p>
    <w:p w14:paraId="28F59C70">
      <w:pPr>
        <w:pStyle w:val="2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Cs/>
          <w:sz w:val="24"/>
          <w:szCs w:val="24"/>
          <w:highlight w:val="none"/>
        </w:rPr>
      </w:pPr>
      <w:r>
        <w:rPr>
          <w:rFonts w:hint="eastAsia" w:ascii="仿宋" w:hAnsi="仿宋" w:eastAsia="仿宋" w:cs="仿宋"/>
          <w:sz w:val="24"/>
          <w:szCs w:val="24"/>
          <w:highlight w:val="none"/>
        </w:rPr>
        <w:t>3、结算方式：供应商持成交通知书、发票、合同</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，与采购人结算。</w:t>
      </w:r>
    </w:p>
    <w:p w14:paraId="344064A7">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第五条   知识产权（若有）</w:t>
      </w:r>
    </w:p>
    <w:p w14:paraId="014ABFB0">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乙方应保证所提供的服务或其任何一部分均不会侵犯任何第三方的专利权、商标权或著作权。</w:t>
      </w:r>
    </w:p>
    <w:p w14:paraId="2EDB222F">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第六条  无产权瑕疵条款（如有）</w:t>
      </w:r>
    </w:p>
    <w:p w14:paraId="7BCE7844">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乙方保证所提供的服务的所有权完全属于乙方且无任何抵押、查封等产权瑕疵。如有产权瑕疵的，视为乙方违约。乙方应负担由此而产生的一切损失。</w:t>
      </w:r>
    </w:p>
    <w:p w14:paraId="5C19F29D">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第七条   履约保证金</w:t>
      </w:r>
    </w:p>
    <w:p w14:paraId="7B67982C">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013F282">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第八条  甲方的权利和义务</w:t>
      </w:r>
    </w:p>
    <w:p w14:paraId="316074DD">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603A496">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2、负责检查监督乙方管理工作的实施及制度的执行情况。</w:t>
      </w:r>
    </w:p>
    <w:p w14:paraId="0F65ADA3">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3、根据本合同规定，按时向乙方支付应付服务费用。</w:t>
      </w:r>
    </w:p>
    <w:p w14:paraId="3BA3BC38">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4、国家法律、法规所规定由甲方承担的其它责任。</w:t>
      </w:r>
    </w:p>
    <w:p w14:paraId="172115C2">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第九条  乙方的权利和义务</w:t>
      </w:r>
    </w:p>
    <w:p w14:paraId="0C840D9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1、对本合同规定的委托服务范围内的项目享有管理权及服务义务。</w:t>
      </w:r>
    </w:p>
    <w:p w14:paraId="0EE4A63E">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2、根据本合同的规定向甲方收取相关服务费用，并有权在本项目管理范围内管理及合理使用。</w:t>
      </w:r>
    </w:p>
    <w:p w14:paraId="58471135">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3、及时向甲方通告本项目服务范围内有关服务的重大事项，及时配合处理投诉。</w:t>
      </w:r>
    </w:p>
    <w:p w14:paraId="3A2A0BA4">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4、接受项目行业管理部门及政府有关部门的指导，接受甲方的监督。</w:t>
      </w:r>
    </w:p>
    <w:p w14:paraId="468F447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5、国家法律、法规所规定由乙方承担的其它责任。</w:t>
      </w:r>
    </w:p>
    <w:p w14:paraId="5B5DD123">
      <w:pPr>
        <w:keepNext w:val="0"/>
        <w:keepLines w:val="0"/>
        <w:pageBreakBefore w:val="0"/>
        <w:kinsoku/>
        <w:wordWrap/>
        <w:overflowPunct/>
        <w:topLinePunct w:val="0"/>
        <w:autoSpaceDE/>
        <w:autoSpaceDN/>
        <w:bidi w:val="0"/>
        <w:adjustRightInd w:val="0"/>
        <w:snapToGrid w:val="0"/>
        <w:spacing w:line="360" w:lineRule="auto"/>
        <w:ind w:left="426" w:firstLine="0" w:firstLineChars="0"/>
        <w:rPr>
          <w:rFonts w:hint="eastAsia" w:ascii="仿宋" w:hAnsi="仿宋" w:eastAsia="仿宋" w:cs="仿宋"/>
          <w:b w:val="0"/>
          <w:color w:val="000000"/>
          <w:sz w:val="24"/>
          <w:szCs w:val="24"/>
          <w:highlight w:val="none"/>
          <w:lang w:val="en-US" w:eastAsia="zh-CN"/>
        </w:rPr>
      </w:pPr>
      <w:r>
        <w:rPr>
          <w:rFonts w:hint="eastAsia" w:ascii="仿宋" w:hAnsi="仿宋" w:eastAsia="仿宋" w:cs="仿宋"/>
          <w:b/>
          <w:color w:val="000000"/>
          <w:sz w:val="24"/>
          <w:szCs w:val="24"/>
          <w:highlight w:val="none"/>
        </w:rPr>
        <w:t xml:space="preserve">第十条  </w:t>
      </w:r>
      <w:r>
        <w:rPr>
          <w:rFonts w:hint="eastAsia" w:ascii="仿宋" w:hAnsi="仿宋" w:eastAsia="仿宋" w:cs="仿宋"/>
          <w:b/>
          <w:color w:val="000000"/>
          <w:sz w:val="24"/>
          <w:szCs w:val="24"/>
          <w:highlight w:val="none"/>
          <w:lang w:eastAsia="zh-CN"/>
        </w:rPr>
        <w:t>保密、泄密条款</w:t>
      </w:r>
    </w:p>
    <w:p w14:paraId="6E1D2831">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1、</w:t>
      </w:r>
      <w:r>
        <w:rPr>
          <w:rFonts w:hint="eastAsia" w:ascii="仿宋" w:hAnsi="仿宋" w:eastAsia="仿宋" w:cs="仿宋"/>
          <w:b w:val="0"/>
          <w:color w:val="000000"/>
          <w:sz w:val="24"/>
          <w:szCs w:val="24"/>
          <w:highlight w:val="none"/>
        </w:rPr>
        <w:t>双方应当对本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的内容、因履行本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或在本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期间获得的或收到的对方的商务等信息保守秘密，未经信息披露方书面事先同意，不得向本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以外的任何第三方披露。</w:t>
      </w:r>
    </w:p>
    <w:p w14:paraId="4F9FC0FD">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2、</w:t>
      </w:r>
      <w:r>
        <w:rPr>
          <w:rFonts w:hint="eastAsia" w:ascii="仿宋" w:hAnsi="仿宋" w:eastAsia="仿宋" w:cs="仿宋"/>
          <w:b w:val="0"/>
          <w:color w:val="000000"/>
          <w:sz w:val="24"/>
          <w:szCs w:val="24"/>
          <w:highlight w:val="none"/>
        </w:rPr>
        <w:t>除非得到另一方的书面许可，甲乙双方均不得将本合同中的内容及在本合同执行过程中获得的对方的商业信息向任何第三方泄露</w:t>
      </w:r>
      <w:r>
        <w:rPr>
          <w:rFonts w:hint="eastAsia" w:ascii="仿宋" w:hAnsi="仿宋" w:eastAsia="仿宋" w:cs="仿宋"/>
          <w:b w:val="0"/>
          <w:color w:val="000000"/>
          <w:sz w:val="24"/>
          <w:szCs w:val="24"/>
          <w:highlight w:val="none"/>
          <w:lang w:eastAsia="zh-CN"/>
        </w:rPr>
        <w:t>。</w:t>
      </w:r>
    </w:p>
    <w:p w14:paraId="7011A8D8">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一</w:t>
      </w:r>
      <w:r>
        <w:rPr>
          <w:rFonts w:hint="eastAsia" w:ascii="仿宋" w:hAnsi="仿宋" w:eastAsia="仿宋" w:cs="仿宋"/>
          <w:b/>
          <w:color w:val="000000"/>
          <w:sz w:val="24"/>
          <w:szCs w:val="24"/>
          <w:highlight w:val="none"/>
        </w:rPr>
        <w:t>条  违约责任</w:t>
      </w:r>
    </w:p>
    <w:p w14:paraId="62F8F561">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1、甲乙双方必须遵守本合同并执行合同中的各项规定，保证本合同的正常履行。</w:t>
      </w:r>
    </w:p>
    <w:p w14:paraId="4266A7AB">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90AAE3E">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二</w:t>
      </w:r>
      <w:r>
        <w:rPr>
          <w:rFonts w:hint="eastAsia" w:ascii="仿宋" w:hAnsi="仿宋" w:eastAsia="仿宋" w:cs="仿宋"/>
          <w:b/>
          <w:color w:val="000000"/>
          <w:sz w:val="24"/>
          <w:szCs w:val="24"/>
          <w:highlight w:val="none"/>
        </w:rPr>
        <w:t>条  不可抗力事件处理</w:t>
      </w:r>
    </w:p>
    <w:p w14:paraId="6C73A4F3">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1、在合同有效期内，任何一方因不可抗力事件导致不能履行合同，则合同履行期可延长，其延长期与不可抗力影响期相同。</w:t>
      </w:r>
    </w:p>
    <w:p w14:paraId="4AB7701C">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2、不可抗力事件发生后，应立即通知对方，并寄送有关权威机构出具的证明。</w:t>
      </w:r>
    </w:p>
    <w:p w14:paraId="39802307">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3、不可抗力事件延续XX天以上，双方应通过友好协商，确定是否继续履行合同。</w:t>
      </w:r>
    </w:p>
    <w:p w14:paraId="2D7B3254">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rPr>
          <w:rFonts w:hint="eastAsia" w:ascii="仿宋" w:hAnsi="仿宋" w:eastAsia="仿宋" w:cs="仿宋"/>
          <w:color w:val="000000"/>
          <w:sz w:val="24"/>
          <w:szCs w:val="24"/>
          <w:highlight w:val="none"/>
        </w:rPr>
      </w:pPr>
      <w:bookmarkStart w:id="18" w:name="_Toc286993792"/>
      <w:bookmarkStart w:id="19" w:name="_Toc247334846"/>
      <w:bookmarkStart w:id="20" w:name="_Toc211911353"/>
      <w:bookmarkStart w:id="21" w:name="_Toc185395254"/>
      <w:bookmarkStart w:id="22" w:name="_Toc237145411"/>
      <w:bookmarkStart w:id="23" w:name="_Toc212019599"/>
      <w:bookmarkStart w:id="24" w:name="_Toc239568423"/>
      <w:bookmarkStart w:id="25" w:name="_Toc251768867"/>
      <w:bookmarkStart w:id="26" w:name="_Toc211854454"/>
      <w:bookmarkStart w:id="27" w:name="_Toc241833908"/>
      <w:bookmarkStart w:id="28" w:name="_Toc232492933"/>
      <w:bookmarkStart w:id="29" w:name="_Toc225654649"/>
      <w:bookmarkStart w:id="30" w:name="_Toc239233919"/>
      <w:bookmarkStart w:id="31" w:name="_Toc225244857"/>
      <w:bookmarkStart w:id="32" w:name="_Toc238984980"/>
      <w:bookmarkStart w:id="33" w:name="_Toc225670756"/>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三</w:t>
      </w:r>
      <w:r>
        <w:rPr>
          <w:rFonts w:hint="eastAsia" w:ascii="仿宋" w:hAnsi="仿宋" w:eastAsia="仿宋" w:cs="仿宋"/>
          <w:b/>
          <w:color w:val="000000"/>
          <w:sz w:val="24"/>
          <w:szCs w:val="24"/>
          <w:highlight w:val="none"/>
        </w:rPr>
        <w:t>条  合同的变更和终止</w:t>
      </w:r>
    </w:p>
    <w:p w14:paraId="7AFFE15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除《中华人民共和国政府采购法》第49条、第50条第二款规定的情形外，本合同一经签订，甲乙双方不得擅自变更、中止或终止合同。</w:t>
      </w:r>
    </w:p>
    <w:p w14:paraId="03676674">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四</w:t>
      </w:r>
      <w:r>
        <w:rPr>
          <w:rFonts w:hint="eastAsia" w:ascii="仿宋" w:hAnsi="仿宋" w:eastAsia="仿宋" w:cs="仿宋"/>
          <w:b/>
          <w:color w:val="000000"/>
          <w:sz w:val="24"/>
          <w:szCs w:val="24"/>
          <w:highlight w:val="none"/>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E05B866">
      <w:pPr>
        <w:pStyle w:val="2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1、在执行本合同中发生的或与本合同有关的争端，双方应通过友好协商解决，经协商在</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天内不能达成协议时，则采取以下第</w:t>
      </w:r>
      <w:r>
        <w:rPr>
          <w:rFonts w:hint="eastAsia" w:ascii="仿宋" w:hAnsi="仿宋" w:eastAsia="仿宋" w:cs="仿宋"/>
          <w:color w:val="000000"/>
          <w:sz w:val="24"/>
          <w:szCs w:val="24"/>
          <w:highlight w:val="none"/>
          <w:u w:val="single"/>
        </w:rPr>
        <w:t>1</w:t>
      </w:r>
      <w:r>
        <w:rPr>
          <w:rFonts w:hint="eastAsia" w:ascii="仿宋" w:hAnsi="仿宋" w:eastAsia="仿宋" w:cs="仿宋"/>
          <w:color w:val="000000"/>
          <w:sz w:val="24"/>
          <w:szCs w:val="24"/>
          <w:highlight w:val="none"/>
        </w:rPr>
        <w:t>种方式解决争议：</w:t>
      </w:r>
    </w:p>
    <w:p w14:paraId="5385883E">
      <w:pPr>
        <w:pStyle w:val="2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（1）向甲方所在地有管辖权的人民法院提起诉讼；</w:t>
      </w:r>
    </w:p>
    <w:p w14:paraId="41E14D85">
      <w:pPr>
        <w:pStyle w:val="2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西安</w:t>
      </w:r>
      <w:r>
        <w:rPr>
          <w:rFonts w:hint="eastAsia" w:ascii="仿宋" w:hAnsi="仿宋" w:eastAsia="仿宋" w:cs="仿宋"/>
          <w:color w:val="000000"/>
          <w:sz w:val="24"/>
          <w:szCs w:val="24"/>
          <w:highlight w:val="none"/>
        </w:rPr>
        <w:t>仲裁委员会按其仲裁规则申请仲裁。</w:t>
      </w:r>
    </w:p>
    <w:p w14:paraId="220342E8">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2、在仲裁期间，本合同应继续履行。</w:t>
      </w:r>
    </w:p>
    <w:p w14:paraId="08DB6273">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bookmarkStart w:id="34" w:name="_Toc212019600"/>
      <w:bookmarkStart w:id="35" w:name="_Toc282696231"/>
      <w:bookmarkStart w:id="36" w:name="_Toc225654650"/>
      <w:bookmarkStart w:id="37" w:name="_Toc283019219"/>
      <w:bookmarkStart w:id="38" w:name="_Toc251768868"/>
      <w:bookmarkStart w:id="39" w:name="_Toc241833909"/>
      <w:bookmarkStart w:id="40" w:name="_Toc239568424"/>
      <w:bookmarkStart w:id="41" w:name="_Toc211911354"/>
      <w:bookmarkStart w:id="42" w:name="_Toc237145412"/>
      <w:bookmarkStart w:id="43" w:name="_Toc286993793"/>
      <w:bookmarkStart w:id="44" w:name="_Toc232492934"/>
      <w:bookmarkStart w:id="45" w:name="_Toc225670757"/>
      <w:bookmarkStart w:id="46" w:name="_Toc238984981"/>
      <w:bookmarkStart w:id="47" w:name="_Toc225244858"/>
      <w:bookmarkStart w:id="48" w:name="_Toc239233920"/>
      <w:bookmarkStart w:id="49" w:name="_Toc247334847"/>
      <w:bookmarkStart w:id="50" w:name="_Toc211854455"/>
      <w:bookmarkStart w:id="51" w:name="_Toc185395255"/>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五</w:t>
      </w:r>
      <w:r>
        <w:rPr>
          <w:rFonts w:hint="eastAsia" w:ascii="仿宋" w:hAnsi="仿宋" w:eastAsia="仿宋" w:cs="仿宋"/>
          <w:b/>
          <w:color w:val="000000"/>
          <w:sz w:val="24"/>
          <w:szCs w:val="24"/>
          <w:highlight w:val="none"/>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color w:val="000000"/>
          <w:sz w:val="24"/>
          <w:szCs w:val="24"/>
          <w:highlight w:val="none"/>
        </w:rPr>
        <w:t>生效及其他</w:t>
      </w:r>
    </w:p>
    <w:p w14:paraId="7C3A519A">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1、合同经双方法定代表人（单位负责人）或授权委托代理人签字并加盖单位公章后生效。</w:t>
      </w:r>
    </w:p>
    <w:p w14:paraId="7DA7107C">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5F5A9FBE">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3、本合同一式陆份，自双方签章之日起</w:t>
      </w:r>
      <w:r>
        <w:rPr>
          <w:rFonts w:hint="eastAsia" w:ascii="仿宋" w:hAnsi="仿宋" w:eastAsia="仿宋" w:cs="仿宋"/>
          <w:color w:val="000000"/>
          <w:sz w:val="24"/>
          <w:szCs w:val="24"/>
          <w:highlight w:val="none"/>
          <w:lang w:val="en-US" w:eastAsia="zh-CN"/>
        </w:rPr>
        <w:t>生</w:t>
      </w:r>
      <w:r>
        <w:rPr>
          <w:rFonts w:hint="eastAsia" w:ascii="仿宋" w:hAnsi="仿宋" w:eastAsia="仿宋" w:cs="仿宋"/>
          <w:color w:val="000000"/>
          <w:sz w:val="24"/>
          <w:szCs w:val="24"/>
          <w:highlight w:val="none"/>
        </w:rPr>
        <w:t>效。甲方</w:t>
      </w:r>
      <w:r>
        <w:rPr>
          <w:rFonts w:hint="eastAsia" w:ascii="仿宋" w:hAnsi="仿宋" w:eastAsia="仿宋" w:cs="仿宋"/>
          <w:color w:val="000000"/>
          <w:sz w:val="24"/>
          <w:szCs w:val="24"/>
          <w:highlight w:val="none"/>
          <w:lang w:val="en-US" w:eastAsia="zh-CN"/>
        </w:rPr>
        <w:t>叁</w:t>
      </w:r>
      <w:r>
        <w:rPr>
          <w:rFonts w:hint="eastAsia" w:ascii="仿宋" w:hAnsi="仿宋" w:eastAsia="仿宋" w:cs="仿宋"/>
          <w:color w:val="000000"/>
          <w:sz w:val="24"/>
          <w:szCs w:val="24"/>
          <w:highlight w:val="none"/>
        </w:rPr>
        <w:t>份，乙方贰份，同级财政部门备案壹份，具有同等法律效力。</w:t>
      </w:r>
    </w:p>
    <w:p w14:paraId="2079E38A">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六</w:t>
      </w:r>
      <w:r>
        <w:rPr>
          <w:rFonts w:hint="eastAsia" w:ascii="仿宋" w:hAnsi="仿宋" w:eastAsia="仿宋" w:cs="仿宋"/>
          <w:b/>
          <w:color w:val="000000"/>
          <w:sz w:val="24"/>
          <w:szCs w:val="24"/>
          <w:highlight w:val="none"/>
        </w:rPr>
        <w:t>条  附件</w:t>
      </w:r>
    </w:p>
    <w:p w14:paraId="2AD5FBFE">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竞争性磋商</w:t>
      </w:r>
      <w:r>
        <w:rPr>
          <w:rFonts w:hint="eastAsia" w:ascii="仿宋" w:hAnsi="仿宋" w:eastAsia="仿宋" w:cs="仿宋"/>
          <w:color w:val="000000"/>
          <w:sz w:val="24"/>
          <w:szCs w:val="24"/>
          <w:highlight w:val="none"/>
        </w:rPr>
        <w:t>文件</w:t>
      </w:r>
    </w:p>
    <w:p w14:paraId="7D5428DA">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2、澄清文件</w:t>
      </w:r>
    </w:p>
    <w:p w14:paraId="5C3DCA88">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3、响应文件</w:t>
      </w:r>
    </w:p>
    <w:p w14:paraId="5C1EB4D8">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4、成交通知书</w:t>
      </w:r>
    </w:p>
    <w:p w14:paraId="2595DD22">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5、其他</w:t>
      </w:r>
    </w:p>
    <w:p w14:paraId="42D43928">
      <w:pPr>
        <w:pStyle w:val="2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p>
    <w:tbl>
      <w:tblPr>
        <w:tblStyle w:val="12"/>
        <w:tblW w:w="84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54"/>
        <w:gridCol w:w="3825"/>
      </w:tblGrid>
      <w:tr w14:paraId="70F79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49D23145">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甲方：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c>
          <w:tcPr>
            <w:tcW w:w="3825" w:type="dxa"/>
            <w:vAlign w:val="center"/>
          </w:tcPr>
          <w:p w14:paraId="3E3DA15C">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乙方：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r>
      <w:tr w14:paraId="65201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654" w:type="dxa"/>
            <w:vAlign w:val="center"/>
          </w:tcPr>
          <w:p w14:paraId="1F40DB7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法定代表人（单位负责人）（授权代表）：</w:t>
            </w:r>
          </w:p>
        </w:tc>
        <w:tc>
          <w:tcPr>
            <w:tcW w:w="3825" w:type="dxa"/>
            <w:vAlign w:val="center"/>
          </w:tcPr>
          <w:p w14:paraId="22059469">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法定代表人（授权代表）：</w:t>
            </w:r>
          </w:p>
        </w:tc>
      </w:tr>
      <w:tr w14:paraId="344A9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7CBB4DD6">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c>
          <w:tcPr>
            <w:tcW w:w="3825" w:type="dxa"/>
            <w:vAlign w:val="center"/>
          </w:tcPr>
          <w:p w14:paraId="6DC6B42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r>
      <w:tr w14:paraId="32641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303C09D3">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c>
          <w:tcPr>
            <w:tcW w:w="3825" w:type="dxa"/>
            <w:vAlign w:val="center"/>
          </w:tcPr>
          <w:p w14:paraId="38473EF8">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r>
      <w:tr w14:paraId="2A54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70EAE486">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c>
          <w:tcPr>
            <w:tcW w:w="3825" w:type="dxa"/>
            <w:vAlign w:val="center"/>
          </w:tcPr>
          <w:p w14:paraId="2608A711">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r>
      <w:tr w14:paraId="4F60A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392B784D">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c>
          <w:tcPr>
            <w:tcW w:w="3825" w:type="dxa"/>
            <w:vAlign w:val="center"/>
          </w:tcPr>
          <w:p w14:paraId="2BBD2E64">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r>
      <w:tr w14:paraId="5F7B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4654" w:type="dxa"/>
            <w:vAlign w:val="center"/>
          </w:tcPr>
          <w:p w14:paraId="3C522BE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c>
          <w:tcPr>
            <w:tcW w:w="3825" w:type="dxa"/>
            <w:vAlign w:val="center"/>
          </w:tcPr>
          <w:p w14:paraId="10C414B8">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r>
      <w:tr w14:paraId="7AD1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4654" w:type="dxa"/>
            <w:vAlign w:val="center"/>
          </w:tcPr>
          <w:p w14:paraId="7B5D16E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c>
          <w:tcPr>
            <w:tcW w:w="3825" w:type="dxa"/>
            <w:vAlign w:val="center"/>
          </w:tcPr>
          <w:p w14:paraId="6F336640">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r>
    </w:tbl>
    <w:p w14:paraId="79D57957"/>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70543">
    <w:pPr>
      <w:pStyle w:val="7"/>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BED57F">
                          <w:pPr>
                            <w:pStyle w:val="7"/>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6BBED57F">
                    <w:pPr>
                      <w:pStyle w:val="7"/>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262E"/>
    <w:multiLevelType w:val="singleLevel"/>
    <w:tmpl w:val="FDEF262E"/>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1A616A"/>
    <w:rsid w:val="378253CB"/>
    <w:rsid w:val="452024EE"/>
    <w:rsid w:val="50103EED"/>
    <w:rsid w:val="6396607D"/>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toc 1"/>
    <w:basedOn w:val="1"/>
    <w:next w:val="1"/>
    <w:qFormat/>
    <w:uiPriority w:val="39"/>
  </w:style>
  <w:style w:type="paragraph" w:styleId="9">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5"/>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字符"/>
    <w:link w:val="2"/>
    <w:qFormat/>
    <w:uiPriority w:val="0"/>
    <w:rPr>
      <w:rFonts w:ascii="仿宋" w:hAnsi="仿宋" w:eastAsia="仿宋" w:cs="仿宋"/>
      <w:b/>
      <w:bCs/>
      <w:color w:val="auto"/>
      <w:sz w:val="2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2">
    <w:name w:val="样式 首行缩进:  2 字符"/>
    <w:basedOn w:val="1"/>
    <w:qFormat/>
    <w:uiPriority w:val="0"/>
    <w:pPr>
      <w:spacing w:line="400" w:lineRule="exact"/>
      <w:ind w:firstLine="200" w:firstLineChars="200"/>
    </w:pPr>
    <w:rPr>
      <w:rFonts w:cs="宋体"/>
      <w:sz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1600</Words>
  <Characters>1653</Characters>
  <Lines>0</Lines>
  <Paragraphs>0</Paragraphs>
  <TotalTime>0</TotalTime>
  <ScaleCrop>false</ScaleCrop>
  <LinksUpToDate>false</LinksUpToDate>
  <CharactersWithSpaces>1695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2026-06-03T03:14:01Z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350A0181A42E4F5584E829A6F056B162_13</vt:lpwstr>
  </property>
</Properties>
</file>