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684330">
      <w:pPr>
        <w:spacing w:line="480" w:lineRule="auto"/>
        <w:jc w:val="center"/>
        <w:outlineLvl w:val="0"/>
        <w:rPr>
          <w:rFonts w:hint="eastAsia" w:ascii="宋体" w:hAnsi="宋体" w:cs="宋体"/>
          <w:b/>
          <w:color w:val="auto"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cs="宋体"/>
          <w:b/>
          <w:color w:val="auto"/>
          <w:sz w:val="32"/>
          <w:szCs w:val="32"/>
        </w:rPr>
        <w:t>采购需求</w:t>
      </w:r>
    </w:p>
    <w:tbl>
      <w:tblPr>
        <w:tblStyle w:val="2"/>
        <w:tblW w:w="845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5"/>
        <w:gridCol w:w="839"/>
        <w:gridCol w:w="5985"/>
        <w:gridCol w:w="599"/>
        <w:gridCol w:w="515"/>
      </w:tblGrid>
      <w:tr w14:paraId="218F7A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0AD3E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A4E98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设备名称</w:t>
            </w:r>
          </w:p>
        </w:tc>
        <w:tc>
          <w:tcPr>
            <w:tcW w:w="5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A8CF9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技术参数</w:t>
            </w: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316E6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单位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97DE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数量</w:t>
            </w:r>
          </w:p>
        </w:tc>
      </w:tr>
      <w:tr w14:paraId="369209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4" w:hRule="atLeast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9B9FA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8D93D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核心交换机</w:t>
            </w:r>
          </w:p>
        </w:tc>
        <w:tc>
          <w:tcPr>
            <w:tcW w:w="5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201142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1．交换容量≥100Tbps，包转发率≥76000Mpps；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2．主控板槽位≥2，业务板槽位数≥6，电源槽位数≥6；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3．主控板≥2块，电源模块≥2块，万兆光口≥48个（满配万兆多模模块及光纤跳线），千兆电口≥48个；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4．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采用国产化芯片（CPU），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提供权威第三方测试报告；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5．支持IEEE 802.1d(STP）、802.w(RSTP）、802.1s(MSTP）；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6．支持BGP-EVPN协议实现VxLAN隧道动态建立；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7．设备支持主控双活机制，运行时主控1:1热备，任意主控复位时不影响业务；</w:t>
            </w:r>
          </w:p>
          <w:p w14:paraId="0F1A40A2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8．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支持网管平台统一管理与现网设备集群部署。</w:t>
            </w:r>
          </w:p>
          <w:p w14:paraId="5A968192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9．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提供设备安装调试及整网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  <w:lang w:bidi="ar"/>
              </w:rPr>
              <w:t>调优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服务；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  <w:lang w:bidi="ar"/>
              </w:rPr>
              <w:t>梳理现有网络，绘制/更新拓扑图；点位台账整理；端口台账整理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；原厂硬件质保≥3年。</w:t>
            </w: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9B744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台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C44C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</w:t>
            </w:r>
          </w:p>
        </w:tc>
      </w:tr>
      <w:tr w14:paraId="288D62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6" w:hRule="atLeast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F219B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A24D6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数据中心交换机</w:t>
            </w:r>
          </w:p>
        </w:tc>
        <w:tc>
          <w:tcPr>
            <w:tcW w:w="5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AAA25E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1．交换容量≥2.56Tbps，包转发率≥1080Mpps；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2．万兆光口≥48个（满配万兆模块及光纤跳线），40GE/100GE光口≥6个；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3．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采用国产关键芯片（CPU），提供权威第三方测试报告；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4.支持 RIPng、OSPFv3、ISISv6、BGP4+等 IPv6 动态路由协议；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5．支持跨设备链路聚合 M-LAG；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6．支持硬件 BFD，最小 3.3ms 发包间隔；</w:t>
            </w:r>
          </w:p>
          <w:p w14:paraId="78F780D6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7．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支持网管平台统一管理与现设备堆叠部署。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8.原厂硬件质保≥3 年。</w:t>
            </w: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D8898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台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6467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</w:t>
            </w:r>
          </w:p>
        </w:tc>
      </w:tr>
      <w:tr w14:paraId="4CAAE8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5" w:hRule="atLeast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10395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F25FB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接入交换机</w:t>
            </w:r>
          </w:p>
        </w:tc>
        <w:tc>
          <w:tcPr>
            <w:tcW w:w="5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C440BC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1．交换容量≥670Gbps，包转发率≥170Mpps；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2．千兆电口≥24个，万兆光口≥4个，万兆专用堆叠口≥2个；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3．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  <w:lang w:bidi="ar"/>
              </w:rPr>
              <w:t>★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采用国产关键芯片（CPU），提供权威第三方测试报告；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4．支持G.8032（ERPS）标准以太环网协议，故障倒换收敛时间小于50ms；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5．支持统一用户管理功能，支持802.1X/MAC/Portal等多种认证方式，支持1024认证用户同时在线；</w:t>
            </w:r>
          </w:p>
          <w:p w14:paraId="29AE9169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6．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支持网管平台统一管理与现设备堆叠部署。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7．原厂硬件质保≥3 年。</w:t>
            </w: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245DE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台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6D7B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</w:t>
            </w:r>
          </w:p>
        </w:tc>
      </w:tr>
    </w:tbl>
    <w:p w14:paraId="51B5AC5E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BE5282"/>
    <w:rsid w:val="7ABE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2026-10-08T10:11:00Z</dcterms:created>
  <dc:creator>默.</dc:creator>
  <cp:lastModifiedBy>默.</cp:lastModifiedBy>
  <dcterms:modified xsi:type="dcterms:W3CDTF">2026-10-08T10:11:28Z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C258466367DD44678C373FBB82EA878D_11</vt:lpwstr>
  </property>
  <property fmtid="{D5CDD505-2E9C-101B-9397-08002B2CF9AE}" pid="4" name="KSOTemplateDocerSaveRecord">
    <vt:lpwstr>eyJoZGlkIjoiNjNkY2ZhYjhmY2Y3N2I4NmM4N2NjMGUyYzM2ZDYxZWIiLCJ1c2VySWQiOiI0MjU4NjcyNzgifQ==</vt:lpwstr>
  </property>
</Properties>
</file>